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Emilia-Romagna Keeps Climbing, But Still Undercuts the Nation at the Pump</w:t>
      </w:r>
    </w:p>
    <w:p>
      <w:pPr>
        <w:spacing w:after="240"/>
      </w:pPr>
      <w:r>
        <w:rPr>
          <w:rFonts w:ascii="Calibri" w:cs="Calibri" w:eastAsia="Calibri" w:hAnsi="Calibri"/>
          <w:i/>
          <w:iCs/>
          <w:color w:val="5B564C"/>
          <w:sz w:val="24"/>
          <w:szCs w:val="24"/>
        </w:rPr>
        <w:t xml:space="preserve">Six straight days of rising self-service prices haven't pushed the region above Italy's average — yet.</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€1.992</w:t>
            </w:r>
          </w:p>
          <w:p>
            <w:pPr>
              <w:spacing w:before="40"/>
            </w:pPr>
            <w:r>
              <w:rPr>
                <w:rFonts w:ascii="Calibri" w:cs="Calibri" w:eastAsia="Calibri" w:hAnsi="Calibri"/>
                <w:color w:val="5B564C"/>
                <w:sz w:val="18"/>
                <w:szCs w:val="18"/>
              </w:rPr>
              <w:t xml:space="preserve">↑ +0.002 €/L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€2.199</w:t>
            </w:r>
          </w:p>
          <w:p>
            <w:pPr>
              <w:spacing w:before="40"/>
            </w:pPr>
            <w:r>
              <w:rPr>
                <w:rFonts w:ascii="Calibri" w:cs="Calibri" w:eastAsia="Calibri" w:hAnsi="Calibri"/>
                <w:color w:val="5B564C"/>
                <w:sz w:val="18"/>
                <w:szCs w:val="18"/>
              </w:rPr>
              <w:t xml:space="preserve">↑ +0.003 €/L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1,878</w:t>
            </w:r>
          </w:p>
          <w:p>
            <w:pPr>
              <w:spacing w:before="40"/>
            </w:pPr>
            <w:r>
              <w:rPr>
                <w:rFonts w:ascii="Calibri" w:cs="Calibri" w:eastAsia="Calibri" w:hAnsi="Calibri"/>
                <w:color w:val="5B564C"/>
                <w:sz w:val="18"/>
                <w:szCs w:val="18"/>
              </w:rPr>
              <w:t xml:space="preserve">Emilia-Romagna</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1,736</w:t>
            </w:r>
          </w:p>
          <w:p>
            <w:pPr>
              <w:spacing w:before="40"/>
            </w:pPr>
            <w:r>
              <w:rPr>
                <w:rFonts w:ascii="Calibri" w:cs="Calibri" w:eastAsia="Calibri" w:hAnsi="Calibri"/>
                <w:color w:val="5B564C"/>
                <w:sz w:val="18"/>
                <w:szCs w:val="18"/>
              </w:rPr>
              <w:t xml:space="preserve">Jul 26</w:t>
            </w:r>
          </w:p>
        </w:tc>
      </w:tr>
    </w:tbl>
    <w:p>
      <w:pPr>
        <w:spacing w:before="320"/>
      </w:pPr>
    </w:p>
    <w:p>
      <w:pPr>
        <w:spacing w:after="200"/>
      </w:pPr>
      <w:r>
        <w:rPr>
          <w:rFonts w:ascii="Calibri" w:cs="Calibri" w:eastAsia="Calibri" w:hAnsi="Calibri"/>
          <w:color w:val="14120F"/>
          <w:sz w:val="22"/>
          <w:szCs w:val="22"/>
        </w:rPr>
        <w:t xml:space="preserve">Drivers filling up self-service in Emilia-Romagna paid an average of €1.9916 per litre for Benzina and €2.1992 for Gasolio on July 26 — both a shade below the national self-service averages of €1.9939 and €2.2072. The gap is thin, just over two-tenths of a cent on Benzina and eight-tenths of a cent on Gasolio, but for now the region remains one of the slightly cheaper places in Italy to fill a tank.</w:t>
      </w:r>
    </w:p>
    <w:p>
      <w:pPr>
        <w:spacing w:after="200"/>
      </w:pPr>
      <w:r>
        <w:rPr>
          <w:rFonts w:ascii="Calibri" w:cs="Calibri" w:eastAsia="Calibri" w:hAnsi="Calibri"/>
          <w:color w:val="14120F"/>
          <w:sz w:val="22"/>
          <w:szCs w:val="22"/>
        </w:rPr>
        <w:t xml:space="preserve">That edge has been narrowing fast. Over the last six tracked days, self-service Benzina rose every single day, from €1.9529 to €1.9916 — a climb of nearly 4 cents. Gasolio moved even harder, up almost 7 cents from €2.1304 to €2.1992, with no down day in the stretch. Meanwhile the region's station network held steady and even grew slightly: 1,878 stations registered versus 1,876 six days ago, with 1,736 reporting prices today, up from 1,732 — a sign the local network stayed active and kept reporting through the run-up.</w:t>
      </w:r>
    </w:p>
    <w:p>
      <w:pPr>
        <w:spacing w:after="200"/>
      </w:pPr>
      <w:r>
        <w:rPr>
          <w:rFonts w:ascii="Calibri" w:cs="Calibri" w:eastAsia="Calibri" w:hAnsi="Calibri"/>
          <w:color w:val="14120F"/>
          <w:sz w:val="22"/>
          <w:szCs w:val="22"/>
        </w:rPr>
        <w:t xml:space="preserve">Spotting a six-day upward creep in one specific region, day by day, only works because this dashboard rebuilds itself automatically every morning from the national MIMIT feed — no manually updated spreadsheet could keep pace with 20 regions rotating through daily coverage like this. It's built and maintained with Claude Code, which is exactly the kind of project this update is designed to showcase.</w:t>
      </w:r>
    </w:p>
    <w:p>
      <w:pPr>
        <w:spacing w:after="240" w:before="120"/>
        <w:jc w:val="center"/>
      </w:pPr>
      <w:r>
        <w:rPr>
          <w:rFonts w:ascii="Cambria" w:cs="Cambria" w:eastAsia="Cambria" w:hAnsi="Cambria"/>
          <w:b/>
          <w:bCs/>
          <w:i/>
          <w:iCs/>
          <w:color w:val="B9790A"/>
          <w:sz w:val="30"/>
          <w:szCs w:val="30"/>
        </w:rPr>
        <w:t xml:space="preserve">Emilia-Romagna's diesel has risen every single day for a week straight, gaining nearly 7 cents since July 21.</w:t>
      </w:r>
    </w:p>
    <w:p>
      <w:pPr>
        <w:spacing w:after="120" w:before="120"/>
      </w:pPr>
      <w:r>
        <w:rPr>
          <w:rFonts w:ascii="Calibri" w:cs="Calibri" w:eastAsia="Calibri" w:hAnsi="Calibri"/>
          <w:b/>
          <w:bCs/>
          <w:color w:val="5B564C"/>
          <w:sz w:val="18"/>
          <w:szCs w:val="18"/>
        </w:rPr>
        <w:t xml:space="preserve">Last 6 tracked days in Emilia-Romagna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Jul 21</w:t>
            </w:r>
          </w:p>
        </w:tc>
        <w:tc>
          <w:tcPr>
            <w:tcW w:type="dxa" w:w="2000"/>
          </w:tcPr>
          <w:p>
            <w:r>
              <w:rPr>
                <w:rFonts w:ascii="Calibri" w:cs="Calibri" w:eastAsia="Calibri" w:hAnsi="Calibri"/>
                <w:color w:val="2A78D6"/>
                <w:sz w:val="20"/>
                <w:szCs w:val="20"/>
              </w:rPr>
              <w:t xml:space="preserve">€1.953</w:t>
            </w:r>
          </w:p>
        </w:tc>
        <w:tc>
          <w:tcPr>
            <w:tcW w:type="dxa" w:w="2000"/>
          </w:tcPr>
          <w:p>
            <w:r>
              <w:rPr>
                <w:rFonts w:ascii="Calibri" w:cs="Calibri" w:eastAsia="Calibri" w:hAnsi="Calibri"/>
                <w:color w:val="1BAF7A"/>
                <w:sz w:val="20"/>
                <w:szCs w:val="20"/>
              </w:rPr>
              <w:t xml:space="preserve">€2.130</w:t>
            </w:r>
          </w:p>
        </w:tc>
      </w:tr>
      <w:tr>
        <w:tc>
          <w:tcPr>
            <w:tcW w:type="dxa" w:w="2000"/>
          </w:tcPr>
          <w:p>
            <w:r>
              <w:rPr>
                <w:rFonts w:ascii="Calibri" w:cs="Calibri" w:eastAsia="Calibri" w:hAnsi="Calibri"/>
                <w:sz w:val="20"/>
                <w:szCs w:val="20"/>
              </w:rPr>
              <w:t xml:space="preserve">Jul 22</w:t>
            </w:r>
          </w:p>
        </w:tc>
        <w:tc>
          <w:tcPr>
            <w:tcW w:type="dxa" w:w="2000"/>
          </w:tcPr>
          <w:p>
            <w:r>
              <w:rPr>
                <w:rFonts w:ascii="Calibri" w:cs="Calibri" w:eastAsia="Calibri" w:hAnsi="Calibri"/>
                <w:color w:val="2A78D6"/>
                <w:sz w:val="20"/>
                <w:szCs w:val="20"/>
              </w:rPr>
              <w:t xml:space="preserve">€1.960</w:t>
            </w:r>
          </w:p>
        </w:tc>
        <w:tc>
          <w:tcPr>
            <w:tcW w:type="dxa" w:w="2000"/>
          </w:tcPr>
          <w:p>
            <w:r>
              <w:rPr>
                <w:rFonts w:ascii="Calibri" w:cs="Calibri" w:eastAsia="Calibri" w:hAnsi="Calibri"/>
                <w:color w:val="1BAF7A"/>
                <w:sz w:val="20"/>
                <w:szCs w:val="20"/>
              </w:rPr>
              <w:t xml:space="preserve">€2.147</w:t>
            </w:r>
          </w:p>
        </w:tc>
      </w:tr>
      <w:tr>
        <w:tc>
          <w:tcPr>
            <w:tcW w:type="dxa" w:w="2000"/>
          </w:tcPr>
          <w:p>
            <w:r>
              <w:rPr>
                <w:rFonts w:ascii="Calibri" w:cs="Calibri" w:eastAsia="Calibri" w:hAnsi="Calibri"/>
                <w:sz w:val="20"/>
                <w:szCs w:val="20"/>
              </w:rPr>
              <w:t xml:space="preserve">Jul 23</w:t>
            </w:r>
          </w:p>
        </w:tc>
        <w:tc>
          <w:tcPr>
            <w:tcW w:type="dxa" w:w="2000"/>
          </w:tcPr>
          <w:p>
            <w:r>
              <w:rPr>
                <w:rFonts w:ascii="Calibri" w:cs="Calibri" w:eastAsia="Calibri" w:hAnsi="Calibri"/>
                <w:color w:val="2A78D6"/>
                <w:sz w:val="20"/>
                <w:szCs w:val="20"/>
              </w:rPr>
              <w:t xml:space="preserve">€1.968</w:t>
            </w:r>
          </w:p>
        </w:tc>
        <w:tc>
          <w:tcPr>
            <w:tcW w:type="dxa" w:w="2000"/>
          </w:tcPr>
          <w:p>
            <w:r>
              <w:rPr>
                <w:rFonts w:ascii="Calibri" w:cs="Calibri" w:eastAsia="Calibri" w:hAnsi="Calibri"/>
                <w:color w:val="1BAF7A"/>
                <w:sz w:val="20"/>
                <w:szCs w:val="20"/>
              </w:rPr>
              <w:t xml:space="preserve">€2.164</w:t>
            </w:r>
          </w:p>
        </w:tc>
      </w:tr>
      <w:tr>
        <w:tc>
          <w:tcPr>
            <w:tcW w:type="dxa" w:w="2000"/>
          </w:tcPr>
          <w:p>
            <w:r>
              <w:rPr>
                <w:rFonts w:ascii="Calibri" w:cs="Calibri" w:eastAsia="Calibri" w:hAnsi="Calibri"/>
                <w:sz w:val="20"/>
                <w:szCs w:val="20"/>
              </w:rPr>
              <w:t xml:space="preserve">Jul 24</w:t>
            </w:r>
          </w:p>
        </w:tc>
        <w:tc>
          <w:tcPr>
            <w:tcW w:type="dxa" w:w="2000"/>
          </w:tcPr>
          <w:p>
            <w:r>
              <w:rPr>
                <w:rFonts w:ascii="Calibri" w:cs="Calibri" w:eastAsia="Calibri" w:hAnsi="Calibri"/>
                <w:color w:val="2A78D6"/>
                <w:sz w:val="20"/>
                <w:szCs w:val="20"/>
              </w:rPr>
              <w:t xml:space="preserve">€1.980</w:t>
            </w:r>
          </w:p>
        </w:tc>
        <w:tc>
          <w:tcPr>
            <w:tcW w:type="dxa" w:w="2000"/>
          </w:tcPr>
          <w:p>
            <w:r>
              <w:rPr>
                <w:rFonts w:ascii="Calibri" w:cs="Calibri" w:eastAsia="Calibri" w:hAnsi="Calibri"/>
                <w:color w:val="1BAF7A"/>
                <w:sz w:val="20"/>
                <w:szCs w:val="20"/>
              </w:rPr>
              <w:t xml:space="preserve">€2.181</w:t>
            </w:r>
          </w:p>
        </w:tc>
      </w:tr>
      <w:tr>
        <w:tc>
          <w:tcPr>
            <w:tcW w:type="dxa" w:w="2000"/>
          </w:tcPr>
          <w:p>
            <w:r>
              <w:rPr>
                <w:rFonts w:ascii="Calibri" w:cs="Calibri" w:eastAsia="Calibri" w:hAnsi="Calibri"/>
                <w:sz w:val="20"/>
                <w:szCs w:val="20"/>
              </w:rPr>
              <w:t xml:space="preserve">Jul 25</w:t>
            </w:r>
          </w:p>
        </w:tc>
        <w:tc>
          <w:tcPr>
            <w:tcW w:type="dxa" w:w="2000"/>
          </w:tcPr>
          <w:p>
            <w:r>
              <w:rPr>
                <w:rFonts w:ascii="Calibri" w:cs="Calibri" w:eastAsia="Calibri" w:hAnsi="Calibri"/>
                <w:color w:val="2A78D6"/>
                <w:sz w:val="20"/>
                <w:szCs w:val="20"/>
              </w:rPr>
              <w:t xml:space="preserve">€1.990</w:t>
            </w:r>
          </w:p>
        </w:tc>
        <w:tc>
          <w:tcPr>
            <w:tcW w:type="dxa" w:w="2000"/>
          </w:tcPr>
          <w:p>
            <w:r>
              <w:rPr>
                <w:rFonts w:ascii="Calibri" w:cs="Calibri" w:eastAsia="Calibri" w:hAnsi="Calibri"/>
                <w:color w:val="1BAF7A"/>
                <w:sz w:val="20"/>
                <w:szCs w:val="20"/>
              </w:rPr>
              <w:t xml:space="preserve">€2.196</w:t>
            </w:r>
          </w:p>
        </w:tc>
      </w:tr>
      <w:tr>
        <w:tc>
          <w:tcPr>
            <w:tcW w:type="dxa" w:w="2000"/>
          </w:tcPr>
          <w:p>
            <w:r>
              <w:rPr>
                <w:rFonts w:ascii="Calibri" w:cs="Calibri" w:eastAsia="Calibri" w:hAnsi="Calibri"/>
                <w:sz w:val="20"/>
                <w:szCs w:val="20"/>
              </w:rPr>
              <w:t xml:space="preserve">Jul 26</w:t>
            </w:r>
          </w:p>
        </w:tc>
        <w:tc>
          <w:tcPr>
            <w:tcW w:type="dxa" w:w="2000"/>
          </w:tcPr>
          <w:p>
            <w:r>
              <w:rPr>
                <w:rFonts w:ascii="Calibri" w:cs="Calibri" w:eastAsia="Calibri" w:hAnsi="Calibri"/>
                <w:color w:val="2A78D6"/>
                <w:sz w:val="20"/>
                <w:szCs w:val="20"/>
              </w:rPr>
              <w:t xml:space="preserve">€1.992</w:t>
            </w:r>
          </w:p>
        </w:tc>
        <w:tc>
          <w:tcPr>
            <w:tcW w:type="dxa" w:w="2000"/>
          </w:tcPr>
          <w:p>
            <w:r>
              <w:rPr>
                <w:rFonts w:ascii="Calibri" w:cs="Calibri" w:eastAsia="Calibri" w:hAnsi="Calibri"/>
                <w:color w:val="1BAF7A"/>
                <w:sz w:val="20"/>
                <w:szCs w:val="20"/>
              </w:rPr>
              <w:t xml:space="preserve">€2.199</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2026-07-27T09:11:56.992Z</dcterms:created>
  <dcterms:modified xsi:type="dcterms:W3CDTF">2026-07-27T09:11:57.000Z</dcterms:modified>
</cp:coreProperties>
</file>

<file path=docProps/custom.xml><?xml version="1.0" encoding="utf-8"?>
<Properties xmlns="http://schemas.openxmlformats.org/officeDocument/2006/custom-properties" xmlns:vt="http://schemas.openxmlformats.org/officeDocument/2006/docPropsVTypes"/>
</file>