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B9790A"/>
          <w:sz w:val="18"/>
          <w:szCs w:val="18"/>
        </w:rPr>
        <w:t xml:space="preserve">FUEL DASHBOARD · REGIONE SPOTLIGHT</w:t>
      </w:r>
    </w:p>
    <w:p>
      <w:pPr>
        <w:spacing w:after="100" w:before="400"/>
      </w:pPr>
      <w:r>
        <w:rPr>
          <w:rFonts w:ascii="Cambria" w:cs="Cambria" w:eastAsia="Cambria" w:hAnsi="Cambria"/>
          <w:b/>
          <w:bCs/>
          <w:color w:val="14120F"/>
          <w:sz w:val="60"/>
          <w:szCs w:val="60"/>
        </w:rPr>
        <w:t xml:space="preserve">Puglia's Methane Premium Keeps Widening Even As Italy Tries to Catch Up</w:t>
      </w:r>
    </w:p>
    <w:p>
      <w:pPr>
        <w:spacing w:after="320"/>
      </w:pPr>
      <w:r>
        <w:rPr>
          <w:rFonts w:ascii="Calibri" w:cs="Calibri" w:eastAsia="Calibri" w:hAnsi="Calibri"/>
          <w:b w:val="false"/>
          <w:bCs w:val="false"/>
          <w:i/>
          <w:iCs/>
          <w:color w:val="5B564C"/>
          <w:sz w:val="24"/>
          <w:szCs w:val="24"/>
        </w:rPr>
        <w:t xml:space="preserve">Benzina and Gasolio in Puglia both nudged up half a percent overnight, but the real story is eight weeks of Metano climbing faster locally than nationally — and GPL doing the opposite.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BENZINA</w:t>
            </w:r>
          </w:p>
          <w:p>
            <w:pPr>
              <w:spacing w:before="60"/>
            </w:pPr>
            <w:r>
              <w:rPr>
                <w:rFonts w:ascii="Calibri" w:cs="Calibri" w:eastAsia="Calibri" w:hAnsi="Calibri"/>
                <w:b/>
                <w:bCs/>
                <w:color w:val="14120F"/>
                <w:sz w:val="28"/>
                <w:szCs w:val="28"/>
              </w:rPr>
              <w:t xml:space="preserve">€2.116</w:t>
            </w:r>
          </w:p>
          <w:p>
            <w:pPr>
              <w:spacing w:before="40"/>
            </w:pPr>
            <w:r>
              <w:rPr>
                <w:rFonts w:ascii="Calibri" w:cs="Calibri" w:eastAsia="Calibri" w:hAnsi="Calibri"/>
                <w:color w:val="5B564C"/>
                <w:sz w:val="17"/>
                <w:szCs w:val="17"/>
              </w:rPr>
              <w:t xml:space="preserve">petrol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GASOLIO</w:t>
            </w:r>
          </w:p>
          <w:p>
            <w:pPr>
              <w:spacing w:before="60"/>
            </w:pPr>
            <w:r>
              <w:rPr>
                <w:rFonts w:ascii="Calibri" w:cs="Calibri" w:eastAsia="Calibri" w:hAnsi="Calibri"/>
                <w:b/>
                <w:bCs/>
                <w:color w:val="14120F"/>
                <w:sz w:val="28"/>
                <w:szCs w:val="28"/>
              </w:rPr>
              <w:t xml:space="preserve">€2.229</w:t>
            </w:r>
          </w:p>
          <w:p>
            <w:pPr>
              <w:spacing w:before="40"/>
            </w:pPr>
            <w:r>
              <w:rPr>
                <w:rFonts w:ascii="Calibri" w:cs="Calibri" w:eastAsia="Calibri" w:hAnsi="Calibri"/>
                <w:color w:val="5B564C"/>
                <w:sz w:val="17"/>
                <w:szCs w:val="17"/>
              </w:rPr>
              <w:t xml:space="preserve">diesel</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GPL</w:t>
            </w:r>
          </w:p>
          <w:p>
            <w:pPr>
              <w:spacing w:before="60"/>
            </w:pPr>
            <w:r>
              <w:rPr>
                <w:rFonts w:ascii="Calibri" w:cs="Calibri" w:eastAsia="Calibri" w:hAnsi="Calibri"/>
                <w:b/>
                <w:bCs/>
                <w:color w:val="14120F"/>
                <w:sz w:val="28"/>
                <w:szCs w:val="28"/>
              </w:rPr>
              <w:t xml:space="preserve">€0.705</w:t>
            </w:r>
          </w:p>
          <w:p>
            <w:pPr>
              <w:spacing w:before="40"/>
            </w:pPr>
            <w:r>
              <w:rPr>
                <w:rFonts w:ascii="Calibri" w:cs="Calibri" w:eastAsia="Calibri" w:hAnsi="Calibri"/>
                <w:color w:val="5B564C"/>
                <w:sz w:val="17"/>
                <w:szCs w:val="17"/>
              </w:rPr>
              <w:t xml:space="preserve">LPG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METANO</w:t>
            </w:r>
          </w:p>
          <w:p>
            <w:pPr>
              <w:spacing w:before="60"/>
            </w:pPr>
            <w:r>
              <w:rPr>
                <w:rFonts w:ascii="Calibri" w:cs="Calibri" w:eastAsia="Calibri" w:hAnsi="Calibri"/>
                <w:b/>
                <w:bCs/>
                <w:color w:val="14120F"/>
                <w:sz w:val="28"/>
                <w:szCs w:val="28"/>
              </w:rPr>
              <w:t xml:space="preserve">€1.849</w:t>
            </w:r>
          </w:p>
          <w:p>
            <w:pPr>
              <w:spacing w:before="40"/>
            </w:pPr>
            <w:r>
              <w:rPr>
                <w:rFonts w:ascii="Calibri" w:cs="Calibri" w:eastAsia="Calibri" w:hAnsi="Calibri"/>
                <w:color w:val="5B564C"/>
                <w:sz w:val="17"/>
                <w:szCs w:val="17"/>
              </w:rPr>
              <w:t xml:space="preserve">CNG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5B564C"/>
          <w:sz w:val="18"/>
          <w:szCs w:val="18"/>
        </w:rPr>
        <w:t xml:space="preserve">Registered stations: 1,579 · Reporting today: 1,434 (91%) · Sep 12</w:t>
      </w:r>
    </w:p>
    <w:p>
      <w:r>
        <w:br w:type="page"/>
      </w:r>
    </w:p>
    <w:p>
      <w:pPr>
        <w:spacing w:after="80"/>
      </w:pPr>
      <w:r>
        <w:rPr>
          <w:rFonts w:ascii="Calibri" w:cs="Calibri" w:eastAsia="Calibri" w:hAnsi="Calibri"/>
          <w:b/>
          <w:bCs/>
          <w:color w:val="B9790A"/>
          <w:sz w:val="18"/>
          <w:szCs w:val="18"/>
        </w:rPr>
        <w:t xml:space="preserve">EXECUTIVE SUMMARY</w:t>
      </w:r>
    </w:p>
    <w:p>
      <w:pPr>
        <w:spacing w:after="180" w:before="0"/>
      </w:pPr>
      <w:r>
        <w:rPr>
          <w:rFonts w:ascii="Cambria" w:cs="Cambria" w:eastAsia="Cambria" w:hAnsi="Cambria"/>
          <w:b/>
          <w:bCs/>
          <w:color w:val="14120F"/>
          <w:sz w:val="34"/>
          <w:szCs w:val="34"/>
        </w:rPr>
        <w:t xml:space="preserve">Puglia at a glance</w:t>
      </w:r>
    </w:p>
    <w:p>
      <w:pPr>
        <w:spacing w:after="200"/>
      </w:pPr>
      <w:r>
        <w:rPr>
          <w:rFonts w:ascii="Calibri" w:cs="Calibri" w:eastAsia="Calibri" w:hAnsi="Calibri"/>
          <w:b w:val="false"/>
          <w:bCs w:val="false"/>
          <w:i w:val="false"/>
          <w:iCs w:val="false"/>
          <w:color w:val="14120F"/>
          <w:sz w:val="22"/>
          <w:szCs w:val="22"/>
        </w:rPr>
        <w:t xml:space="preserve">As of September 12, self-service Benzina in Puglia sits at €2.1159 a litre and Gasolio at €2.2294, both up roughly half a percent from the day before and both essentially level with the national self-service averages of €2.1117 and €2.2361 respectively. GPL is the region's standout bargain at €0.7053 against a national €0.7543 — a gap of nearly 6.5% — while Metano is the mirror image, at €1.849 against Italy's €1.7256, over 7% above the national mark. Puglia's 1,579 registered stations, 1,434 of them (90.8%) reporting prices today, track close to the national reporting rate of 90.2%.</w:t>
      </w:r>
    </w:p>
    <w:p>
      <w:pPr>
        <w:spacing w:after="200"/>
      </w:pPr>
      <w:r>
        <w:rPr>
          <w:rFonts w:ascii="Calibri" w:cs="Calibri" w:eastAsia="Calibri" w:hAnsi="Calibri"/>
          <w:b w:val="false"/>
          <w:bCs w:val="false"/>
          <w:i w:val="false"/>
          <w:iCs w:val="false"/>
          <w:color w:val="14120F"/>
          <w:sz w:val="22"/>
          <w:szCs w:val="22"/>
        </w:rPr>
        <w:t xml:space="preserve">Zoom out to the eight weeks of data behind today's snapshot and a sharper pattern emerges: Metano has risen nationally by 13.2% since the week of July 20, actually outpacing Puglia's own 8.5% rise over the same stretch — Italy's methane prices are converging upward toward Puglia's level rather than the other way around, and the regional premium has narrowed from about 11.6% to roughly 7% even as both keep climbing. GPL tells the opposite story: Puglia's price has drifted down 1.4% since late July while the national average has barely moved, a modest but persistent divergence that's made the region's GPL premium over rivals even more pronounced than it was two months ago.</w:t>
      </w:r>
    </w:p>
    <w:p>
      <w:pPr>
        <w:spacing w:after="200" w:before="200"/>
        <w:jc w:val="center"/>
      </w:pPr>
      <w:r>
        <w:rPr>
          <w:rFonts w:ascii="Cambria" w:cs="Cambria" w:eastAsia="Cambria" w:hAnsi="Cambria"/>
          <w:b/>
          <w:bCs/>
          <w:i/>
          <w:iCs/>
          <w:color w:val="B9790A"/>
          <w:sz w:val="30"/>
          <w:szCs w:val="30"/>
        </w:rPr>
        <w:t xml:space="preserve">Since late July, Italy's national Metano price has climbed 13.2% — faster than Puglia's own 8.5% rise — closing a regional gap that started at 11.6% down to about 7% today.</w:t>
      </w:r>
    </w:p>
    <w:p>
      <w:r>
        <w:br w:type="page"/>
      </w:r>
    </w:p>
    <w:p>
      <w:pPr>
        <w:spacing w:after="80"/>
      </w:pPr>
      <w:r>
        <w:rPr>
          <w:rFonts w:ascii="Calibri" w:cs="Calibri" w:eastAsia="Calibri" w:hAnsi="Calibri"/>
          <w:b/>
          <w:bCs/>
          <w:color w:val="B9790A"/>
          <w:sz w:val="18"/>
          <w:szCs w:val="18"/>
        </w:rPr>
        <w:t xml:space="preserve">FUEL SPOTLIGHT · BENZINA (petrol)</w:t>
      </w:r>
    </w:p>
    <w:p>
      <w:pPr>
        <w:spacing w:after="180" w:before="0"/>
      </w:pPr>
      <w:r>
        <w:rPr>
          <w:rFonts w:ascii="Cambria" w:cs="Cambria" w:eastAsia="Cambria" w:hAnsi="Cambria"/>
          <w:b/>
          <w:bCs/>
          <w:color w:val="2A78D6"/>
          <w:sz w:val="34"/>
          <w:szCs w:val="34"/>
        </w:rPr>
        <w:t xml:space="preserve">Benzina Tracks the National Line, Almost to the Cent</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€2.116</w:t>
            </w:r>
          </w:p>
          <w:p>
            <w:pPr>
              <w:spacing w:before="40"/>
            </w:pPr>
            <w:r>
              <w:rPr>
                <w:rFonts w:ascii="Calibri" w:cs="Calibri" w:eastAsia="Calibri" w:hAnsi="Calibri"/>
                <w:color w:val="5B564C"/>
                <w:sz w:val="17"/>
                <w:szCs w:val="17"/>
              </w:rPr>
              <w:t xml:space="preserve">Sep 12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+5.7%</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+5.6%</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Self-service Benzina in Puglia closed at €2.1159 per litre on September 12, up €0.0102 (+0.48%) from €2.1057 the day before. That puts the region just €0.0042 above the national self-service average of €2.1117 — a gap of only 0.2%, tight enough that Puglia is effectively pricing in line with the rest of the country rather than standing out in either direction.</w:t>
      </w:r>
    </w:p>
    <w:p>
      <w:pPr>
        <w:spacing w:after="200"/>
      </w:pPr>
      <w:r>
        <w:rPr>
          <w:rFonts w:ascii="Calibri" w:cs="Calibri" w:eastAsia="Calibri" w:hAnsi="Calibri"/>
          <w:b w:val="false"/>
          <w:bCs w:val="false"/>
          <w:i w:val="false"/>
          <w:iCs w:val="false"/>
          <w:color w:val="14120F"/>
          <w:sz w:val="22"/>
          <w:szCs w:val="22"/>
        </w:rPr>
        <w:t xml:space="preserve">The eight-week trend backs that up: Puglia's weekly Benzina average rose from €1.9839 in the week of July 20 to €2.0962 in the week of September 7, a 5.66% increase, versus a near-identical 5.58% nationally (from €1.9756 to €2.0858). Both series show the same shape — a flattish plateau through early-to-mid August, then a steady climb from late August onward — which suggests Puglia's pump prices are being driven by the same national cost pressures as everywhere else, not by anything regional.</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Benzina — Region</w:t>
            </w:r>
          </w:p>
        </w:tc>
        <w:tc>
          <w:tcPr>
            <w:tcW w:type="dxa" w:w="2400"/>
            <w:shd w:fill="F0EDE6" w:val="clear"/>
          </w:tcPr>
          <w:p>
            <w:r>
              <w:rPr>
                <w:rFonts w:ascii="Calibri" w:cs="Calibri" w:eastAsia="Calibri" w:hAnsi="Calibri"/>
                <w:b/>
                <w:bCs/>
                <w:sz w:val="18"/>
                <w:szCs w:val="18"/>
              </w:rPr>
              <w:t xml:space="preserve">Benzina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2A78D6"/>
                <w:sz w:val="18"/>
                <w:szCs w:val="18"/>
              </w:rPr>
              <w:t xml:space="preserve">€1.984</w:t>
            </w:r>
          </w:p>
        </w:tc>
        <w:tc>
          <w:tcPr>
            <w:tcW w:type="dxa" w:w="2400"/>
          </w:tcPr>
          <w:p>
            <w:r>
              <w:rPr>
                <w:rFonts w:ascii="Calibri" w:cs="Calibri" w:eastAsia="Calibri" w:hAnsi="Calibri"/>
                <w:color w:val="14120F"/>
                <w:sz w:val="18"/>
                <w:szCs w:val="18"/>
              </w:rPr>
              <w:t xml:space="preserve">€1.976</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2A78D6"/>
                <w:sz w:val="18"/>
                <w:szCs w:val="18"/>
              </w:rPr>
              <w:t xml:space="preserve">€2.011</w:t>
            </w:r>
          </w:p>
        </w:tc>
        <w:tc>
          <w:tcPr>
            <w:tcW w:type="dxa" w:w="2400"/>
          </w:tcPr>
          <w:p>
            <w:r>
              <w:rPr>
                <w:rFonts w:ascii="Calibri" w:cs="Calibri" w:eastAsia="Calibri" w:hAnsi="Calibri"/>
                <w:color w:val="14120F"/>
                <w:sz w:val="18"/>
                <w:szCs w:val="18"/>
              </w:rPr>
              <w:t xml:space="preserve">€2.003</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2A78D6"/>
                <w:sz w:val="18"/>
                <w:szCs w:val="18"/>
              </w:rPr>
              <w:t xml:space="preserve">€2.015</w:t>
            </w:r>
          </w:p>
        </w:tc>
        <w:tc>
          <w:tcPr>
            <w:tcW w:type="dxa" w:w="2400"/>
          </w:tcPr>
          <w:p>
            <w:r>
              <w:rPr>
                <w:rFonts w:ascii="Calibri" w:cs="Calibri" w:eastAsia="Calibri" w:hAnsi="Calibri"/>
                <w:color w:val="14120F"/>
                <w:sz w:val="18"/>
                <w:szCs w:val="18"/>
              </w:rPr>
              <w:t xml:space="preserve">€2.006</w:t>
            </w:r>
          </w:p>
        </w:tc>
        <w:tc>
          <w:tcPr>
            <w:tcW w:type="dxa" w:w="2400"/>
          </w:tcPr>
          <w:p>
            <w:r>
              <w:rPr>
                <w:rFonts w:ascii="Calibri" w:cs="Calibri" w:eastAsia="Calibri" w:hAnsi="Calibri"/>
                <w:color w:val="14120F"/>
                <w:sz w:val="18"/>
                <w:szCs w:val="18"/>
              </w:rPr>
              <w:t xml:space="preserve">↑ +0.010 €/L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2A78D6"/>
                <w:sz w:val="18"/>
                <w:szCs w:val="18"/>
              </w:rPr>
              <w:t xml:space="preserve">€2.012</w:t>
            </w:r>
          </w:p>
        </w:tc>
        <w:tc>
          <w:tcPr>
            <w:tcW w:type="dxa" w:w="2400"/>
          </w:tcPr>
          <w:p>
            <w:r>
              <w:rPr>
                <w:rFonts w:ascii="Calibri" w:cs="Calibri" w:eastAsia="Calibri" w:hAnsi="Calibri"/>
                <w:color w:val="14120F"/>
                <w:sz w:val="18"/>
                <w:szCs w:val="18"/>
              </w:rPr>
              <w:t xml:space="preserve">€2.001</w:t>
            </w:r>
          </w:p>
        </w:tc>
        <w:tc>
          <w:tcPr>
            <w:tcW w:type="dxa" w:w="2400"/>
          </w:tcPr>
          <w:p>
            <w:r>
              <w:rPr>
                <w:rFonts w:ascii="Calibri" w:cs="Calibri" w:eastAsia="Calibri" w:hAnsi="Calibri"/>
                <w:color w:val="14120F"/>
                <w:sz w:val="18"/>
                <w:szCs w:val="18"/>
              </w:rPr>
              <w:t xml:space="preserve">↑ +0.011 €/L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2A78D6"/>
                <w:sz w:val="18"/>
                <w:szCs w:val="18"/>
              </w:rPr>
              <w:t xml:space="preserve">€2.027</w:t>
            </w:r>
          </w:p>
        </w:tc>
        <w:tc>
          <w:tcPr>
            <w:tcW w:type="dxa" w:w="2400"/>
          </w:tcPr>
          <w:p>
            <w:r>
              <w:rPr>
                <w:rFonts w:ascii="Calibri" w:cs="Calibri" w:eastAsia="Calibri" w:hAnsi="Calibri"/>
                <w:color w:val="14120F"/>
                <w:sz w:val="18"/>
                <w:szCs w:val="18"/>
              </w:rPr>
              <w:t xml:space="preserve">€2.013</w:t>
            </w:r>
          </w:p>
        </w:tc>
        <w:tc>
          <w:tcPr>
            <w:tcW w:type="dxa" w:w="2400"/>
          </w:tcPr>
          <w:p>
            <w:r>
              <w:rPr>
                <w:rFonts w:ascii="Calibri" w:cs="Calibri" w:eastAsia="Calibri" w:hAnsi="Calibri"/>
                <w:color w:val="14120F"/>
                <w:sz w:val="18"/>
                <w:szCs w:val="18"/>
              </w:rPr>
              <w:t xml:space="preserve">↑ +0.014 €/L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2A78D6"/>
                <w:sz w:val="18"/>
                <w:szCs w:val="18"/>
              </w:rPr>
              <w:t xml:space="preserve">€2.047</w:t>
            </w:r>
          </w:p>
        </w:tc>
        <w:tc>
          <w:tcPr>
            <w:tcW w:type="dxa" w:w="2400"/>
          </w:tcPr>
          <w:p>
            <w:r>
              <w:rPr>
                <w:rFonts w:ascii="Calibri" w:cs="Calibri" w:eastAsia="Calibri" w:hAnsi="Calibri"/>
                <w:color w:val="14120F"/>
                <w:sz w:val="18"/>
                <w:szCs w:val="18"/>
              </w:rPr>
              <w:t xml:space="preserve">€2.027</w:t>
            </w:r>
          </w:p>
        </w:tc>
        <w:tc>
          <w:tcPr>
            <w:tcW w:type="dxa" w:w="2400"/>
          </w:tcPr>
          <w:p>
            <w:r>
              <w:rPr>
                <w:rFonts w:ascii="Calibri" w:cs="Calibri" w:eastAsia="Calibri" w:hAnsi="Calibri"/>
                <w:color w:val="14120F"/>
                <w:sz w:val="18"/>
                <w:szCs w:val="18"/>
              </w:rPr>
              <w:t xml:space="preserve">↑ +0.019 €/L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2A78D6"/>
                <w:sz w:val="18"/>
                <w:szCs w:val="18"/>
              </w:rPr>
              <w:t xml:space="preserve">€2.058</w:t>
            </w:r>
          </w:p>
        </w:tc>
        <w:tc>
          <w:tcPr>
            <w:tcW w:type="dxa" w:w="2400"/>
          </w:tcPr>
          <w:p>
            <w:r>
              <w:rPr>
                <w:rFonts w:ascii="Calibri" w:cs="Calibri" w:eastAsia="Calibri" w:hAnsi="Calibri"/>
                <w:color w:val="14120F"/>
                <w:sz w:val="18"/>
                <w:szCs w:val="18"/>
              </w:rPr>
              <w:t xml:space="preserve">€2.039</w:t>
            </w:r>
          </w:p>
        </w:tc>
        <w:tc>
          <w:tcPr>
            <w:tcW w:type="dxa" w:w="2400"/>
          </w:tcPr>
          <w:p>
            <w:r>
              <w:rPr>
                <w:rFonts w:ascii="Calibri" w:cs="Calibri" w:eastAsia="Calibri" w:hAnsi="Calibri"/>
                <w:color w:val="14120F"/>
                <w:sz w:val="18"/>
                <w:szCs w:val="18"/>
              </w:rPr>
              <w:t xml:space="preserve">↑ +0.020 €/L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2A78D6"/>
                <w:sz w:val="18"/>
                <w:szCs w:val="18"/>
              </w:rPr>
              <w:t xml:space="preserve">€2.096</w:t>
            </w:r>
          </w:p>
        </w:tc>
        <w:tc>
          <w:tcPr>
            <w:tcW w:type="dxa" w:w="2400"/>
          </w:tcPr>
          <w:p>
            <w:r>
              <w:rPr>
                <w:rFonts w:ascii="Calibri" w:cs="Calibri" w:eastAsia="Calibri" w:hAnsi="Calibri"/>
                <w:color w:val="14120F"/>
                <w:sz w:val="18"/>
                <w:szCs w:val="18"/>
              </w:rPr>
              <w:t xml:space="preserve">€2.086</w:t>
            </w:r>
          </w:p>
        </w:tc>
        <w:tc>
          <w:tcPr>
            <w:tcW w:type="dxa" w:w="2400"/>
          </w:tcPr>
          <w:p>
            <w:r>
              <w:rPr>
                <w:rFonts w:ascii="Calibri" w:cs="Calibri" w:eastAsia="Calibri" w:hAnsi="Calibri"/>
                <w:color w:val="14120F"/>
                <w:sz w:val="18"/>
                <w:szCs w:val="18"/>
              </w:rPr>
              <w:t xml:space="preserve">↑ +0.010 €/L</w:t>
            </w:r>
          </w:p>
        </w:tc>
      </w:tr>
    </w:tbl>
    <w:p>
      <w:r>
        <w:br w:type="page"/>
      </w:r>
    </w:p>
    <w:p>
      <w:pPr>
        <w:spacing w:after="80"/>
      </w:pPr>
      <w:r>
        <w:rPr>
          <w:rFonts w:ascii="Calibri" w:cs="Calibri" w:eastAsia="Calibri" w:hAnsi="Calibri"/>
          <w:b/>
          <w:bCs/>
          <w:color w:val="B9790A"/>
          <w:sz w:val="18"/>
          <w:szCs w:val="18"/>
        </w:rPr>
        <w:t xml:space="preserve">FUEL SPOTLIGHT · GASOLIO (diesel)</w:t>
      </w:r>
    </w:p>
    <w:p>
      <w:pPr>
        <w:spacing w:after="180" w:before="0"/>
      </w:pPr>
      <w:r>
        <w:rPr>
          <w:rFonts w:ascii="Cambria" w:cs="Cambria" w:eastAsia="Cambria" w:hAnsi="Cambria"/>
          <w:b/>
          <w:bCs/>
          <w:color w:val="1BAF7A"/>
          <w:sz w:val="34"/>
          <w:szCs w:val="34"/>
        </w:rPr>
        <w:t xml:space="preserve">Diesel's Slow Comeback Runs a Touch Hotter in Puglia</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€2.229</w:t>
            </w:r>
          </w:p>
          <w:p>
            <w:pPr>
              <w:spacing w:before="40"/>
            </w:pPr>
            <w:r>
              <w:rPr>
                <w:rFonts w:ascii="Calibri" w:cs="Calibri" w:eastAsia="Calibri" w:hAnsi="Calibri"/>
                <w:color w:val="5B564C"/>
                <w:sz w:val="17"/>
                <w:szCs w:val="17"/>
              </w:rPr>
              <w:t xml:space="preserve">Sep 12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+0.011 €/L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+1.9%</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+1.7%</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Gasolio self-service in Puglia reached €2.2294 on September 12, up €0.0107 (+0.48%) day over day, landing €0.0067 below the national self-service average of €2.2361 — a modest 0.3% discount versus the rest of Italy.</w:t>
      </w:r>
    </w:p>
    <w:p>
      <w:pPr>
        <w:spacing w:after="200"/>
      </w:pPr>
      <w:r>
        <w:rPr>
          <w:rFonts w:ascii="Calibri" w:cs="Calibri" w:eastAsia="Calibri" w:hAnsi="Calibri"/>
          <w:b w:val="false"/>
          <w:bCs w:val="false"/>
          <w:i w:val="false"/>
          <w:iCs w:val="false"/>
          <w:color w:val="14120F"/>
          <w:sz w:val="22"/>
          <w:szCs w:val="22"/>
        </w:rPr>
        <w:t xml:space="preserve">The weekly series shows diesel actually falling through most of August before turning around: Puglia's average dropped from €2.1672 (week of July 20) to a low of €2.1159 (week of August 10), then climbed back to €2.2094 by the week of September 7 — a 4.42% rise off that bottom. Nationally the same low-then-recover pattern played out, from €2.1133 up to €2.2115, a slightly larger 4.65% rebound. Over the full eight weeks Puglia is up 1.95% against a national 1.69% gain, so the region's diesel has run marginally hotter than the country as a whole through this recovery, even though today's price still sits a hair under the national figure.</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Gasolio — Region</w:t>
            </w:r>
          </w:p>
        </w:tc>
        <w:tc>
          <w:tcPr>
            <w:tcW w:type="dxa" w:w="2400"/>
            <w:shd w:fill="F0EDE6" w:val="clear"/>
          </w:tcPr>
          <w:p>
            <w:r>
              <w:rPr>
                <w:rFonts w:ascii="Calibri" w:cs="Calibri" w:eastAsia="Calibri" w:hAnsi="Calibri"/>
                <w:b/>
                <w:bCs/>
                <w:sz w:val="18"/>
                <w:szCs w:val="18"/>
              </w:rPr>
              <w:t xml:space="preserve">Gasolio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BAF7A"/>
                <w:sz w:val="18"/>
                <w:szCs w:val="18"/>
              </w:rPr>
              <w:t xml:space="preserve">€2.167</w:t>
            </w:r>
          </w:p>
        </w:tc>
        <w:tc>
          <w:tcPr>
            <w:tcW w:type="dxa" w:w="2400"/>
          </w:tcPr>
          <w:p>
            <w:r>
              <w:rPr>
                <w:rFonts w:ascii="Calibri" w:cs="Calibri" w:eastAsia="Calibri" w:hAnsi="Calibri"/>
                <w:color w:val="14120F"/>
                <w:sz w:val="18"/>
                <w:szCs w:val="18"/>
              </w:rPr>
              <w:t xml:space="preserve">€2.175</w:t>
            </w:r>
          </w:p>
        </w:tc>
        <w:tc>
          <w:tcPr>
            <w:tcW w:type="dxa" w:w="2400"/>
          </w:tcPr>
          <w:p>
            <w:r>
              <w:rPr>
                <w:rFonts w:ascii="Calibri" w:cs="Calibri" w:eastAsia="Calibri" w:hAnsi="Calibri"/>
                <w:color w:val="14120F"/>
                <w:sz w:val="18"/>
                <w:szCs w:val="18"/>
              </w:rPr>
              <w:t xml:space="preserve">↓ -0.008 €/L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BAF7A"/>
                <w:sz w:val="18"/>
                <w:szCs w:val="18"/>
              </w:rPr>
              <w:t xml:space="preserve">€2.139</w:t>
            </w:r>
          </w:p>
        </w:tc>
        <w:tc>
          <w:tcPr>
            <w:tcW w:type="dxa" w:w="2400"/>
          </w:tcPr>
          <w:p>
            <w:r>
              <w:rPr>
                <w:rFonts w:ascii="Calibri" w:cs="Calibri" w:eastAsia="Calibri" w:hAnsi="Calibri"/>
                <w:color w:val="14120F"/>
                <w:sz w:val="18"/>
                <w:szCs w:val="18"/>
              </w:rPr>
              <w:t xml:space="preserve">€2.136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BAF7A"/>
                <w:sz w:val="18"/>
                <w:szCs w:val="18"/>
              </w:rPr>
              <w:t xml:space="preserve">€2.122</w:t>
            </w:r>
          </w:p>
        </w:tc>
        <w:tc>
          <w:tcPr>
            <w:tcW w:type="dxa" w:w="2400"/>
          </w:tcPr>
          <w:p>
            <w:r>
              <w:rPr>
                <w:rFonts w:ascii="Calibri" w:cs="Calibri" w:eastAsia="Calibri" w:hAnsi="Calibri"/>
                <w:color w:val="14120F"/>
                <w:sz w:val="18"/>
                <w:szCs w:val="18"/>
              </w:rPr>
              <w:t xml:space="preserve">€2.118</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BAF7A"/>
                <w:sz w:val="18"/>
                <w:szCs w:val="18"/>
              </w:rPr>
              <w:t xml:space="preserve">€2.116</w:t>
            </w:r>
          </w:p>
        </w:tc>
        <w:tc>
          <w:tcPr>
            <w:tcW w:type="dxa" w:w="2400"/>
          </w:tcPr>
          <w:p>
            <w:r>
              <w:rPr>
                <w:rFonts w:ascii="Calibri" w:cs="Calibri" w:eastAsia="Calibri" w:hAnsi="Calibri"/>
                <w:color w:val="14120F"/>
                <w:sz w:val="18"/>
                <w:szCs w:val="18"/>
              </w:rPr>
              <w:t xml:space="preserve">€2.113</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BAF7A"/>
                <w:sz w:val="18"/>
                <w:szCs w:val="18"/>
              </w:rPr>
              <w:t xml:space="preserve">€2.142</w:t>
            </w:r>
          </w:p>
        </w:tc>
        <w:tc>
          <w:tcPr>
            <w:tcW w:type="dxa" w:w="2400"/>
          </w:tcPr>
          <w:p>
            <w:r>
              <w:rPr>
                <w:rFonts w:ascii="Calibri" w:cs="Calibri" w:eastAsia="Calibri" w:hAnsi="Calibri"/>
                <w:color w:val="14120F"/>
                <w:sz w:val="18"/>
                <w:szCs w:val="18"/>
              </w:rPr>
              <w:t xml:space="preserve">€2.141</w:t>
            </w:r>
          </w:p>
        </w:tc>
        <w:tc>
          <w:tcPr>
            <w:tcW w:type="dxa" w:w="2400"/>
          </w:tcPr>
          <w:p>
            <w:r>
              <w:rPr>
                <w:rFonts w:ascii="Calibri" w:cs="Calibri" w:eastAsia="Calibri" w:hAnsi="Calibri"/>
                <w:color w:val="14120F"/>
                <w:sz w:val="18"/>
                <w:szCs w:val="18"/>
              </w:rPr>
              <w:t xml:space="preserve">↑ +0.001 €/L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BAF7A"/>
                <w:sz w:val="18"/>
                <w:szCs w:val="18"/>
              </w:rPr>
              <w:t xml:space="preserve">€2.164</w:t>
            </w:r>
          </w:p>
        </w:tc>
        <w:tc>
          <w:tcPr>
            <w:tcW w:type="dxa" w:w="2400"/>
          </w:tcPr>
          <w:p>
            <w:r>
              <w:rPr>
                <w:rFonts w:ascii="Calibri" w:cs="Calibri" w:eastAsia="Calibri" w:hAnsi="Calibri"/>
                <w:color w:val="14120F"/>
                <w:sz w:val="18"/>
                <w:szCs w:val="18"/>
              </w:rPr>
              <w:t xml:space="preserve">€2.162</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BAF7A"/>
                <w:sz w:val="18"/>
                <w:szCs w:val="18"/>
              </w:rPr>
              <w:t xml:space="preserve">€2.169</w:t>
            </w:r>
          </w:p>
        </w:tc>
        <w:tc>
          <w:tcPr>
            <w:tcW w:type="dxa" w:w="2400"/>
          </w:tcPr>
          <w:p>
            <w:r>
              <w:rPr>
                <w:rFonts w:ascii="Calibri" w:cs="Calibri" w:eastAsia="Calibri" w:hAnsi="Calibri"/>
                <w:color w:val="14120F"/>
                <w:sz w:val="18"/>
                <w:szCs w:val="18"/>
              </w:rPr>
              <w:t xml:space="preserve">€2.166</w:t>
            </w:r>
          </w:p>
        </w:tc>
        <w:tc>
          <w:tcPr>
            <w:tcW w:type="dxa" w:w="2400"/>
          </w:tcPr>
          <w:p>
            <w:r>
              <w:rPr>
                <w:rFonts w:ascii="Calibri" w:cs="Calibri" w:eastAsia="Calibri" w:hAnsi="Calibri"/>
                <w:color w:val="14120F"/>
                <w:sz w:val="18"/>
                <w:szCs w:val="18"/>
              </w:rPr>
              <w:t xml:space="preserve">↑ +0.003 €/L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BAF7A"/>
                <w:sz w:val="18"/>
                <w:szCs w:val="18"/>
              </w:rPr>
              <w:t xml:space="preserve">€2.209</w:t>
            </w:r>
          </w:p>
        </w:tc>
        <w:tc>
          <w:tcPr>
            <w:tcW w:type="dxa" w:w="2400"/>
          </w:tcPr>
          <w:p>
            <w:r>
              <w:rPr>
                <w:rFonts w:ascii="Calibri" w:cs="Calibri" w:eastAsia="Calibri" w:hAnsi="Calibri"/>
                <w:color w:val="14120F"/>
                <w:sz w:val="18"/>
                <w:szCs w:val="18"/>
              </w:rPr>
              <w:t xml:space="preserve">€2.212</w:t>
            </w:r>
          </w:p>
        </w:tc>
        <w:tc>
          <w:tcPr>
            <w:tcW w:type="dxa" w:w="2400"/>
          </w:tcPr>
          <w:p>
            <w:r>
              <w:rPr>
                <w:rFonts w:ascii="Calibri" w:cs="Calibri" w:eastAsia="Calibri" w:hAnsi="Calibri"/>
                <w:color w:val="14120F"/>
                <w:sz w:val="18"/>
                <w:szCs w:val="18"/>
              </w:rPr>
              <w:t xml:space="preserve">↓ -0.002 €/L</w:t>
            </w:r>
          </w:p>
        </w:tc>
      </w:tr>
    </w:tbl>
    <w:p>
      <w:r>
        <w:br w:type="page"/>
      </w:r>
    </w:p>
    <w:p>
      <w:pPr>
        <w:spacing w:after="80"/>
      </w:pPr>
      <w:r>
        <w:rPr>
          <w:rFonts w:ascii="Calibri" w:cs="Calibri" w:eastAsia="Calibri" w:hAnsi="Calibri"/>
          <w:b/>
          <w:bCs/>
          <w:color w:val="B9790A"/>
          <w:sz w:val="18"/>
          <w:szCs w:val="18"/>
        </w:rPr>
        <w:t xml:space="preserve">FUEL SPOTLIGHT · GPL (LPG)</w:t>
      </w:r>
    </w:p>
    <w:p>
      <w:pPr>
        <w:spacing w:after="180" w:before="0"/>
      </w:pPr>
      <w:r>
        <w:rPr>
          <w:rFonts w:ascii="Cambria" w:cs="Cambria" w:eastAsia="Cambria" w:hAnsi="Cambria"/>
          <w:b/>
          <w:bCs/>
          <w:color w:val="C98500"/>
          <w:sz w:val="34"/>
          <w:szCs w:val="34"/>
        </w:rPr>
        <w:t xml:space="preserve">GPL Stays Puglia's Cheapest Fuel, and It's Getting Cheaper Still</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€0.705</w:t>
            </w:r>
          </w:p>
          <w:p>
            <w:pPr>
              <w:spacing w:before="40"/>
            </w:pPr>
            <w:r>
              <w:rPr>
                <w:rFonts w:ascii="Calibri" w:cs="Calibri" w:eastAsia="Calibri" w:hAnsi="Calibri"/>
                <w:color w:val="5B564C"/>
                <w:sz w:val="17"/>
                <w:szCs w:val="17"/>
              </w:rPr>
              <w:t xml:space="preserve">Sep 12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-1.4%</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-0.5%</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GPL self-service held flat in Puglia at €0.7053 on September 12, unchanged from the day before. The bigger number is the gap to the rest of Italy: at a national self-service average of €0.7543, Puglia is pricing GPL €0.0490 lower — a 6.5% discount that makes it by far the region's cheapest fuel relative to its national counterpart.</w:t>
      </w:r>
    </w:p>
    <w:p>
      <w:pPr>
        <w:spacing w:after="200"/>
      </w:pPr>
      <w:r>
        <w:rPr>
          <w:rFonts w:ascii="Calibri" w:cs="Calibri" w:eastAsia="Calibri" w:hAnsi="Calibri"/>
          <w:b w:val="false"/>
          <w:bCs w:val="false"/>
          <w:i w:val="false"/>
          <w:iCs w:val="false"/>
          <w:color w:val="14120F"/>
          <w:sz w:val="22"/>
          <w:szCs w:val="22"/>
        </w:rPr>
        <w:t xml:space="preserve">That discount has been widening, not shrinking. Puglia's weekly GPL average slipped from €0.7148 in the week of July 20 to €0.7047 by the week of September 7, a 1.41% decline, while the national average barely moved over the same period, dropping just 0.54% (from €0.7592 to €0.7551). Eight straight weeks of gentle regional softening against a nearly flat national line means Puglia's GPL edge over the rest of the country has only grown since midsummer.</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GPL — Region</w:t>
            </w:r>
          </w:p>
        </w:tc>
        <w:tc>
          <w:tcPr>
            <w:tcW w:type="dxa" w:w="2400"/>
            <w:shd w:fill="F0EDE6" w:val="clear"/>
          </w:tcPr>
          <w:p>
            <w:r>
              <w:rPr>
                <w:rFonts w:ascii="Calibri" w:cs="Calibri" w:eastAsia="Calibri" w:hAnsi="Calibri"/>
                <w:b/>
                <w:bCs/>
                <w:sz w:val="18"/>
                <w:szCs w:val="18"/>
              </w:rPr>
              <w:t xml:space="preserve">GPL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C98500"/>
                <w:sz w:val="18"/>
                <w:szCs w:val="18"/>
              </w:rPr>
              <w:t xml:space="preserve">€0.715</w:t>
            </w:r>
          </w:p>
        </w:tc>
        <w:tc>
          <w:tcPr>
            <w:tcW w:type="dxa" w:w="2400"/>
          </w:tcPr>
          <w:p>
            <w:r>
              <w:rPr>
                <w:rFonts w:ascii="Calibri" w:cs="Calibri" w:eastAsia="Calibri" w:hAnsi="Calibri"/>
                <w:color w:val="14120F"/>
                <w:sz w:val="18"/>
                <w:szCs w:val="18"/>
              </w:rPr>
              <w:t xml:space="preserve">€0.759</w:t>
            </w:r>
          </w:p>
        </w:tc>
        <w:tc>
          <w:tcPr>
            <w:tcW w:type="dxa" w:w="2400"/>
          </w:tcPr>
          <w:p>
            <w:r>
              <w:rPr>
                <w:rFonts w:ascii="Calibri" w:cs="Calibri" w:eastAsia="Calibri" w:hAnsi="Calibri"/>
                <w:color w:val="14120F"/>
                <w:sz w:val="18"/>
                <w:szCs w:val="18"/>
              </w:rPr>
              <w:t xml:space="preserve">↓ -0.044 €/L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C98500"/>
                <w:sz w:val="18"/>
                <w:szCs w:val="18"/>
              </w:rPr>
              <w:t xml:space="preserve">€0.710</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€0.756</w:t>
            </w:r>
          </w:p>
        </w:tc>
        <w:tc>
          <w:tcPr>
            <w:tcW w:type="dxa" w:w="2400"/>
          </w:tcPr>
          <w:p>
            <w:r>
              <w:rPr>
                <w:rFonts w:ascii="Calibri" w:cs="Calibri" w:eastAsia="Calibri" w:hAnsi="Calibri"/>
                <w:color w:val="14120F"/>
                <w:sz w:val="18"/>
                <w:szCs w:val="18"/>
              </w:rPr>
              <w:t xml:space="preserve">↓ -0.048 €/L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€0.757</w:t>
            </w:r>
          </w:p>
        </w:tc>
        <w:tc>
          <w:tcPr>
            <w:tcW w:type="dxa" w:w="2400"/>
          </w:tcPr>
          <w:p>
            <w:r>
              <w:rPr>
                <w:rFonts w:ascii="Calibri" w:cs="Calibri" w:eastAsia="Calibri" w:hAnsi="Calibri"/>
                <w:color w:val="14120F"/>
                <w:sz w:val="18"/>
                <w:szCs w:val="18"/>
              </w:rPr>
              <w:t xml:space="preserve">↓ -0.049 €/L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C98500"/>
                <w:sz w:val="18"/>
                <w:szCs w:val="18"/>
              </w:rPr>
              <w:t xml:space="preserve">€0.708</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C98500"/>
                <w:sz w:val="18"/>
                <w:szCs w:val="18"/>
              </w:rPr>
              <w:t xml:space="preserve">€0.707</w:t>
            </w:r>
          </w:p>
        </w:tc>
        <w:tc>
          <w:tcPr>
            <w:tcW w:type="dxa" w:w="2400"/>
          </w:tcPr>
          <w:p>
            <w:r>
              <w:rPr>
                <w:rFonts w:ascii="Calibri" w:cs="Calibri" w:eastAsia="Calibri" w:hAnsi="Calibri"/>
                <w:color w:val="14120F"/>
                <w:sz w:val="18"/>
                <w:szCs w:val="18"/>
              </w:rPr>
              <w:t xml:space="preserve">€0.754</w:t>
            </w:r>
          </w:p>
        </w:tc>
        <w:tc>
          <w:tcPr>
            <w:tcW w:type="dxa" w:w="2400"/>
          </w:tcPr>
          <w:p>
            <w:r>
              <w:rPr>
                <w:rFonts w:ascii="Calibri" w:cs="Calibri" w:eastAsia="Calibri" w:hAnsi="Calibri"/>
                <w:color w:val="14120F"/>
                <w:sz w:val="18"/>
                <w:szCs w:val="18"/>
              </w:rPr>
              <w:t xml:space="preserve">↓ -0.047 €/L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C98500"/>
                <w:sz w:val="18"/>
                <w:szCs w:val="18"/>
              </w:rPr>
              <w:t xml:space="preserve">€0.705</w:t>
            </w:r>
          </w:p>
        </w:tc>
        <w:tc>
          <w:tcPr>
            <w:tcW w:type="dxa" w:w="2400"/>
          </w:tcPr>
          <w:p>
            <w:r>
              <w:rPr>
                <w:rFonts w:ascii="Calibri" w:cs="Calibri" w:eastAsia="Calibri" w:hAnsi="Calibri"/>
                <w:color w:val="14120F"/>
                <w:sz w:val="18"/>
                <w:szCs w:val="18"/>
              </w:rPr>
              <w:t xml:space="preserve">€0.755</w:t>
            </w:r>
          </w:p>
        </w:tc>
        <w:tc>
          <w:tcPr>
            <w:tcW w:type="dxa" w:w="2400"/>
          </w:tcPr>
          <w:p>
            <w:r>
              <w:rPr>
                <w:rFonts w:ascii="Calibri" w:cs="Calibri" w:eastAsia="Calibri" w:hAnsi="Calibri"/>
                <w:color w:val="14120F"/>
                <w:sz w:val="18"/>
                <w:szCs w:val="18"/>
              </w:rPr>
              <w:t xml:space="preserve">↓ -0.050 €/L</w:t>
            </w:r>
          </w:p>
        </w:tc>
      </w:tr>
    </w:tbl>
    <w:p>
      <w:r>
        <w:br w:type="page"/>
      </w:r>
    </w:p>
    <w:p>
      <w:pPr>
        <w:spacing w:after="80"/>
      </w:pPr>
      <w:r>
        <w:rPr>
          <w:rFonts w:ascii="Calibri" w:cs="Calibri" w:eastAsia="Calibri" w:hAnsi="Calibri"/>
          <w:b/>
          <w:bCs/>
          <w:color w:val="B9790A"/>
          <w:sz w:val="18"/>
          <w:szCs w:val="18"/>
        </w:rPr>
        <w:t xml:space="preserve">FUEL SPOTLIGHT · METANO (CNG)</w:t>
      </w:r>
    </w:p>
    <w:p>
      <w:pPr>
        <w:spacing w:after="180" w:before="0"/>
      </w:pPr>
      <w:r>
        <w:rPr>
          <w:rFonts w:ascii="Cambria" w:cs="Cambria" w:eastAsia="Cambria" w:hAnsi="Cambria"/>
          <w:b/>
          <w:bCs/>
          <w:color w:val="1F9C1F"/>
          <w:sz w:val="34"/>
          <w:szCs w:val="34"/>
        </w:rPr>
        <w:t xml:space="preserve">Metano's Steepest Climb Yet, But Italy Is Closing the Gap</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LATEST SELF-SERVICE</w:t>
            </w:r>
          </w:p>
          <w:p>
            <w:pPr>
              <w:spacing w:before="60"/>
            </w:pPr>
            <w:r>
              <w:rPr>
                <w:rFonts w:ascii="Calibri" w:cs="Calibri" w:eastAsia="Calibri" w:hAnsi="Calibri"/>
                <w:b/>
                <w:bCs/>
                <w:color w:val="14120F"/>
                <w:sz w:val="28"/>
                <w:szCs w:val="28"/>
              </w:rPr>
              <w:t xml:space="preserve">€1.849</w:t>
            </w:r>
          </w:p>
          <w:p>
            <w:pPr>
              <w:spacing w:before="40"/>
            </w:pPr>
            <w:r>
              <w:rPr>
                <w:rFonts w:ascii="Calibri" w:cs="Calibri" w:eastAsia="Calibri" w:hAnsi="Calibri"/>
                <w:color w:val="5B564C"/>
                <w:sz w:val="17"/>
                <w:szCs w:val="17"/>
              </w:rPr>
              <w:t xml:space="preserve">Sep 12</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VS. YESTERDAY</w:t>
            </w:r>
          </w:p>
          <w:p>
            <w:pPr>
              <w:spacing w:before="60"/>
            </w:pPr>
            <w:r>
              <w:rPr>
                <w:rFonts w:ascii="Calibri" w:cs="Calibri" w:eastAsia="Calibri" w:hAnsi="Calibri"/>
                <w:b/>
                <w:bCs/>
                <w:color w:val="14120F"/>
                <w:sz w:val="28"/>
                <w:szCs w:val="28"/>
              </w:rPr>
              <w:t xml:space="preserve">→ 0.000 €/L</w:t>
            </w:r>
          </w:p>
          <w:p>
            <w:pPr>
              <w:spacing w:before="40"/>
            </w:pPr>
            <w:r>
              <w:rPr>
                <w:rFonts w:ascii="Calibri" w:cs="Calibri" w:eastAsia="Calibri" w:hAnsi="Calibri"/>
                <w:color w:val="5B564C"/>
                <w:sz w:val="17"/>
                <w:szCs w:val="17"/>
              </w:rPr>
              <w:t xml:space="preserve">day-over-day</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SINCE JUL 20</w:t>
            </w:r>
          </w:p>
          <w:p>
            <w:pPr>
              <w:spacing w:before="60"/>
            </w:pPr>
            <w:r>
              <w:rPr>
                <w:rFonts w:ascii="Calibri" w:cs="Calibri" w:eastAsia="Calibri" w:hAnsi="Calibri"/>
                <w:b/>
                <w:bCs/>
                <w:color w:val="14120F"/>
                <w:sz w:val="28"/>
                <w:szCs w:val="28"/>
              </w:rPr>
              <w:t xml:space="preserve">+8.5%</w:t>
            </w:r>
          </w:p>
          <w:p>
            <w:pPr>
              <w:spacing w:before="40"/>
            </w:pPr>
            <w:r>
              <w:rPr>
                <w:rFonts w:ascii="Calibri" w:cs="Calibri" w:eastAsia="Calibri" w:hAnsi="Calibri"/>
                <w:color w:val="5B564C"/>
                <w:sz w:val="17"/>
                <w:szCs w:val="17"/>
              </w:rPr>
              <w:t xml:space="preserve">Puglia, weekly avg</w:t>
            </w:r>
          </w:p>
        </w:tc>
        <w:tc>
          <w:tcPr>
            <w:tcW w:type="dxa" w:w="2250"/>
            <w:shd w:fill="F7EEDD" w:val="clear"/>
            <w:tcMar>
              <w:top w:type="dxa" w:w="160"/>
              <w:left w:type="dxa" w:w="180"/>
              <w:bottom w:type="dxa" w:w="160"/>
              <w:right w:type="dxa" w:w="180"/>
            </w:tcMar>
            <w:vAlign w:val="top"/>
          </w:tcPr>
          <w:p>
            <w:r>
              <w:rPr>
                <w:rFonts w:ascii="Calibri" w:cs="Calibri" w:eastAsia="Calibri" w:hAnsi="Calibri"/>
                <w:b/>
                <w:bCs/>
                <w:color w:val="5B564C"/>
                <w:sz w:val="15"/>
                <w:szCs w:val="15"/>
              </w:rPr>
              <w:t xml:space="preserve">ITALY, SAME SPAN</w:t>
            </w:r>
          </w:p>
          <w:p>
            <w:pPr>
              <w:spacing w:before="60"/>
            </w:pPr>
            <w:r>
              <w:rPr>
                <w:rFonts w:ascii="Calibri" w:cs="Calibri" w:eastAsia="Calibri" w:hAnsi="Calibri"/>
                <w:b/>
                <w:bCs/>
                <w:color w:val="14120F"/>
                <w:sz w:val="28"/>
                <w:szCs w:val="28"/>
              </w:rPr>
              <w:t xml:space="preserve">+13.1%</w:t>
            </w:r>
          </w:p>
          <w:p>
            <w:pPr>
              <w:spacing w:before="40"/>
            </w:pPr>
            <w:r>
              <w:rPr>
                <w:rFonts w:ascii="Calibri" w:cs="Calibri" w:eastAsia="Calibri" w:hAnsi="Calibri"/>
                <w:color w:val="5B564C"/>
                <w:sz w:val="17"/>
                <w:szCs w:val="17"/>
              </w:rPr>
              <w:t xml:space="preserve">national weekly avg</w:t>
            </w:r>
          </w:p>
        </w:tc>
      </w:tr>
    </w:tbl>
    <w:p>
      <w:pPr>
        <w:spacing w:after="200"/>
      </w:pPr>
      <w:r>
        <w:rPr>
          <w:rFonts w:ascii="Calibri" w:cs="Calibri" w:eastAsia="Calibri" w:hAnsi="Calibri"/>
          <w:b w:val="false"/>
          <w:bCs w:val="false"/>
          <w:i w:val="false"/>
          <w:iCs w:val="false"/>
          <w:color w:val="14120F"/>
          <w:sz w:val="22"/>
          <w:szCs w:val="22"/>
        </w:rPr>
        <w:t xml:space="preserve"/>
      </w:r>
    </w:p>
    <w:p>
      <w:pPr>
        <w:spacing w:after="200"/>
      </w:pPr>
      <w:r>
        <w:rPr>
          <w:rFonts w:ascii="Calibri" w:cs="Calibri" w:eastAsia="Calibri" w:hAnsi="Calibri"/>
          <w:b w:val="false"/>
          <w:bCs w:val="false"/>
          <w:i w:val="false"/>
          <w:iCs w:val="false"/>
          <w:color w:val="14120F"/>
          <w:sz w:val="22"/>
          <w:szCs w:val="22"/>
        </w:rPr>
        <w:t xml:space="preserve">Metano self-service in Puglia held at €1.849 on September 12, flat versus the previous day, but still the region's most expensive fuel relative to the rest of Italy: at €1.7256 nationally, Puglia sits €0.1234 above the national self-service average, a 7.15% premium.</w:t>
      </w:r>
    </w:p>
    <w:p>
      <w:pPr>
        <w:spacing w:after="200"/>
      </w:pPr>
      <w:r>
        <w:rPr>
          <w:rFonts w:ascii="Calibri" w:cs="Calibri" w:eastAsia="Calibri" w:hAnsi="Calibri"/>
          <w:b w:val="false"/>
          <w:bCs w:val="false"/>
          <w:i w:val="false"/>
          <w:iCs w:val="false"/>
          <w:color w:val="14120F"/>
          <w:sz w:val="22"/>
          <w:szCs w:val="22"/>
        </w:rPr>
        <w:t xml:space="preserve">The multi-week trend is the most dramatic of any fuel this period. Puglia's weekly Metano average climbed from €1.674 (week of July 20) to €1.8157 (week of September 7), an 8.47% rise — but that's actually outpaced by the national move, which jumped 13.15% over the same span, from €1.4999 to €1.6971. Both series were essentially flat through early-to-mid August before a sharp inflection in late August and September (Puglia's daily figure alone jumped from €1.649 to €1.849 between August 30 and September 11). The practical effect: Italy is closing in on Puglia's Metano price rather than the other way around, with the regional premium narrowing from roughly 11.6% in late July to about 7% today, even as both keep rising.</w:t>
      </w:r>
    </w:p>
    <w:p>
      <w:pPr>
        <w:spacing w:after="120"/>
      </w:pPr>
      <w:r>
        <w:rPr>
          <w:rFonts w:ascii="Calibri" w:cs="Calibri" w:eastAsia="Calibri" w:hAnsi="Calibri"/>
          <w:b/>
          <w:bCs/>
          <w:i w:val="false"/>
          <w:iCs w:val="false"/>
          <w:color w:val="5B564C"/>
          <w:sz w:val="18"/>
          <w:szCs w:val="18"/>
        </w:rPr>
        <w:t xml:space="preserve">Weekly self-service average, Puglia vs. Italy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c>
          <w:tcPr>
            <w:tcW w:type="dxa" w:w="1800"/>
            <w:shd w:fill="F0EDE6" w:val="clear"/>
          </w:tcPr>
          <w:p>
            <w:r>
              <w:rPr>
                <w:rFonts w:ascii="Calibri" w:cs="Calibri" w:eastAsia="Calibri" w:hAnsi="Calibri"/>
                <w:b/>
                <w:bCs/>
                <w:sz w:val="18"/>
                <w:szCs w:val="18"/>
              </w:rPr>
              <w:t xml:space="preserve">Week of</w:t>
            </w:r>
          </w:p>
        </w:tc>
        <w:tc>
          <w:tcPr>
            <w:tcW w:type="dxa" w:w="2400"/>
            <w:shd w:fill="F0EDE6" w:val="clear"/>
          </w:tcPr>
          <w:p>
            <w:r>
              <w:rPr>
                <w:rFonts w:ascii="Calibri" w:cs="Calibri" w:eastAsia="Calibri" w:hAnsi="Calibri"/>
                <w:b/>
                <w:bCs/>
                <w:sz w:val="18"/>
                <w:szCs w:val="18"/>
              </w:rPr>
              <w:t xml:space="preserve">Metano — Region</w:t>
            </w:r>
          </w:p>
        </w:tc>
        <w:tc>
          <w:tcPr>
            <w:tcW w:type="dxa" w:w="2400"/>
            <w:shd w:fill="F0EDE6" w:val="clear"/>
          </w:tcPr>
          <w:p>
            <w:r>
              <w:rPr>
                <w:rFonts w:ascii="Calibri" w:cs="Calibri" w:eastAsia="Calibri" w:hAnsi="Calibri"/>
                <w:b/>
                <w:bCs/>
                <w:sz w:val="18"/>
                <w:szCs w:val="18"/>
              </w:rPr>
              <w:t xml:space="preserve">Metano — Italy</w:t>
            </w:r>
          </w:p>
        </w:tc>
        <w:tc>
          <w:tcPr>
            <w:tcW w:type="dxa" w:w="2400"/>
            <w:shd w:fill="F0EDE6" w:val="clear"/>
          </w:tcPr>
          <w:p>
            <w:r>
              <w:rPr>
                <w:rFonts w:ascii="Calibri" w:cs="Calibri" w:eastAsia="Calibri" w:hAnsi="Calibri"/>
                <w:b/>
                <w:bCs/>
                <w:sz w:val="18"/>
                <w:szCs w:val="18"/>
              </w:rPr>
              <w:t xml:space="preserve">Region vs. Italy</w:t>
            </w:r>
          </w:p>
        </w:tc>
      </w:tr>
      <w:tr>
        <w:tc>
          <w:tcPr>
            <w:tcW w:type="dxa" w:w="1800"/>
          </w:tcPr>
          <w:p>
            <w:r>
              <w:rPr>
                <w:rFonts w:ascii="Calibri" w:cs="Calibri" w:eastAsia="Calibri" w:hAnsi="Calibri"/>
                <w:color w:val="14120F"/>
                <w:sz w:val="18"/>
                <w:szCs w:val="18"/>
              </w:rPr>
              <w:t xml:space="preserve">Jul 20</w:t>
            </w:r>
          </w:p>
        </w:tc>
        <w:tc>
          <w:tcPr>
            <w:tcW w:type="dxa" w:w="2400"/>
          </w:tcPr>
          <w:p>
            <w:r>
              <w:rPr>
                <w:rFonts w:ascii="Calibri" w:cs="Calibri" w:eastAsia="Calibri" w:hAnsi="Calibri"/>
                <w:color w:val="1F9C1F"/>
                <w:sz w:val="18"/>
                <w:szCs w:val="18"/>
              </w:rPr>
              <w:t xml:space="preserve">€1.674</w:t>
            </w:r>
          </w:p>
        </w:tc>
        <w:tc>
          <w:tcPr>
            <w:tcW w:type="dxa" w:w="2400"/>
          </w:tcPr>
          <w:p>
            <w:r>
              <w:rPr>
                <w:rFonts w:ascii="Calibri" w:cs="Calibri" w:eastAsia="Calibri" w:hAnsi="Calibri"/>
                <w:color w:val="14120F"/>
                <w:sz w:val="18"/>
                <w:szCs w:val="18"/>
              </w:rPr>
              <w:t xml:space="preserve">€1.500</w:t>
            </w:r>
          </w:p>
        </w:tc>
        <w:tc>
          <w:tcPr>
            <w:tcW w:type="dxa" w:w="2400"/>
          </w:tcPr>
          <w:p>
            <w:r>
              <w:rPr>
                <w:rFonts w:ascii="Calibri" w:cs="Calibri" w:eastAsia="Calibri" w:hAnsi="Calibri"/>
                <w:color w:val="14120F"/>
                <w:sz w:val="18"/>
                <w:szCs w:val="18"/>
              </w:rPr>
              <w:t xml:space="preserve">↑ +0.174 €/L</w:t>
            </w:r>
          </w:p>
        </w:tc>
      </w:tr>
      <w:tr>
        <w:tc>
          <w:tcPr>
            <w:tcW w:type="dxa" w:w="1800"/>
          </w:tcPr>
          <w:p>
            <w:r>
              <w:rPr>
                <w:rFonts w:ascii="Calibri" w:cs="Calibri" w:eastAsia="Calibri" w:hAnsi="Calibri"/>
                <w:color w:val="14120F"/>
                <w:sz w:val="18"/>
                <w:szCs w:val="18"/>
              </w:rPr>
              <w:t xml:space="preserve">Jul 27</w:t>
            </w:r>
          </w:p>
        </w:tc>
        <w:tc>
          <w:tcPr>
            <w:tcW w:type="dxa" w:w="2400"/>
          </w:tcPr>
          <w:p>
            <w:r>
              <w:rPr>
                <w:rFonts w:ascii="Calibri" w:cs="Calibri" w:eastAsia="Calibri" w:hAnsi="Calibri"/>
                <w:color w:val="1F9C1F"/>
                <w:sz w:val="18"/>
                <w:szCs w:val="18"/>
              </w:rPr>
              <w:t xml:space="preserve">€1.663</w:t>
            </w:r>
          </w:p>
        </w:tc>
        <w:tc>
          <w:tcPr>
            <w:tcW w:type="dxa" w:w="2400"/>
          </w:tcPr>
          <w:p>
            <w:r>
              <w:rPr>
                <w:rFonts w:ascii="Calibri" w:cs="Calibri" w:eastAsia="Calibri" w:hAnsi="Calibri"/>
                <w:color w:val="14120F"/>
                <w:sz w:val="18"/>
                <w:szCs w:val="18"/>
              </w:rPr>
              <w:t xml:space="preserve">€1.518</w:t>
            </w:r>
          </w:p>
        </w:tc>
        <w:tc>
          <w:tcPr>
            <w:tcW w:type="dxa" w:w="2400"/>
          </w:tcPr>
          <w:p>
            <w:r>
              <w:rPr>
                <w:rFonts w:ascii="Calibri" w:cs="Calibri" w:eastAsia="Calibri" w:hAnsi="Calibri"/>
                <w:color w:val="14120F"/>
                <w:sz w:val="18"/>
                <w:szCs w:val="18"/>
              </w:rPr>
              <w:t xml:space="preserve">↑ +0.146 €/L</w:t>
            </w:r>
          </w:p>
        </w:tc>
      </w:tr>
      <w:tr>
        <w:tc>
          <w:tcPr>
            <w:tcW w:type="dxa" w:w="1800"/>
          </w:tcPr>
          <w:p>
            <w:r>
              <w:rPr>
                <w:rFonts w:ascii="Calibri" w:cs="Calibri" w:eastAsia="Calibri" w:hAnsi="Calibri"/>
                <w:color w:val="14120F"/>
                <w:sz w:val="18"/>
                <w:szCs w:val="18"/>
              </w:rPr>
              <w:t xml:space="preserve">Aug 3</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€1.551</w:t>
            </w:r>
          </w:p>
        </w:tc>
        <w:tc>
          <w:tcPr>
            <w:tcW w:type="dxa" w:w="2400"/>
          </w:tcPr>
          <w:p>
            <w:r>
              <w:rPr>
                <w:rFonts w:ascii="Calibri" w:cs="Calibri" w:eastAsia="Calibri" w:hAnsi="Calibri"/>
                <w:color w:val="14120F"/>
                <w:sz w:val="18"/>
                <w:szCs w:val="18"/>
              </w:rPr>
              <w:t xml:space="preserve">↑ +0.098 €/L</w:t>
            </w:r>
          </w:p>
        </w:tc>
      </w:tr>
      <w:tr>
        <w:tc>
          <w:tcPr>
            <w:tcW w:type="dxa" w:w="1800"/>
          </w:tcPr>
          <w:p>
            <w:r>
              <w:rPr>
                <w:rFonts w:ascii="Calibri" w:cs="Calibri" w:eastAsia="Calibri" w:hAnsi="Calibri"/>
                <w:color w:val="14120F"/>
                <w:sz w:val="18"/>
                <w:szCs w:val="18"/>
              </w:rPr>
              <w:t xml:space="preserve">Aug 10</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€1.570</w:t>
            </w:r>
          </w:p>
        </w:tc>
        <w:tc>
          <w:tcPr>
            <w:tcW w:type="dxa" w:w="2400"/>
          </w:tcPr>
          <w:p>
            <w:r>
              <w:rPr>
                <w:rFonts w:ascii="Calibri" w:cs="Calibri" w:eastAsia="Calibri" w:hAnsi="Calibri"/>
                <w:color w:val="14120F"/>
                <w:sz w:val="18"/>
                <w:szCs w:val="18"/>
              </w:rPr>
              <w:t xml:space="preserve">↑ +0.079 €/L</w:t>
            </w:r>
          </w:p>
        </w:tc>
      </w:tr>
      <w:tr>
        <w:tc>
          <w:tcPr>
            <w:tcW w:type="dxa" w:w="1800"/>
          </w:tcPr>
          <w:p>
            <w:r>
              <w:rPr>
                <w:rFonts w:ascii="Calibri" w:cs="Calibri" w:eastAsia="Calibri" w:hAnsi="Calibri"/>
                <w:color w:val="14120F"/>
                <w:sz w:val="18"/>
                <w:szCs w:val="18"/>
              </w:rPr>
              <w:t xml:space="preserve">Aug 17</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€1.581</w:t>
            </w:r>
          </w:p>
        </w:tc>
        <w:tc>
          <w:tcPr>
            <w:tcW w:type="dxa" w:w="2400"/>
          </w:tcPr>
          <w:p>
            <w:r>
              <w:rPr>
                <w:rFonts w:ascii="Calibri" w:cs="Calibri" w:eastAsia="Calibri" w:hAnsi="Calibri"/>
                <w:color w:val="14120F"/>
                <w:sz w:val="18"/>
                <w:szCs w:val="18"/>
              </w:rPr>
              <w:t xml:space="preserve">↑ +0.068 €/L</w:t>
            </w:r>
          </w:p>
        </w:tc>
      </w:tr>
      <w:tr>
        <w:tc>
          <w:tcPr>
            <w:tcW w:type="dxa" w:w="1800"/>
          </w:tcPr>
          <w:p>
            <w:r>
              <w:rPr>
                <w:rFonts w:ascii="Calibri" w:cs="Calibri" w:eastAsia="Calibri" w:hAnsi="Calibri"/>
                <w:color w:val="14120F"/>
                <w:sz w:val="18"/>
                <w:szCs w:val="18"/>
              </w:rPr>
              <w:t xml:space="preserve">Aug 24</w:t>
            </w:r>
          </w:p>
        </w:tc>
        <w:tc>
          <w:tcPr>
            <w:tcW w:type="dxa" w:w="2400"/>
          </w:tcPr>
          <w:p>
            <w:r>
              <w:rPr>
                <w:rFonts w:ascii="Calibri" w:cs="Calibri" w:eastAsia="Calibri" w:hAnsi="Calibri"/>
                <w:color w:val="1F9C1F"/>
                <w:sz w:val="18"/>
                <w:szCs w:val="18"/>
              </w:rPr>
              <w:t xml:space="preserve">€1.649</w:t>
            </w:r>
          </w:p>
        </w:tc>
        <w:tc>
          <w:tcPr>
            <w:tcW w:type="dxa" w:w="2400"/>
          </w:tcPr>
          <w:p>
            <w:r>
              <w:rPr>
                <w:rFonts w:ascii="Calibri" w:cs="Calibri" w:eastAsia="Calibri" w:hAnsi="Calibri"/>
                <w:color w:val="14120F"/>
                <w:sz w:val="18"/>
                <w:szCs w:val="18"/>
              </w:rPr>
              <w:t xml:space="preserve">€1.589</w:t>
            </w:r>
          </w:p>
        </w:tc>
        <w:tc>
          <w:tcPr>
            <w:tcW w:type="dxa" w:w="2400"/>
          </w:tcPr>
          <w:p>
            <w:r>
              <w:rPr>
                <w:rFonts w:ascii="Calibri" w:cs="Calibri" w:eastAsia="Calibri" w:hAnsi="Calibri"/>
                <w:color w:val="14120F"/>
                <w:sz w:val="18"/>
                <w:szCs w:val="18"/>
              </w:rPr>
              <w:t xml:space="preserve">↑ +0.060 €/L</w:t>
            </w:r>
          </w:p>
        </w:tc>
      </w:tr>
      <w:tr>
        <w:tc>
          <w:tcPr>
            <w:tcW w:type="dxa" w:w="1800"/>
          </w:tcPr>
          <w:p>
            <w:r>
              <w:rPr>
                <w:rFonts w:ascii="Calibri" w:cs="Calibri" w:eastAsia="Calibri" w:hAnsi="Calibri"/>
                <w:color w:val="14120F"/>
                <w:sz w:val="18"/>
                <w:szCs w:val="18"/>
              </w:rPr>
              <w:t xml:space="preserve">Aug 31</w:t>
            </w:r>
          </w:p>
        </w:tc>
        <w:tc>
          <w:tcPr>
            <w:tcW w:type="dxa" w:w="2400"/>
          </w:tcPr>
          <w:p>
            <w:r>
              <w:rPr>
                <w:rFonts w:ascii="Calibri" w:cs="Calibri" w:eastAsia="Calibri" w:hAnsi="Calibri"/>
                <w:color w:val="1F9C1F"/>
                <w:sz w:val="18"/>
                <w:szCs w:val="18"/>
              </w:rPr>
              <w:t xml:space="preserve">€1.716</w:t>
            </w:r>
          </w:p>
        </w:tc>
        <w:tc>
          <w:tcPr>
            <w:tcW w:type="dxa" w:w="2400"/>
          </w:tcPr>
          <w:p>
            <w:r>
              <w:rPr>
                <w:rFonts w:ascii="Calibri" w:cs="Calibri" w:eastAsia="Calibri" w:hAnsi="Calibri"/>
                <w:color w:val="14120F"/>
                <w:sz w:val="18"/>
                <w:szCs w:val="18"/>
              </w:rPr>
              <w:t xml:space="preserve">€1.616</w:t>
            </w:r>
          </w:p>
        </w:tc>
        <w:tc>
          <w:tcPr>
            <w:tcW w:type="dxa" w:w="2400"/>
          </w:tcPr>
          <w:p>
            <w:r>
              <w:rPr>
                <w:rFonts w:ascii="Calibri" w:cs="Calibri" w:eastAsia="Calibri" w:hAnsi="Calibri"/>
                <w:color w:val="14120F"/>
                <w:sz w:val="18"/>
                <w:szCs w:val="18"/>
              </w:rPr>
              <w:t xml:space="preserve">↑ +0.100 €/L</w:t>
            </w:r>
          </w:p>
        </w:tc>
      </w:tr>
      <w:tr>
        <w:tc>
          <w:tcPr>
            <w:tcW w:type="dxa" w:w="1800"/>
          </w:tcPr>
          <w:p>
            <w:r>
              <w:rPr>
                <w:rFonts w:ascii="Calibri" w:cs="Calibri" w:eastAsia="Calibri" w:hAnsi="Calibri"/>
                <w:color w:val="14120F"/>
                <w:sz w:val="18"/>
                <w:szCs w:val="18"/>
              </w:rPr>
              <w:t xml:space="preserve">Sep 7</w:t>
            </w:r>
          </w:p>
        </w:tc>
        <w:tc>
          <w:tcPr>
            <w:tcW w:type="dxa" w:w="2400"/>
          </w:tcPr>
          <w:p>
            <w:r>
              <w:rPr>
                <w:rFonts w:ascii="Calibri" w:cs="Calibri" w:eastAsia="Calibri" w:hAnsi="Calibri"/>
                <w:color w:val="1F9C1F"/>
                <w:sz w:val="18"/>
                <w:szCs w:val="18"/>
              </w:rPr>
              <w:t xml:space="preserve">€1.816</w:t>
            </w:r>
          </w:p>
        </w:tc>
        <w:tc>
          <w:tcPr>
            <w:tcW w:type="dxa" w:w="2400"/>
          </w:tcPr>
          <w:p>
            <w:r>
              <w:rPr>
                <w:rFonts w:ascii="Calibri" w:cs="Calibri" w:eastAsia="Calibri" w:hAnsi="Calibri"/>
                <w:color w:val="14120F"/>
                <w:sz w:val="18"/>
                <w:szCs w:val="18"/>
              </w:rPr>
              <w:t xml:space="preserve">€1.697</w:t>
            </w:r>
          </w:p>
        </w:tc>
        <w:tc>
          <w:tcPr>
            <w:tcW w:type="dxa" w:w="2400"/>
          </w:tcPr>
          <w:p>
            <w:r>
              <w:rPr>
                <w:rFonts w:ascii="Calibri" w:cs="Calibri" w:eastAsia="Calibri" w:hAnsi="Calibri"/>
                <w:color w:val="14120F"/>
                <w:sz w:val="18"/>
                <w:szCs w:val="18"/>
              </w:rPr>
              <w:t xml:space="preserve">↑ +0.119 €/L</w:t>
            </w:r>
          </w:p>
        </w:tc>
      </w:tr>
    </w:tbl>
    <w:p>
      <w:r>
        <w:br w:type="page"/>
      </w:r>
    </w:p>
    <w:p>
      <w:pPr>
        <w:spacing w:after="80"/>
      </w:pPr>
      <w:r>
        <w:rPr>
          <w:rFonts w:ascii="Calibri" w:cs="Calibri" w:eastAsia="Calibri" w:hAnsi="Calibri"/>
          <w:b/>
          <w:bCs/>
          <w:color w:val="B9790A"/>
          <w:sz w:val="18"/>
          <w:szCs w:val="18"/>
        </w:rPr>
        <w:t xml:space="preserve">STATION NETWORK</w:t>
      </w:r>
    </w:p>
    <w:p>
      <w:pPr>
        <w:spacing w:after="180" w:before="0"/>
      </w:pPr>
      <w:r>
        <w:rPr>
          <w:rFonts w:ascii="Cambria" w:cs="Cambria" w:eastAsia="Cambria" w:hAnsi="Cambria"/>
          <w:b/>
          <w:bCs/>
          <w:color w:val="14120F"/>
          <w:sz w:val="34"/>
          <w:szCs w:val="34"/>
        </w:rPr>
        <w:t xml:space="preserve">Puglia's Station Network Is Reporting Right in Line With the National Average</w:t>
      </w:r>
    </w:p>
    <w:p>
      <w:pPr>
        <w:spacing w:after="200"/>
      </w:pPr>
      <w:r>
        <w:rPr>
          <w:rFonts w:ascii="Calibri" w:cs="Calibri" w:eastAsia="Calibri" w:hAnsi="Calibri"/>
          <w:b w:val="false"/>
          <w:bCs w:val="false"/>
          <w:i w:val="false"/>
          <w:iCs w:val="false"/>
          <w:color w:val="14120F"/>
          <w:sz w:val="22"/>
          <w:szCs w:val="22"/>
        </w:rPr>
        <w:t xml:space="preserve">Puglia has 1,579 registered fuel stations as of today's data pull, of which 1,434 reported at least one price — a 90.8% reporting rate. That's essentially identical to Italy's national reporting rate of 90.2% (21,649 of 23,999 registered stations), so the region isn't an outlier in either direction on data completeness: whatever price movements show up in today's Puglia figures reflect the same breadth of coverage you'd see nationally, not a thinner or noisier sample.</w:t>
      </w:r>
    </w:p>
    <w:p>
      <w:pPr>
        <w:spacing w:after="200"/>
      </w:pPr>
      <w:r>
        <w:rPr>
          <w:rFonts w:ascii="Calibri" w:cs="Calibri" w:eastAsia="Calibri" w:hAnsi="Calibri"/>
          <w:b w:val="false"/>
          <w:bCs w:val="false"/>
          <w:i w:val="false"/>
          <w:iCs w:val="false"/>
          <w:color w:val="14120F"/>
          <w:sz w:val="22"/>
          <w:szCs w:val="22"/>
        </w:rPr>
        <w:t xml:space="preserve">The registered count has stayed remarkably stable across the eight weeks of history behind this report, hovering between 1,575 and 1,579 stations, with daily reporting counts fluctuating in a tight band around 1,430-1,436. That stability is itself informative: it means the price trends described above are being measured against a consistent, near-constant panel of stations rather than a shifting one, so week-over-week changes in the average price reflect actual price movement rather than which stations happened to report that day.</w:t>
      </w:r>
    </w:p>
    <w:p>
      <w:r>
        <w:br w:type="page"/>
      </w:r>
    </w:p>
    <w:p>
      <w:pPr>
        <w:spacing w:after="80"/>
      </w:pPr>
      <w:r>
        <w:rPr>
          <w:rFonts w:ascii="Calibri" w:cs="Calibri" w:eastAsia="Calibri" w:hAnsi="Calibri"/>
          <w:b/>
          <w:bCs/>
          <w:color w:val="B9790A"/>
          <w:sz w:val="18"/>
          <w:szCs w:val="18"/>
        </w:rPr>
        <w:t xml:space="preserve">HOW THIS REPORT IS BUILT</w:t>
      </w:r>
    </w:p>
    <w:p>
      <w:pPr>
        <w:spacing w:after="180" w:before="0"/>
      </w:pPr>
      <w:r>
        <w:rPr>
          <w:rFonts w:ascii="Cambria" w:cs="Cambria" w:eastAsia="Cambria" w:hAnsi="Cambria"/>
          <w:b/>
          <w:bCs/>
          <w:color w:val="14120F"/>
          <w:sz w:val="34"/>
          <w:szCs w:val="34"/>
        </w:rPr>
        <w:t xml:space="preserve">How This Report Gets Made — Automatically, Every Day</w:t>
      </w:r>
    </w:p>
    <w:p>
      <w:pPr>
        <w:spacing w:after="200"/>
      </w:pPr>
      <w:r>
        <w:rPr>
          <w:rFonts w:ascii="Calibri" w:cs="Calibri" w:eastAsia="Calibri" w:hAnsi="Calibri"/>
          <w:b w:val="false"/>
          <w:bCs w:val="false"/>
          <w:i w:val="false"/>
          <w:iCs w:val="false"/>
          <w:color w:val="14120F"/>
          <w:sz w:val="22"/>
          <w:szCs w:val="22"/>
        </w:rPr>
        <w:t xml:space="preserve">Everything above — the daily price pull from Italy's MIMIT open-data feed, the join against the national station registry, the region-of-the-day rotation that picked Puglia today, the week-by-week trend analysis, and the prose you're reading right now — is produced by an unattended pipeline built with Claude Code. A scheduled agent downloads or ingests the day's CSVs, recomputes the national and regional datasets, deterministically selects a region using a date-based rotation (so every one of Italy's 20 regions gets equal, predictable coverage over a 20-day cycle), and then writes and lays out this report from the resulting numbers, all without a human touching a spreadsheet.</w:t>
      </w:r>
    </w:p>
    <w:p>
      <w:pPr>
        <w:spacing w:after="200"/>
      </w:pPr>
      <w:r>
        <w:rPr>
          <w:rFonts w:ascii="Calibri" w:cs="Calibri" w:eastAsia="Calibri" w:hAnsi="Calibri"/>
          <w:b w:val="false"/>
          <w:bCs w:val="false"/>
          <w:i w:val="false"/>
          <w:iCs w:val="false"/>
          <w:color w:val="14120F"/>
          <w:sz w:val="22"/>
          <w:szCs w:val="22"/>
        </w:rPr>
        <w:t xml:space="preserve">That stands in contrast to how a report like this would traditionally get built: someone manually downloading a CSV each morning, pasting it into Excel, recalculating averages and week-over-week deltas by hand, and writing up the findings before anyone can read them. The manual version doesn't scale past one or two regions and tends to slip when the person maintaining it is busy or on leave. The automated version costs the same effort whether it covers one region or all twenty, runs on the same schedule every day, and — as this section demonstrates — can also explain its own trends without a human drafting the write-up first.</w:t>
      </w:r>
    </w:p>
    <w:p>
      <w:r>
        <w:br w:type="page"/>
      </w:r>
    </w:p>
    <w:p>
      <w:pPr>
        <w:spacing w:after="80"/>
      </w:pPr>
      <w:r>
        <w:rPr>
          <w:rFonts w:ascii="Calibri" w:cs="Calibri" w:eastAsia="Calibri" w:hAnsi="Calibri"/>
          <w:b/>
          <w:bCs/>
          <w:color w:val="B9790A"/>
          <w:sz w:val="18"/>
          <w:szCs w:val="18"/>
        </w:rPr>
        <w:t xml:space="preserve">VISIT THE DASHBOARD</w:t>
      </w:r>
    </w:p>
    <w:p>
      <w:pPr>
        <w:spacing w:after="180" w:before="0"/>
      </w:pPr>
      <w:r>
        <w:rPr>
          <w:rFonts w:ascii="Cambria" w:cs="Cambria" w:eastAsia="Cambria" w:hAnsi="Cambria"/>
          <w:b/>
          <w:bCs/>
          <w:color w:val="14120F"/>
          <w:sz w:val="34"/>
          <w:szCs w:val="34"/>
        </w:rPr>
        <w:t xml:space="preserve">Every Region Gets Its Turn</w:t>
      </w:r>
    </w:p>
    <w:p>
      <w:pPr>
        <w:spacing w:after="200"/>
      </w:pPr>
      <w:r>
        <w:rPr>
          <w:rFonts w:ascii="Calibri" w:cs="Calibri" w:eastAsia="Calibri" w:hAnsi="Calibri"/>
          <w:b w:val="false"/>
          <w:bCs w:val="false"/>
          <w:i w:val="false"/>
          <w:iCs w:val="false"/>
          <w:color w:val="14120F"/>
          <w:sz w:val="22"/>
          <w:szCs w:val="22"/>
        </w:rPr>
        <w:t xml:space="preserve">Puglia is today's spotlight, but the same daily figures — Benzina, Gasolio, GPL, and Metano, self-service and served, down to the provincia and comune level — are live for all 20 Italian regions on the Fuel Dashboard at https://adeo-blip.github.io/fuel-price-italy/. Filter to your own region or provincia, compare it against the national trend, and check back tomorrow for whichever region comes up next in the rotation.</w:t>
      </w:r>
    </w:p>
    <w:p>
      <w:pPr>
        <w:spacing w:after="320"/>
      </w:pPr>
      <w:r>
        <w:rPr>
          <w:rFonts w:ascii="Calibri" w:cs="Calibri" w:eastAsia="Calibri" w:hAnsi="Calibri"/>
          <w:b/>
          <w:bCs/>
          <w:i w:val="false"/>
          <w:iCs w:val="false"/>
          <w:color w:val="B9790A"/>
          <w:sz w:val="24"/>
          <w:szCs w:val="24"/>
        </w:rPr>
        <w:t xml:space="preserve">https://adeo-blip.github.io/fuel-price-italy/</w:t>
      </w:r>
    </w:p>
    <w:p>
      <w:pPr>
        <w:pBdr>
          <w:top w:val="single" w:color="E6E2D8" w:sz="6" w:space="8"/>
        </w:pBdr>
        <w:spacing w:before="200"/>
      </w:pPr>
      <w:r>
        <w:rPr>
          <w:rFonts w:ascii="Calibri" w:cs="Calibri" w:eastAsia="Calibri" w:hAnsi="Calibri"/>
          <w:b/>
          <w:bCs/>
          <w:color w:val="14120F"/>
          <w:sz w:val="20"/>
          <w:szCs w:val="20"/>
        </w:rPr>
        <w:t xml:space="preserve">Adeo Patapo</w:t>
      </w:r>
    </w:p>
    <w:p>
      <w:pPr>
        <w:spacing w:after="0"/>
      </w:pPr>
      <w:r>
        <w:rPr>
          <w:rFonts w:ascii="Calibri" w:cs="Calibri" w:eastAsia="Calibri" w:hAnsi="Calibri"/>
          <w:b w:val="false"/>
          <w:bCs w:val="false"/>
          <w:i w:val="false"/>
          <w:iCs w:val="false"/>
          <w:color w:val="5B564C"/>
          <w:sz w:val="18"/>
          <w:szCs w:val="18"/>
        </w:rPr>
        <w:t xml:space="preserve">adeopatapo@gmail.com · +39 366 378 6189</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2026-09-13T18:31:06.538Z</dcterms:created>
  <dcterms:modified xsi:type="dcterms:W3CDTF">2026-09-13T18:31:06.540Z</dcterms:modified>
</cp:coreProperties>
</file>

<file path=docProps/custom.xml><?xml version="1.0" encoding="utf-8"?>
<Properties xmlns="http://schemas.openxmlformats.org/officeDocument/2006/custom-properties" xmlns:vt="http://schemas.openxmlformats.org/officeDocument/2006/docPropsVTypes"/>
</file>