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B9790A"/>
          <w:sz w:val="18"/>
          <w:szCs w:val="18"/>
        </w:rPr>
        <w:t xml:space="preserve">FUEL DASHBOARD · REGIONE SPOTLIGHT</w:t>
      </w:r>
    </w:p>
    <w:p>
      <w:pPr>
        <w:spacing w:after="80" w:before="120"/>
      </w:pPr>
      <w:r>
        <w:rPr>
          <w:rFonts w:ascii="Cambria" w:cs="Cambria" w:eastAsia="Cambria" w:hAnsi="Cambria"/>
          <w:b/>
          <w:bCs/>
          <w:color w:val="14120F"/>
          <w:sz w:val="56"/>
          <w:szCs w:val="56"/>
        </w:rPr>
        <w:t xml:space="preserve">Molise: Diesel Prices Pull Ahead of the National Average</w:t>
      </w:r>
    </w:p>
    <w:p>
      <w:pPr>
        <w:spacing w:after="240"/>
      </w:pPr>
      <w:r>
        <w:rPr>
          <w:rFonts w:ascii="Calibri" w:cs="Calibri" w:eastAsia="Calibri" w:hAnsi="Calibri"/>
          <w:i/>
          <w:iCs/>
          <w:color w:val="5B564C"/>
          <w:sz w:val="24"/>
          <w:szCs w:val="24"/>
        </w:rPr>
        <w:t xml:space="preserve">Self-service Gasolio in Molise has climbed for six straight days, even as Benzina holds a fraction below what the rest of Italy is paying.</w:t>
      </w:r>
    </w:p>
    <w:tbl>
      <w:tblPr>
        <w:tblW w:type="dxa" w:w="10000"/>
        <w:tblBorders>
          <w:top w:val="none" w:color="FFFFFF" w:sz="0"/>
          <w:left w:val="none" w:color="FFFFFF" w:sz="0"/>
          <w:bottom w:val="none" w:color="FFFFFF" w:sz="0"/>
          <w:right w:val="none" w:color="FFFFFF" w:sz="0"/>
          <w:insideH w:val="none" w:color="FFFFFF" w:sz="0"/>
          <w:insideV w:val="none" w:color="FFFFFF" w:sz="0"/>
        </w:tblBorders>
      </w:tblPr>
      <w:tblGrid>
        <w:gridCol w:w="2500"/>
        <w:gridCol w:w="2500"/>
        <w:gridCol w:w="2500"/>
        <w:gridCol w:w="2500"/>
      </w:tblGrid>
      <w:tr>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BENZINA</w:t>
            </w:r>
          </w:p>
          <w:p>
            <w:pPr>
              <w:spacing w:before="60"/>
            </w:pPr>
            <w:r>
              <w:rPr>
                <w:rFonts w:ascii="Calibri" w:cs="Calibri" w:eastAsia="Calibri" w:hAnsi="Calibri"/>
                <w:b/>
                <w:bCs/>
                <w:color w:val="14120F"/>
                <w:sz w:val="32"/>
                <w:szCs w:val="32"/>
              </w:rPr>
              <w:t xml:space="preserve">€2.010</w:t>
            </w:r>
          </w:p>
          <w:p>
            <w:pPr>
              <w:spacing w:before="40"/>
            </w:pPr>
            <w:r>
              <w:rPr>
                <w:rFonts w:ascii="Calibri" w:cs="Calibri" w:eastAsia="Calibri" w:hAnsi="Calibri"/>
                <w:color w:val="5B564C"/>
                <w:sz w:val="18"/>
                <w:szCs w:val="18"/>
              </w:rPr>
              <w:t xml:space="preserve">↑ +0.003 €/L</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GASOLIO</w:t>
            </w:r>
          </w:p>
          <w:p>
            <w:pPr>
              <w:spacing w:before="60"/>
            </w:pPr>
            <w:r>
              <w:rPr>
                <w:rFonts w:ascii="Calibri" w:cs="Calibri" w:eastAsia="Calibri" w:hAnsi="Calibri"/>
                <w:b/>
                <w:bCs/>
                <w:color w:val="14120F"/>
                <w:sz w:val="32"/>
                <w:szCs w:val="32"/>
              </w:rPr>
              <w:t xml:space="preserve">€2.163</w:t>
            </w:r>
          </w:p>
          <w:p>
            <w:pPr>
              <w:spacing w:before="40"/>
            </w:pPr>
            <w:r>
              <w:rPr>
                <w:rFonts w:ascii="Calibri" w:cs="Calibri" w:eastAsia="Calibri" w:hAnsi="Calibri"/>
                <w:color w:val="5B564C"/>
                <w:sz w:val="18"/>
                <w:szCs w:val="18"/>
              </w:rPr>
              <w:t xml:space="preserve">↑ +0.005 €/L</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REGISTERED STATIONS</w:t>
            </w:r>
          </w:p>
          <w:p>
            <w:pPr>
              <w:spacing w:before="60"/>
            </w:pPr>
            <w:r>
              <w:rPr>
                <w:rFonts w:ascii="Calibri" w:cs="Calibri" w:eastAsia="Calibri" w:hAnsi="Calibri"/>
                <w:b/>
                <w:bCs/>
                <w:color w:val="14120F"/>
                <w:sz w:val="32"/>
                <w:szCs w:val="32"/>
              </w:rPr>
              <w:t xml:space="preserve">175</w:t>
            </w:r>
          </w:p>
          <w:p>
            <w:pPr>
              <w:spacing w:before="40"/>
            </w:pPr>
            <w:r>
              <w:rPr>
                <w:rFonts w:ascii="Calibri" w:cs="Calibri" w:eastAsia="Calibri" w:hAnsi="Calibri"/>
                <w:color w:val="5B564C"/>
                <w:sz w:val="18"/>
                <w:szCs w:val="18"/>
              </w:rPr>
              <w:t xml:space="preserve">Molise</w:t>
            </w:r>
          </w:p>
        </w:tc>
        <w:tc>
          <w:tcPr>
            <w:tcW w:type="dxa" w:w="2500"/>
            <w:shd w:fill="F7EEDD" w:val="clear"/>
            <w:tcMar>
              <w:top w:type="dxa" w:w="160"/>
              <w:left w:type="dxa" w:w="180"/>
              <w:bottom w:type="dxa" w:w="160"/>
              <w:right w:type="dxa" w:w="180"/>
            </w:tcMar>
          </w:tcPr>
          <w:p>
            <w:r>
              <w:rPr>
                <w:rFonts w:ascii="Calibri" w:cs="Calibri" w:eastAsia="Calibri" w:hAnsi="Calibri"/>
                <w:b/>
                <w:bCs/>
                <w:color w:val="5B564C"/>
                <w:sz w:val="16"/>
                <w:szCs w:val="16"/>
              </w:rPr>
              <w:t xml:space="preserve">REPORTING TODAY</w:t>
            </w:r>
          </w:p>
          <w:p>
            <w:pPr>
              <w:spacing w:before="60"/>
            </w:pPr>
            <w:r>
              <w:rPr>
                <w:rFonts w:ascii="Calibri" w:cs="Calibri" w:eastAsia="Calibri" w:hAnsi="Calibri"/>
                <w:b/>
                <w:bCs/>
                <w:color w:val="14120F"/>
                <w:sz w:val="32"/>
                <w:szCs w:val="32"/>
              </w:rPr>
              <w:t xml:space="preserve">153</w:t>
            </w:r>
          </w:p>
          <w:p>
            <w:pPr>
              <w:spacing w:before="40"/>
            </w:pPr>
            <w:r>
              <w:rPr>
                <w:rFonts w:ascii="Calibri" w:cs="Calibri" w:eastAsia="Calibri" w:hAnsi="Calibri"/>
                <w:color w:val="5B564C"/>
                <w:sz w:val="18"/>
                <w:szCs w:val="18"/>
              </w:rPr>
              <w:t xml:space="preserve">Aug 21</w:t>
            </w:r>
          </w:p>
        </w:tc>
      </w:tr>
    </w:tbl>
    <w:p>
      <w:pPr>
        <w:spacing w:before="320"/>
      </w:pPr>
    </w:p>
    <w:p>
      <w:pPr>
        <w:spacing w:after="200"/>
      </w:pPr>
      <w:r>
        <w:rPr>
          <w:rFonts w:ascii="Calibri" w:cs="Calibri" w:eastAsia="Calibri" w:hAnsi="Calibri"/>
          <w:color w:val="14120F"/>
          <w:sz w:val="22"/>
          <w:szCs w:val="22"/>
        </w:rPr>
        <w:t xml:space="preserve">Molise's self-service prices tell a split story today: Benzina averages €2.0105 per liter, about 0.7 cents below the national self-service average of €2.0172, while Gasolio sits at €2.1629, roughly 1.3 cents above the €2.1502 national mark. Diesel drivers in Molise are now paying a premium relative to the rest of the country, even as the region's petrol stays a touch cheaper than average.</w:t>
      </w:r>
    </w:p>
    <w:p>
      <w:pPr>
        <w:spacing w:after="200"/>
      </w:pPr>
      <w:r>
        <w:rPr>
          <w:rFonts w:ascii="Calibri" w:cs="Calibri" w:eastAsia="Calibri" w:hAnsi="Calibri"/>
          <w:color w:val="14120F"/>
          <w:sz w:val="22"/>
          <w:szCs w:val="22"/>
        </w:rPr>
        <w:t xml:space="preserve">The direction of travel has been steadily upward for both fuels over the past week. Self-service Gasolio rose from €2.1326 to €2.1629 — up about 1.4% — with much of that increase landing in a sharp jump between August 18 and August 20. Benzina climbed more gently over the same stretch, from €1.9986 to €2.0105, up roughly 0.6%. Of Molise's 175 registered stations, 153 reported prices today, up from 151 the day before — an 87% reporting rate that points to a small but consistently active regional network.</w:t>
      </w:r>
    </w:p>
    <w:p>
      <w:pPr>
        <w:spacing w:after="200"/>
      </w:pPr>
      <w:r>
        <w:rPr>
          <w:rFonts w:ascii="Calibri" w:cs="Calibri" w:eastAsia="Calibri" w:hAnsi="Calibri"/>
          <w:color w:val="14120F"/>
          <w:sz w:val="22"/>
          <w:szCs w:val="22"/>
        </w:rPr>
        <w:t xml:space="preserve">Producing a grounded, numbers-first write-up like this for a different one of Italy's 20 regions every single morning — checking day-over-day moves, national comparisons, and station counts before anyone's had coffee — isn't something a manually maintained spreadsheet could keep pace with. Fuel Dashboard rebuilds itself automatically each day, pulling the latest MIMIT data and regenerating the charts and this article without anyone opening Excel. It's built and maintained entirely with Claude Code.</w:t>
      </w:r>
    </w:p>
    <w:p>
      <w:pPr>
        <w:spacing w:after="240" w:before="120"/>
        <w:jc w:val="center"/>
      </w:pPr>
      <w:r>
        <w:rPr>
          <w:rFonts w:ascii="Cambria" w:cs="Cambria" w:eastAsia="Cambria" w:hAnsi="Cambria"/>
          <w:b/>
          <w:bCs/>
          <w:i/>
          <w:iCs/>
          <w:color w:val="B9790A"/>
          <w:sz w:val="30"/>
          <w:szCs w:val="30"/>
        </w:rPr>
        <w:t xml:space="preserve">Molise's diesel just pulled ahead of the national average — six straight days of gains and counting.</w:t>
      </w:r>
    </w:p>
    <w:p>
      <w:pPr>
        <w:spacing w:after="120" w:before="120"/>
      </w:pPr>
      <w:r>
        <w:rPr>
          <w:rFonts w:ascii="Calibri" w:cs="Calibri" w:eastAsia="Calibri" w:hAnsi="Calibri"/>
          <w:b/>
          <w:bCs/>
          <w:color w:val="5B564C"/>
          <w:sz w:val="18"/>
          <w:szCs w:val="18"/>
        </w:rPr>
        <w:t xml:space="preserve">Last 7 tracked days in Molise — self-service average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shd w:fill="F0EDE6" w:val="clear"/>
          </w:tcPr>
          <w:p>
            <w:r>
              <w:rPr>
                <w:rFonts w:ascii="Calibri" w:cs="Calibri" w:eastAsia="Calibri" w:hAnsi="Calibri"/>
                <w:b/>
                <w:bCs/>
                <w:sz w:val="20"/>
                <w:szCs w:val="20"/>
              </w:rPr>
              <w:t xml:space="preserve">Date</w:t>
            </w:r>
          </w:p>
        </w:tc>
        <w:tc>
          <w:tcPr>
            <w:tcW w:type="dxa" w:w="2000"/>
            <w:shd w:fill="F0EDE6" w:val="clear"/>
          </w:tcPr>
          <w:p>
            <w:r>
              <w:rPr>
                <w:rFonts w:ascii="Calibri" w:cs="Calibri" w:eastAsia="Calibri" w:hAnsi="Calibri"/>
                <w:b/>
                <w:bCs/>
                <w:sz w:val="20"/>
                <w:szCs w:val="20"/>
              </w:rPr>
              <w:t xml:space="preserve">Benzina</w:t>
            </w:r>
          </w:p>
        </w:tc>
        <w:tc>
          <w:tcPr>
            <w:tcW w:type="dxa" w:w="2000"/>
            <w:shd w:fill="F0EDE6" w:val="clear"/>
          </w:tcPr>
          <w:p>
            <w:r>
              <w:rPr>
                <w:rFonts w:ascii="Calibri" w:cs="Calibri" w:eastAsia="Calibri" w:hAnsi="Calibri"/>
                <w:b/>
                <w:bCs/>
                <w:sz w:val="20"/>
                <w:szCs w:val="20"/>
              </w:rPr>
              <w:t xml:space="preserve">Gasolio</w:t>
            </w:r>
          </w:p>
        </w:tc>
      </w:tr>
      <w:tr>
        <w:tc>
          <w:tcPr>
            <w:tcW w:type="dxa" w:w="2000"/>
          </w:tcPr>
          <w:p>
            <w:r>
              <w:rPr>
                <w:rFonts w:ascii="Calibri" w:cs="Calibri" w:eastAsia="Calibri" w:hAnsi="Calibri"/>
                <w:sz w:val="20"/>
                <w:szCs w:val="20"/>
              </w:rPr>
              <w:t xml:space="preserve">Aug 14</w:t>
            </w:r>
          </w:p>
        </w:tc>
        <w:tc>
          <w:tcPr>
            <w:tcW w:type="dxa" w:w="2000"/>
          </w:tcPr>
          <w:p>
            <w:r>
              <w:rPr>
                <w:rFonts w:ascii="Calibri" w:cs="Calibri" w:eastAsia="Calibri" w:hAnsi="Calibri"/>
                <w:color w:val="2A78D6"/>
                <w:sz w:val="20"/>
                <w:szCs w:val="20"/>
              </w:rPr>
              <w:t xml:space="preserve">€1.998</w:t>
            </w:r>
          </w:p>
        </w:tc>
        <w:tc>
          <w:tcPr>
            <w:tcW w:type="dxa" w:w="2000"/>
          </w:tcPr>
          <w:p>
            <w:r>
              <w:rPr>
                <w:rFonts w:ascii="Calibri" w:cs="Calibri" w:eastAsia="Calibri" w:hAnsi="Calibri"/>
                <w:color w:val="1BAF7A"/>
                <w:sz w:val="20"/>
                <w:szCs w:val="20"/>
              </w:rPr>
              <w:t xml:space="preserve">€2.130</w:t>
            </w:r>
          </w:p>
        </w:tc>
      </w:tr>
      <w:tr>
        <w:tc>
          <w:tcPr>
            <w:tcW w:type="dxa" w:w="2000"/>
          </w:tcPr>
          <w:p>
            <w:r>
              <w:rPr>
                <w:rFonts w:ascii="Calibri" w:cs="Calibri" w:eastAsia="Calibri" w:hAnsi="Calibri"/>
                <w:sz w:val="20"/>
                <w:szCs w:val="20"/>
              </w:rPr>
              <w:t xml:space="preserve">Aug 15</w:t>
            </w:r>
          </w:p>
        </w:tc>
        <w:tc>
          <w:tcPr>
            <w:tcW w:type="dxa" w:w="2000"/>
          </w:tcPr>
          <w:p>
            <w:r>
              <w:rPr>
                <w:rFonts w:ascii="Calibri" w:cs="Calibri" w:eastAsia="Calibri" w:hAnsi="Calibri"/>
                <w:color w:val="2A78D6"/>
                <w:sz w:val="20"/>
                <w:szCs w:val="20"/>
              </w:rPr>
              <w:t xml:space="preserve">€1.999</w:t>
            </w:r>
          </w:p>
        </w:tc>
        <w:tc>
          <w:tcPr>
            <w:tcW w:type="dxa" w:w="2000"/>
          </w:tcPr>
          <w:p>
            <w:r>
              <w:rPr>
                <w:rFonts w:ascii="Calibri" w:cs="Calibri" w:eastAsia="Calibri" w:hAnsi="Calibri"/>
                <w:color w:val="1BAF7A"/>
                <w:sz w:val="20"/>
                <w:szCs w:val="20"/>
              </w:rPr>
              <w:t xml:space="preserve">€2.133</w:t>
            </w:r>
          </w:p>
        </w:tc>
      </w:tr>
      <w:tr>
        <w:tc>
          <w:tcPr>
            <w:tcW w:type="dxa" w:w="2000"/>
          </w:tcPr>
          <w:p>
            <w:r>
              <w:rPr>
                <w:rFonts w:ascii="Calibri" w:cs="Calibri" w:eastAsia="Calibri" w:hAnsi="Calibri"/>
                <w:sz w:val="20"/>
                <w:szCs w:val="20"/>
              </w:rPr>
              <w:t xml:space="preserve">Aug 16</w:t>
            </w:r>
          </w:p>
        </w:tc>
        <w:tc>
          <w:tcPr>
            <w:tcW w:type="dxa" w:w="2000"/>
          </w:tcPr>
          <w:p>
            <w:r>
              <w:rPr>
                <w:rFonts w:ascii="Calibri" w:cs="Calibri" w:eastAsia="Calibri" w:hAnsi="Calibri"/>
                <w:color w:val="2A78D6"/>
                <w:sz w:val="20"/>
                <w:szCs w:val="20"/>
              </w:rPr>
              <w:t xml:space="preserve">€1.999</w:t>
            </w:r>
          </w:p>
        </w:tc>
        <w:tc>
          <w:tcPr>
            <w:tcW w:type="dxa" w:w="2000"/>
          </w:tcPr>
          <w:p>
            <w:r>
              <w:rPr>
                <w:rFonts w:ascii="Calibri" w:cs="Calibri" w:eastAsia="Calibri" w:hAnsi="Calibri"/>
                <w:color w:val="1BAF7A"/>
                <w:sz w:val="20"/>
                <w:szCs w:val="20"/>
              </w:rPr>
              <w:t xml:space="preserve">€2.133</w:t>
            </w:r>
          </w:p>
        </w:tc>
      </w:tr>
      <w:tr>
        <w:tc>
          <w:tcPr>
            <w:tcW w:type="dxa" w:w="2000"/>
          </w:tcPr>
          <w:p>
            <w:r>
              <w:rPr>
                <w:rFonts w:ascii="Calibri" w:cs="Calibri" w:eastAsia="Calibri" w:hAnsi="Calibri"/>
                <w:sz w:val="20"/>
                <w:szCs w:val="20"/>
              </w:rPr>
              <w:t xml:space="preserve">Aug 17</w:t>
            </w:r>
          </w:p>
        </w:tc>
        <w:tc>
          <w:tcPr>
            <w:tcW w:type="dxa" w:w="2000"/>
          </w:tcPr>
          <w:p>
            <w:r>
              <w:rPr>
                <w:rFonts w:ascii="Calibri" w:cs="Calibri" w:eastAsia="Calibri" w:hAnsi="Calibri"/>
                <w:color w:val="2A78D6"/>
                <w:sz w:val="20"/>
                <w:szCs w:val="20"/>
              </w:rPr>
              <w:t xml:space="preserve">€1.999</w:t>
            </w:r>
          </w:p>
        </w:tc>
        <w:tc>
          <w:tcPr>
            <w:tcW w:type="dxa" w:w="2000"/>
          </w:tcPr>
          <w:p>
            <w:r>
              <w:rPr>
                <w:rFonts w:ascii="Calibri" w:cs="Calibri" w:eastAsia="Calibri" w:hAnsi="Calibri"/>
                <w:color w:val="1BAF7A"/>
                <w:sz w:val="20"/>
                <w:szCs w:val="20"/>
              </w:rPr>
              <w:t xml:space="preserve">€2.134</w:t>
            </w:r>
          </w:p>
        </w:tc>
      </w:tr>
      <w:tr>
        <w:tc>
          <w:tcPr>
            <w:tcW w:type="dxa" w:w="2000"/>
          </w:tcPr>
          <w:p>
            <w:r>
              <w:rPr>
                <w:rFonts w:ascii="Calibri" w:cs="Calibri" w:eastAsia="Calibri" w:hAnsi="Calibri"/>
                <w:sz w:val="20"/>
                <w:szCs w:val="20"/>
              </w:rPr>
              <w:t xml:space="preserve">Aug 18</w:t>
            </w:r>
          </w:p>
        </w:tc>
        <w:tc>
          <w:tcPr>
            <w:tcW w:type="dxa" w:w="2000"/>
          </w:tcPr>
          <w:p>
            <w:r>
              <w:rPr>
                <w:rFonts w:ascii="Calibri" w:cs="Calibri" w:eastAsia="Calibri" w:hAnsi="Calibri"/>
                <w:color w:val="2A78D6"/>
                <w:sz w:val="20"/>
                <w:szCs w:val="20"/>
              </w:rPr>
              <w:t xml:space="preserve">€2.000</w:t>
            </w:r>
          </w:p>
        </w:tc>
        <w:tc>
          <w:tcPr>
            <w:tcW w:type="dxa" w:w="2000"/>
          </w:tcPr>
          <w:p>
            <w:r>
              <w:rPr>
                <w:rFonts w:ascii="Calibri" w:cs="Calibri" w:eastAsia="Calibri" w:hAnsi="Calibri"/>
                <w:color w:val="1BAF7A"/>
                <w:sz w:val="20"/>
                <w:szCs w:val="20"/>
              </w:rPr>
              <w:t xml:space="preserve">€2.138</w:t>
            </w:r>
          </w:p>
        </w:tc>
      </w:tr>
      <w:tr>
        <w:tc>
          <w:tcPr>
            <w:tcW w:type="dxa" w:w="2000"/>
          </w:tcPr>
          <w:p>
            <w:r>
              <w:rPr>
                <w:rFonts w:ascii="Calibri" w:cs="Calibri" w:eastAsia="Calibri" w:hAnsi="Calibri"/>
                <w:sz w:val="20"/>
                <w:szCs w:val="20"/>
              </w:rPr>
              <w:t xml:space="preserve">Aug 20</w:t>
            </w:r>
          </w:p>
        </w:tc>
        <w:tc>
          <w:tcPr>
            <w:tcW w:type="dxa" w:w="2000"/>
          </w:tcPr>
          <w:p>
            <w:r>
              <w:rPr>
                <w:rFonts w:ascii="Calibri" w:cs="Calibri" w:eastAsia="Calibri" w:hAnsi="Calibri"/>
                <w:color w:val="2A78D6"/>
                <w:sz w:val="20"/>
                <w:szCs w:val="20"/>
              </w:rPr>
              <w:t xml:space="preserve">€2.007</w:t>
            </w:r>
          </w:p>
        </w:tc>
        <w:tc>
          <w:tcPr>
            <w:tcW w:type="dxa" w:w="2000"/>
          </w:tcPr>
          <w:p>
            <w:r>
              <w:rPr>
                <w:rFonts w:ascii="Calibri" w:cs="Calibri" w:eastAsia="Calibri" w:hAnsi="Calibri"/>
                <w:color w:val="1BAF7A"/>
                <w:sz w:val="20"/>
                <w:szCs w:val="20"/>
              </w:rPr>
              <w:t xml:space="preserve">€2.158</w:t>
            </w:r>
          </w:p>
        </w:tc>
      </w:tr>
      <w:tr>
        <w:tc>
          <w:tcPr>
            <w:tcW w:type="dxa" w:w="2000"/>
          </w:tcPr>
          <w:p>
            <w:r>
              <w:rPr>
                <w:rFonts w:ascii="Calibri" w:cs="Calibri" w:eastAsia="Calibri" w:hAnsi="Calibri"/>
                <w:sz w:val="20"/>
                <w:szCs w:val="20"/>
              </w:rPr>
              <w:t xml:space="preserve">Aug 21</w:t>
            </w:r>
          </w:p>
        </w:tc>
        <w:tc>
          <w:tcPr>
            <w:tcW w:type="dxa" w:w="2000"/>
          </w:tcPr>
          <w:p>
            <w:r>
              <w:rPr>
                <w:rFonts w:ascii="Calibri" w:cs="Calibri" w:eastAsia="Calibri" w:hAnsi="Calibri"/>
                <w:color w:val="2A78D6"/>
                <w:sz w:val="20"/>
                <w:szCs w:val="20"/>
              </w:rPr>
              <w:t xml:space="preserve">€2.010</w:t>
            </w:r>
          </w:p>
        </w:tc>
        <w:tc>
          <w:tcPr>
            <w:tcW w:type="dxa" w:w="2000"/>
          </w:tcPr>
          <w:p>
            <w:r>
              <w:rPr>
                <w:rFonts w:ascii="Calibri" w:cs="Calibri" w:eastAsia="Calibri" w:hAnsi="Calibri"/>
                <w:color w:val="1BAF7A"/>
                <w:sz w:val="20"/>
                <w:szCs w:val="20"/>
              </w:rPr>
              <w:t xml:space="preserve">€2.163</w:t>
            </w:r>
          </w:p>
        </w:tc>
      </w:tr>
    </w:tbl>
    <w:p>
      <w:r>
        <w:br w:type="page"/>
      </w:r>
    </w:p>
    <w:p>
      <w:pPr>
        <w:spacing w:after="160"/>
      </w:pPr>
      <w:r>
        <w:rPr>
          <w:rFonts w:ascii="Cambria" w:cs="Cambria" w:eastAsia="Cambria" w:hAnsi="Cambria"/>
          <w:b/>
          <w:bCs/>
          <w:color w:val="14120F"/>
          <w:sz w:val="30"/>
          <w:szCs w:val="30"/>
        </w:rPr>
        <w:t xml:space="preserve">See the full trend — daily, weekly, monthly</w:t>
      </w:r>
    </w:p>
    <w:p>
      <w:pPr>
        <w:spacing w:after="200"/>
      </w:pPr>
      <w:r>
        <w:rPr>
          <w:rFonts w:ascii="Calibri" w:cs="Calibri" w:eastAsia="Calibri" w:hAnsi="Calibri"/>
          <w:color w:val="14120F"/>
          <w:sz w:val="22"/>
          <w:szCs w:val="22"/>
        </w:rPr>
        <w:t xml:space="preserve">Fuel Dashboard tracks Italy's pump prices nationally and down to any Regione, Provincia, Comune or Gestore, with live counts of registered vs. actively reporting stations — free to browse in English, Italiano, Français, Русский or 中文.</w:t>
      </w:r>
    </w:p>
    <w:p>
      <w:pPr>
        <w:spacing w:after="320"/>
      </w:pPr>
      <w:r>
        <w:rPr>
          <w:rFonts w:ascii="Calibri" w:cs="Calibri" w:eastAsia="Calibri" w:hAnsi="Calibri"/>
          <w:b/>
          <w:bCs/>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r>
        <w:rPr>
          <w:rFonts w:ascii="Calibri" w:cs="Calibri" w:eastAsia="Calibri" w:hAnsi="Calibri"/>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2026-08-22T10:55:45.462Z</dcterms:created>
  <dcterms:modified xsi:type="dcterms:W3CDTF">2026-08-22T10:55:45.463Z</dcterms:modified>
</cp:coreProperties>
</file>

<file path=docProps/custom.xml><?xml version="1.0" encoding="utf-8"?>
<Properties xmlns="http://schemas.openxmlformats.org/officeDocument/2006/custom-properties" xmlns:vt="http://schemas.openxmlformats.org/officeDocument/2006/docPropsVTypes"/>
</file>