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B9790A"/>
          <w:sz w:val="18"/>
          <w:szCs w:val="18"/>
        </w:rPr>
        <w:t xml:space="preserve">FUEL DASHBOARD · REGIONE SPOTLIGHT</w:t>
      </w:r>
    </w:p>
    <w:p>
      <w:pPr>
        <w:spacing w:after="100" w:before="400"/>
      </w:pPr>
      <w:r>
        <w:rPr>
          <w:rFonts w:ascii="Cambria" w:cs="Cambria" w:eastAsia="Cambria" w:hAnsi="Cambria"/>
          <w:b/>
          <w:bCs/>
          <w:color w:val="14120F"/>
          <w:sz w:val="60"/>
          <w:szCs w:val="60"/>
        </w:rPr>
        <w:t xml:space="preserve">Marche: Gasolio Snaps Back While Metano's Ten-Week Climb Keeps Outrunning the Rest of Italy</w:t>
      </w:r>
    </w:p>
    <w:p>
      <w:pPr>
        <w:spacing w:after="320"/>
      </w:pPr>
      <w:r>
        <w:rPr>
          <w:rFonts w:ascii="Calibri" w:cs="Calibri" w:eastAsia="Calibri" w:hAnsi="Calibri"/>
          <w:b w:val="false"/>
          <w:bCs w:val="false"/>
          <w:i/>
          <w:iCs/>
          <w:color w:val="5B564C"/>
          <w:sz w:val="24"/>
          <w:szCs w:val="24"/>
        </w:rPr>
        <w:t xml:space="preserve">A sharp one-day pullback in diesel prices masks the bigger story in Marche: methane has climbed nearly 23% since tracking began, and LPG keeps sitting stubbornly a fifth above the national average.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BENZINA</w:t>
            </w:r>
          </w:p>
          <w:p>
            <w:pPr>
              <w:spacing w:before="60"/>
            </w:pPr>
            <w:r>
              <w:rPr>
                <w:rFonts w:ascii="Calibri" w:cs="Calibri" w:eastAsia="Calibri" w:hAnsi="Calibri"/>
                <w:b/>
                <w:bCs/>
                <w:color w:val="14120F"/>
                <w:sz w:val="28"/>
                <w:szCs w:val="28"/>
              </w:rPr>
              <w:t xml:space="preserve">€2.107</w:t>
            </w:r>
          </w:p>
          <w:p>
            <w:pPr>
              <w:spacing w:before="40"/>
            </w:pPr>
            <w:r>
              <w:rPr>
                <w:rFonts w:ascii="Calibri" w:cs="Calibri" w:eastAsia="Calibri" w:hAnsi="Calibri"/>
                <w:color w:val="5B564C"/>
                <w:sz w:val="17"/>
                <w:szCs w:val="17"/>
              </w:rPr>
              <w:t xml:space="preserve">petrol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GASOLIO</w:t>
            </w:r>
          </w:p>
          <w:p>
            <w:pPr>
              <w:spacing w:before="60"/>
            </w:pPr>
            <w:r>
              <w:rPr>
                <w:rFonts w:ascii="Calibri" w:cs="Calibri" w:eastAsia="Calibri" w:hAnsi="Calibri"/>
                <w:b/>
                <w:bCs/>
                <w:color w:val="14120F"/>
                <w:sz w:val="28"/>
                <w:szCs w:val="28"/>
              </w:rPr>
              <w:t xml:space="preserve">€2.321</w:t>
            </w:r>
          </w:p>
          <w:p>
            <w:pPr>
              <w:spacing w:before="40"/>
            </w:pPr>
            <w:r>
              <w:rPr>
                <w:rFonts w:ascii="Calibri" w:cs="Calibri" w:eastAsia="Calibri" w:hAnsi="Calibri"/>
                <w:color w:val="5B564C"/>
                <w:sz w:val="17"/>
                <w:szCs w:val="17"/>
              </w:rPr>
              <w:t xml:space="preserve">diesel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GPL</w:t>
            </w:r>
          </w:p>
          <w:p>
            <w:pPr>
              <w:spacing w:before="60"/>
            </w:pPr>
            <w:r>
              <w:rPr>
                <w:rFonts w:ascii="Calibri" w:cs="Calibri" w:eastAsia="Calibri" w:hAnsi="Calibri"/>
                <w:b/>
                <w:bCs/>
                <w:color w:val="14120F"/>
                <w:sz w:val="28"/>
                <w:szCs w:val="28"/>
              </w:rPr>
              <w:t xml:space="preserve">€0.899</w:t>
            </w:r>
          </w:p>
          <w:p>
            <w:pPr>
              <w:spacing w:before="40"/>
            </w:pPr>
            <w:r>
              <w:rPr>
                <w:rFonts w:ascii="Calibri" w:cs="Calibri" w:eastAsia="Calibri" w:hAnsi="Calibri"/>
                <w:color w:val="5B564C"/>
                <w:sz w:val="17"/>
                <w:szCs w:val="17"/>
              </w:rPr>
              <w:t xml:space="preserve">LPG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METANO</w:t>
            </w:r>
          </w:p>
          <w:p>
            <w:pPr>
              <w:spacing w:before="60"/>
            </w:pPr>
            <w:r>
              <w:rPr>
                <w:rFonts w:ascii="Calibri" w:cs="Calibri" w:eastAsia="Calibri" w:hAnsi="Calibri"/>
                <w:b/>
                <w:bCs/>
                <w:color w:val="14120F"/>
                <w:sz w:val="28"/>
                <w:szCs w:val="28"/>
              </w:rPr>
              <w:t xml:space="preserve">€1.791</w:t>
            </w:r>
          </w:p>
          <w:p>
            <w:pPr>
              <w:spacing w:before="40"/>
            </w:pPr>
            <w:r>
              <w:rPr>
                <w:rFonts w:ascii="Calibri" w:cs="Calibri" w:eastAsia="Calibri" w:hAnsi="Calibri"/>
                <w:color w:val="5B564C"/>
                <w:sz w:val="17"/>
                <w:szCs w:val="17"/>
              </w:rPr>
              <w:t xml:space="preserve">CNG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5B564C"/>
          <w:sz w:val="18"/>
          <w:szCs w:val="18"/>
        </w:rPr>
        <w:t xml:space="preserve">Registered stations: 777 · Reporting today: 728 (94%) · Sep 29</w:t>
      </w:r>
    </w:p>
    <w:p>
      <w:r>
        <w:br w:type="page"/>
      </w:r>
    </w:p>
    <w:p>
      <w:pPr>
        <w:spacing w:after="80"/>
      </w:pPr>
      <w:r>
        <w:rPr>
          <w:rFonts w:ascii="Calibri" w:cs="Calibri" w:eastAsia="Calibri" w:hAnsi="Calibri"/>
          <w:b/>
          <w:bCs/>
          <w:color w:val="B9790A"/>
          <w:sz w:val="18"/>
          <w:szCs w:val="18"/>
        </w:rPr>
        <w:t xml:space="preserve">EXECUTIVE SUMMARY</w:t>
      </w:r>
    </w:p>
    <w:p>
      <w:pPr>
        <w:spacing w:after="180" w:before="0"/>
      </w:pPr>
      <w:r>
        <w:rPr>
          <w:rFonts w:ascii="Cambria" w:cs="Cambria" w:eastAsia="Cambria" w:hAnsi="Cambria"/>
          <w:b/>
          <w:bCs/>
          <w:color w:val="14120F"/>
          <w:sz w:val="34"/>
          <w:szCs w:val="34"/>
        </w:rPr>
        <w:t xml:space="preserve">Marche at a glance</w:t>
      </w:r>
    </w:p>
    <w:p>
      <w:pPr>
        <w:spacing w:after="200"/>
      </w:pPr>
      <w:r>
        <w:rPr>
          <w:rFonts w:ascii="Calibri" w:cs="Calibri" w:eastAsia="Calibri" w:hAnsi="Calibri"/>
          <w:b w:val="false"/>
          <w:bCs w:val="false"/>
          <w:i w:val="false"/>
          <w:iCs w:val="false"/>
          <w:color w:val="14120F"/>
          <w:sz w:val="22"/>
          <w:szCs w:val="22"/>
        </w:rPr>
        <w:t xml:space="preserve">As of September 29, 2026, self-service Benzina in Marche stands at €2.1072/L and Gasolio at €2.3206/L, both running about 1.3% below their national same-day averages (€2.1351 and €2.3498 respectively). GPL is flat at €0.899/L and Metano flat at €1.7908/L, both unchanged from the prior reading. The day's biggest single-day move was Gasolio, which fell 2.51% from €2.3803 just two days earlier — the sharpest daily drop of any fuel in the region right now, pulling it back from what had been the highest weekly average recorded since tracking began on July 21.</w:t>
      </w:r>
    </w:p>
    <w:p>
      <w:pPr>
        <w:spacing w:after="200"/>
      </w:pPr>
      <w:r>
        <w:rPr>
          <w:rFonts w:ascii="Calibri" w:cs="Calibri" w:eastAsia="Calibri" w:hAnsi="Calibri"/>
          <w:b w:val="false"/>
          <w:bCs w:val="false"/>
          <w:i w:val="false"/>
          <w:iCs w:val="false"/>
          <w:color w:val="14120F"/>
          <w:sz w:val="22"/>
          <w:szCs w:val="22"/>
        </w:rPr>
        <w:t xml:space="preserve">Zoom out to the ten weeks of history in the tracker, though, and a different fuel stands out: Metano. Marche's self-service methane price has risen from €1.4581/L in the week of July 20 to €1.7908/L in the week of September 21 — a 22.82% climb, outpacing the 19.33% national increase over the same stretch and making it both the fastest-moving fuel tracked in the region and the one with the widest region-versus-nation gap in percentage terms. GPL tells a quieter but equally notable story: Marche's LPG price has nudged up 1.12% over the same weeks while the national average actually eased 0.49%, leaving Marche's GPL sitting roughly 19% above the rest of the country — by far the largest structural premium of any fuel in today's data.</w:t>
      </w:r>
    </w:p>
    <w:p>
      <w:pPr>
        <w:spacing w:after="200" w:before="200"/>
        <w:jc w:val="center"/>
      </w:pPr>
      <w:r>
        <w:rPr>
          <w:rFonts w:ascii="Cambria" w:cs="Cambria" w:eastAsia="Cambria" w:hAnsi="Cambria"/>
          <w:b/>
          <w:bCs/>
          <w:i/>
          <w:iCs/>
          <w:color w:val="B9790A"/>
          <w:sz w:val="30"/>
          <w:szCs w:val="30"/>
        </w:rPr>
        <w:t xml:space="preserve">Metano in Marche has climbed 22.82% since tracking began in July — outrunning the national 19.33% increase by the widest region-versus-nation gap of any fuel in this report.</w:t>
      </w:r>
    </w:p>
    <w:p>
      <w:r>
        <w:br w:type="page"/>
      </w:r>
    </w:p>
    <w:p>
      <w:pPr>
        <w:spacing w:after="80"/>
      </w:pPr>
      <w:r>
        <w:rPr>
          <w:rFonts w:ascii="Calibri" w:cs="Calibri" w:eastAsia="Calibri" w:hAnsi="Calibri"/>
          <w:b/>
          <w:bCs/>
          <w:color w:val="B9790A"/>
          <w:sz w:val="18"/>
          <w:szCs w:val="18"/>
        </w:rPr>
        <w:t xml:space="preserve">FUEL SPOTLIGHT · BENZINA (petrol)</w:t>
      </w:r>
    </w:p>
    <w:p>
      <w:pPr>
        <w:spacing w:after="180" w:before="0"/>
      </w:pPr>
      <w:r>
        <w:rPr>
          <w:rFonts w:ascii="Cambria" w:cs="Cambria" w:eastAsia="Cambria" w:hAnsi="Cambria"/>
          <w:b/>
          <w:bCs/>
          <w:color w:val="2A78D6"/>
          <w:sz w:val="34"/>
          <w:szCs w:val="34"/>
        </w:rPr>
        <w:t xml:space="preserve">Benzina Eases in Step With the Rest of the Country</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€2.107</w:t>
            </w:r>
          </w:p>
          <w:p>
            <w:pPr>
              <w:spacing w:before="40"/>
            </w:pPr>
            <w:r>
              <w:rPr>
                <w:rFonts w:ascii="Calibri" w:cs="Calibri" w:eastAsia="Calibri" w:hAnsi="Calibri"/>
                <w:color w:val="5B564C"/>
                <w:sz w:val="17"/>
                <w:szCs w:val="17"/>
              </w:rPr>
              <w:t xml:space="preserve">Sep 29</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-0.043 €/L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+7.8%</w:t>
            </w:r>
          </w:p>
          <w:p>
            <w:pPr>
              <w:spacing w:before="40"/>
            </w:pPr>
            <w:r>
              <w:rPr>
                <w:rFonts w:ascii="Calibri" w:cs="Calibri" w:eastAsia="Calibri" w:hAnsi="Calibri"/>
                <w:color w:val="5B564C"/>
                <w:sz w:val="17"/>
                <w:szCs w:val="17"/>
              </w:rPr>
              <w:t xml:space="preserve">Marche,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+8.1%</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Self-service Benzina in Marche closed at €2.1072/L on September 29, down 2.01% from €2.1505/L on September 27 (served: €2.2771/L, versus €2.3165/L). That puts the region 1.31% below the national self-service average of €2.1351/L for the same day — a modest but consistent discount that has held through the recent run-up in prices.</w:t>
      </w:r>
    </w:p>
    <w:p>
      <w:pPr>
        <w:spacing w:after="200"/>
      </w:pPr>
      <w:r>
        <w:rPr>
          <w:rFonts w:ascii="Calibri" w:cs="Calibri" w:eastAsia="Calibri" w:hAnsi="Calibri"/>
          <w:b w:val="false"/>
          <w:bCs w:val="false"/>
          <w:i w:val="false"/>
          <w:iCs w:val="false"/>
          <w:color w:val="14120F"/>
          <w:sz w:val="22"/>
          <w:szCs w:val="22"/>
        </w:rPr>
        <w:t xml:space="preserve">Over the ten weeks tracked, Marche's Benzina has risen from a €1.9544/L weekly average in the week of July 20 to €2.1473/L in the week of September 21 — a 9.87% increase, tracking almost exactly with the national move of 9.68% over the same period. The steepest week-on-week jump came between the weeks of September 7 and September 14 (€2.0657 to €2.1242, +2.83%), mirroring a national acceleration of similar size — Marche is not diverging from the rest of Italy on this fuel, just moving with it.</w:t>
      </w:r>
    </w:p>
    <w:p>
      <w:pPr>
        <w:spacing w:after="120"/>
      </w:pPr>
      <w:r>
        <w:rPr>
          <w:rFonts w:ascii="Calibri" w:cs="Calibri" w:eastAsia="Calibri" w:hAnsi="Calibri"/>
          <w:b/>
          <w:bCs/>
          <w:i w:val="false"/>
          <w:iCs w:val="false"/>
          <w:color w:val="5B564C"/>
          <w:sz w:val="18"/>
          <w:szCs w:val="18"/>
        </w:rPr>
        <w:t xml:space="preserve">Weekly self-service average, Marche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Benzina — Region</w:t>
            </w:r>
          </w:p>
        </w:tc>
        <w:tc>
          <w:tcPr>
            <w:tcW w:type="dxa" w:w="2400"/>
            <w:shd w:fill="F0EDE6" w:val="clear"/>
          </w:tcPr>
          <w:p>
            <w:r>
              <w:rPr>
                <w:rFonts w:ascii="Calibri" w:cs="Calibri" w:eastAsia="Calibri" w:hAnsi="Calibri"/>
                <w:b/>
                <w:bCs/>
                <w:sz w:val="18"/>
                <w:szCs w:val="18"/>
              </w:rPr>
              <w:t xml:space="preserve">Benzina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2A78D6"/>
                <w:sz w:val="18"/>
                <w:szCs w:val="18"/>
              </w:rPr>
              <w:t xml:space="preserve">€1.954</w:t>
            </w:r>
          </w:p>
        </w:tc>
        <w:tc>
          <w:tcPr>
            <w:tcW w:type="dxa" w:w="2400"/>
          </w:tcPr>
          <w:p>
            <w:r>
              <w:rPr>
                <w:rFonts w:ascii="Calibri" w:cs="Calibri" w:eastAsia="Calibri" w:hAnsi="Calibri"/>
                <w:color w:val="14120F"/>
                <w:sz w:val="18"/>
                <w:szCs w:val="18"/>
              </w:rPr>
              <w:t xml:space="preserve">€1.976</w:t>
            </w:r>
          </w:p>
        </w:tc>
        <w:tc>
          <w:tcPr>
            <w:tcW w:type="dxa" w:w="2400"/>
          </w:tcPr>
          <w:p>
            <w:r>
              <w:rPr>
                <w:rFonts w:ascii="Calibri" w:cs="Calibri" w:eastAsia="Calibri" w:hAnsi="Calibri"/>
                <w:color w:val="14120F"/>
                <w:sz w:val="18"/>
                <w:szCs w:val="18"/>
              </w:rPr>
              <w:t xml:space="preserve">↓ -0.021 €/L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2A78D6"/>
                <w:sz w:val="18"/>
                <w:szCs w:val="18"/>
              </w:rPr>
              <w:t xml:space="preserve">€1.985</w:t>
            </w:r>
          </w:p>
        </w:tc>
        <w:tc>
          <w:tcPr>
            <w:tcW w:type="dxa" w:w="2400"/>
          </w:tcPr>
          <w:p>
            <w:r>
              <w:rPr>
                <w:rFonts w:ascii="Calibri" w:cs="Calibri" w:eastAsia="Calibri" w:hAnsi="Calibri"/>
                <w:color w:val="14120F"/>
                <w:sz w:val="18"/>
                <w:szCs w:val="18"/>
              </w:rPr>
              <w:t xml:space="preserve">€2.003</w:t>
            </w:r>
          </w:p>
        </w:tc>
        <w:tc>
          <w:tcPr>
            <w:tcW w:type="dxa" w:w="2400"/>
          </w:tcPr>
          <w:p>
            <w:r>
              <w:rPr>
                <w:rFonts w:ascii="Calibri" w:cs="Calibri" w:eastAsia="Calibri" w:hAnsi="Calibri"/>
                <w:color w:val="14120F"/>
                <w:sz w:val="18"/>
                <w:szCs w:val="18"/>
              </w:rPr>
              <w:t xml:space="preserve">↓ -0.018 €/L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2A78D6"/>
                <w:sz w:val="18"/>
                <w:szCs w:val="18"/>
              </w:rPr>
              <w:t xml:space="preserve">€1.991</w:t>
            </w:r>
          </w:p>
        </w:tc>
        <w:tc>
          <w:tcPr>
            <w:tcW w:type="dxa" w:w="2400"/>
          </w:tcPr>
          <w:p>
            <w:r>
              <w:rPr>
                <w:rFonts w:ascii="Calibri" w:cs="Calibri" w:eastAsia="Calibri" w:hAnsi="Calibri"/>
                <w:color w:val="14120F"/>
                <w:sz w:val="18"/>
                <w:szCs w:val="18"/>
              </w:rPr>
              <w:t xml:space="preserve">€2.006</w:t>
            </w:r>
          </w:p>
        </w:tc>
        <w:tc>
          <w:tcPr>
            <w:tcW w:type="dxa" w:w="2400"/>
          </w:tcPr>
          <w:p>
            <w:r>
              <w:rPr>
                <w:rFonts w:ascii="Calibri" w:cs="Calibri" w:eastAsia="Calibri" w:hAnsi="Calibri"/>
                <w:color w:val="14120F"/>
                <w:sz w:val="18"/>
                <w:szCs w:val="18"/>
              </w:rPr>
              <w:t xml:space="preserve">↓ -0.015 €/L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2A78D6"/>
                <w:sz w:val="18"/>
                <w:szCs w:val="18"/>
              </w:rPr>
              <w:t xml:space="preserve">€1.986</w:t>
            </w:r>
          </w:p>
        </w:tc>
        <w:tc>
          <w:tcPr>
            <w:tcW w:type="dxa" w:w="2400"/>
          </w:tcPr>
          <w:p>
            <w:r>
              <w:rPr>
                <w:rFonts w:ascii="Calibri" w:cs="Calibri" w:eastAsia="Calibri" w:hAnsi="Calibri"/>
                <w:color w:val="14120F"/>
                <w:sz w:val="18"/>
                <w:szCs w:val="18"/>
              </w:rPr>
              <w:t xml:space="preserve">€2.001</w:t>
            </w:r>
          </w:p>
        </w:tc>
        <w:tc>
          <w:tcPr>
            <w:tcW w:type="dxa" w:w="2400"/>
          </w:tcPr>
          <w:p>
            <w:r>
              <w:rPr>
                <w:rFonts w:ascii="Calibri" w:cs="Calibri" w:eastAsia="Calibri" w:hAnsi="Calibri"/>
                <w:color w:val="14120F"/>
                <w:sz w:val="18"/>
                <w:szCs w:val="18"/>
              </w:rPr>
              <w:t xml:space="preserve">↓ -0.014 €/L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2A78D6"/>
                <w:sz w:val="18"/>
                <w:szCs w:val="18"/>
              </w:rPr>
              <w:t xml:space="preserve">€1.997</w:t>
            </w:r>
          </w:p>
        </w:tc>
        <w:tc>
          <w:tcPr>
            <w:tcW w:type="dxa" w:w="2400"/>
          </w:tcPr>
          <w:p>
            <w:r>
              <w:rPr>
                <w:rFonts w:ascii="Calibri" w:cs="Calibri" w:eastAsia="Calibri" w:hAnsi="Calibri"/>
                <w:color w:val="14120F"/>
                <w:sz w:val="18"/>
                <w:szCs w:val="18"/>
              </w:rPr>
              <w:t xml:space="preserve">€2.013</w:t>
            </w:r>
          </w:p>
        </w:tc>
        <w:tc>
          <w:tcPr>
            <w:tcW w:type="dxa" w:w="2400"/>
          </w:tcPr>
          <w:p>
            <w:r>
              <w:rPr>
                <w:rFonts w:ascii="Calibri" w:cs="Calibri" w:eastAsia="Calibri" w:hAnsi="Calibri"/>
                <w:color w:val="14120F"/>
                <w:sz w:val="18"/>
                <w:szCs w:val="18"/>
              </w:rPr>
              <w:t xml:space="preserve">↓ -0.016 €/L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2A78D6"/>
                <w:sz w:val="18"/>
                <w:szCs w:val="18"/>
              </w:rPr>
              <w:t xml:space="preserve">€2.011</w:t>
            </w:r>
          </w:p>
        </w:tc>
        <w:tc>
          <w:tcPr>
            <w:tcW w:type="dxa" w:w="2400"/>
          </w:tcPr>
          <w:p>
            <w:r>
              <w:rPr>
                <w:rFonts w:ascii="Calibri" w:cs="Calibri" w:eastAsia="Calibri" w:hAnsi="Calibri"/>
                <w:color w:val="14120F"/>
                <w:sz w:val="18"/>
                <w:szCs w:val="18"/>
              </w:rPr>
              <w:t xml:space="preserve">€2.027</w:t>
            </w:r>
          </w:p>
        </w:tc>
        <w:tc>
          <w:tcPr>
            <w:tcW w:type="dxa" w:w="2400"/>
          </w:tcPr>
          <w:p>
            <w:r>
              <w:rPr>
                <w:rFonts w:ascii="Calibri" w:cs="Calibri" w:eastAsia="Calibri" w:hAnsi="Calibri"/>
                <w:color w:val="14120F"/>
                <w:sz w:val="18"/>
                <w:szCs w:val="18"/>
              </w:rPr>
              <w:t xml:space="preserve">↓ -0.017 €/L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2A78D6"/>
                <w:sz w:val="18"/>
                <w:szCs w:val="18"/>
              </w:rPr>
              <w:t xml:space="preserve">€2.019</w:t>
            </w:r>
          </w:p>
        </w:tc>
        <w:tc>
          <w:tcPr>
            <w:tcW w:type="dxa" w:w="2400"/>
          </w:tcPr>
          <w:p>
            <w:r>
              <w:rPr>
                <w:rFonts w:ascii="Calibri" w:cs="Calibri" w:eastAsia="Calibri" w:hAnsi="Calibri"/>
                <w:color w:val="14120F"/>
                <w:sz w:val="18"/>
                <w:szCs w:val="18"/>
              </w:rPr>
              <w:t xml:space="preserve">€2.039</w:t>
            </w:r>
          </w:p>
        </w:tc>
        <w:tc>
          <w:tcPr>
            <w:tcW w:type="dxa" w:w="2400"/>
          </w:tcPr>
          <w:p>
            <w:r>
              <w:rPr>
                <w:rFonts w:ascii="Calibri" w:cs="Calibri" w:eastAsia="Calibri" w:hAnsi="Calibri"/>
                <w:color w:val="14120F"/>
                <w:sz w:val="18"/>
                <w:szCs w:val="18"/>
              </w:rPr>
              <w:t xml:space="preserve">↓ -0.019 €/L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2A78D6"/>
                <w:sz w:val="18"/>
                <w:szCs w:val="18"/>
              </w:rPr>
              <w:t xml:space="preserve">€2.066</w:t>
            </w:r>
          </w:p>
        </w:tc>
        <w:tc>
          <w:tcPr>
            <w:tcW w:type="dxa" w:w="2400"/>
          </w:tcPr>
          <w:p>
            <w:r>
              <w:rPr>
                <w:rFonts w:ascii="Calibri" w:cs="Calibri" w:eastAsia="Calibri" w:hAnsi="Calibri"/>
                <w:color w:val="14120F"/>
                <w:sz w:val="18"/>
                <w:szCs w:val="18"/>
              </w:rPr>
              <w:t xml:space="preserve">€2.090</w:t>
            </w:r>
          </w:p>
        </w:tc>
        <w:tc>
          <w:tcPr>
            <w:tcW w:type="dxa" w:w="2400"/>
          </w:tcPr>
          <w:p>
            <w:r>
              <w:rPr>
                <w:rFonts w:ascii="Calibri" w:cs="Calibri" w:eastAsia="Calibri" w:hAnsi="Calibri"/>
                <w:color w:val="14120F"/>
                <w:sz w:val="18"/>
                <w:szCs w:val="18"/>
              </w:rPr>
              <w:t xml:space="preserve">↓ -0.024 €/L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2A78D6"/>
                <w:sz w:val="18"/>
                <w:szCs w:val="18"/>
              </w:rPr>
              <w:t xml:space="preserve">€2.124</w:t>
            </w:r>
          </w:p>
        </w:tc>
        <w:tc>
          <w:tcPr>
            <w:tcW w:type="dxa" w:w="2400"/>
          </w:tcPr>
          <w:p>
            <w:r>
              <w:rPr>
                <w:rFonts w:ascii="Calibri" w:cs="Calibri" w:eastAsia="Calibri" w:hAnsi="Calibri"/>
                <w:color w:val="14120F"/>
                <w:sz w:val="18"/>
                <w:szCs w:val="18"/>
              </w:rPr>
              <w:t xml:space="preserve">€2.148</w:t>
            </w:r>
          </w:p>
        </w:tc>
        <w:tc>
          <w:tcPr>
            <w:tcW w:type="dxa" w:w="2400"/>
          </w:tcPr>
          <w:p>
            <w:r>
              <w:rPr>
                <w:rFonts w:ascii="Calibri" w:cs="Calibri" w:eastAsia="Calibri" w:hAnsi="Calibri"/>
                <w:color w:val="14120F"/>
                <w:sz w:val="18"/>
                <w:szCs w:val="18"/>
              </w:rPr>
              <w:t xml:space="preserve">↓ -0.024 €/L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2A78D6"/>
                <w:sz w:val="18"/>
                <w:szCs w:val="18"/>
              </w:rPr>
              <w:t xml:space="preserve">€2.147</w:t>
            </w:r>
          </w:p>
        </w:tc>
        <w:tc>
          <w:tcPr>
            <w:tcW w:type="dxa" w:w="2400"/>
          </w:tcPr>
          <w:p>
            <w:r>
              <w:rPr>
                <w:rFonts w:ascii="Calibri" w:cs="Calibri" w:eastAsia="Calibri" w:hAnsi="Calibri"/>
                <w:color w:val="14120F"/>
                <w:sz w:val="18"/>
                <w:szCs w:val="18"/>
              </w:rPr>
              <w:t xml:space="preserve">€2.167</w:t>
            </w:r>
          </w:p>
        </w:tc>
        <w:tc>
          <w:tcPr>
            <w:tcW w:type="dxa" w:w="2400"/>
          </w:tcPr>
          <w:p>
            <w:r>
              <w:rPr>
                <w:rFonts w:ascii="Calibri" w:cs="Calibri" w:eastAsia="Calibri" w:hAnsi="Calibri"/>
                <w:color w:val="14120F"/>
                <w:sz w:val="18"/>
                <w:szCs w:val="18"/>
              </w:rPr>
              <w:t xml:space="preserve">↓ -0.020 €/L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2A78D6"/>
                <w:sz w:val="18"/>
                <w:szCs w:val="18"/>
              </w:rPr>
              <w:t xml:space="preserve">€2.107</w:t>
            </w:r>
          </w:p>
        </w:tc>
        <w:tc>
          <w:tcPr>
            <w:tcW w:type="dxa" w:w="2400"/>
          </w:tcPr>
          <w:p>
            <w:r>
              <w:rPr>
                <w:rFonts w:ascii="Calibri" w:cs="Calibri" w:eastAsia="Calibri" w:hAnsi="Calibri"/>
                <w:color w:val="14120F"/>
                <w:sz w:val="18"/>
                <w:szCs w:val="18"/>
              </w:rPr>
              <w:t xml:space="preserve">€2.135</w:t>
            </w:r>
          </w:p>
        </w:tc>
        <w:tc>
          <w:tcPr>
            <w:tcW w:type="dxa" w:w="2400"/>
          </w:tcPr>
          <w:p>
            <w:r>
              <w:rPr>
                <w:rFonts w:ascii="Calibri" w:cs="Calibri" w:eastAsia="Calibri" w:hAnsi="Calibri"/>
                <w:color w:val="14120F"/>
                <w:sz w:val="18"/>
                <w:szCs w:val="18"/>
              </w:rPr>
              <w:t xml:space="preserve">↓ -0.028 €/L</w:t>
            </w:r>
          </w:p>
        </w:tc>
      </w:tr>
    </w:tbl>
    <w:p>
      <w:r>
        <w:br w:type="page"/>
      </w:r>
    </w:p>
    <w:p>
      <w:pPr>
        <w:spacing w:after="80"/>
      </w:pPr>
      <w:r>
        <w:rPr>
          <w:rFonts w:ascii="Calibri" w:cs="Calibri" w:eastAsia="Calibri" w:hAnsi="Calibri"/>
          <w:b/>
          <w:bCs/>
          <w:color w:val="B9790A"/>
          <w:sz w:val="18"/>
          <w:szCs w:val="18"/>
        </w:rPr>
        <w:t xml:space="preserve">FUEL SPOTLIGHT · GASOLIO (diesel)</w:t>
      </w:r>
    </w:p>
    <w:p>
      <w:pPr>
        <w:spacing w:after="180" w:before="0"/>
      </w:pPr>
      <w:r>
        <w:rPr>
          <w:rFonts w:ascii="Cambria" w:cs="Cambria" w:eastAsia="Cambria" w:hAnsi="Cambria"/>
          <w:b/>
          <w:bCs/>
          <w:color w:val="1BAF7A"/>
          <w:sz w:val="34"/>
          <w:szCs w:val="34"/>
        </w:rPr>
        <w:t xml:space="preserve">Gasolio's Sharpest Pullback of the Tracked Period</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€2.321</w:t>
            </w:r>
          </w:p>
          <w:p>
            <w:pPr>
              <w:spacing w:before="40"/>
            </w:pPr>
            <w:r>
              <w:rPr>
                <w:rFonts w:ascii="Calibri" w:cs="Calibri" w:eastAsia="Calibri" w:hAnsi="Calibri"/>
                <w:color w:val="5B564C"/>
                <w:sz w:val="17"/>
                <w:szCs w:val="17"/>
              </w:rPr>
              <w:t xml:space="preserve">Sep 29</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-0.060 €/L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+7.8%</w:t>
            </w:r>
          </w:p>
          <w:p>
            <w:pPr>
              <w:spacing w:before="40"/>
            </w:pPr>
            <w:r>
              <w:rPr>
                <w:rFonts w:ascii="Calibri" w:cs="Calibri" w:eastAsia="Calibri" w:hAnsi="Calibri"/>
                <w:color w:val="5B564C"/>
                <w:sz w:val="17"/>
                <w:szCs w:val="17"/>
              </w:rPr>
              <w:t xml:space="preserve">Marche,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+8.1%</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Gasolio posted the single biggest daily move of any fuel in Marche today: self-service fell 2.51%, from €2.3803/L on September 27 to €2.3206/L on September 29 (served: €2.5525/L down to €2.492/L). That leaves the region 1.24% below the national self-service average of €2.3498/L — a discount similar in size to Benzina's.</w:t>
      </w:r>
    </w:p>
    <w:p>
      <w:pPr>
        <w:spacing w:after="200"/>
      </w:pPr>
      <w:r>
        <w:rPr>
          <w:rFonts w:ascii="Calibri" w:cs="Calibri" w:eastAsia="Calibri" w:hAnsi="Calibri"/>
          <w:b w:val="false"/>
          <w:bCs w:val="false"/>
          <w:i w:val="false"/>
          <w:iCs w:val="false"/>
          <w:color w:val="14120F"/>
          <w:sz w:val="22"/>
          <w:szCs w:val="22"/>
        </w:rPr>
        <w:t xml:space="preserve">The bigger picture is a steady multi-week climb followed by a sudden give-back. Marche's weekly Gasolio average rose from €2.1524/L (week of July 20) to €2.3496/L (week of September 21), a 9.16% increase that tracks almost exactly with the national 9.14% gain over the same period. That September 21 week set the highest weekly average recorded in the region since tracking began on July 21 — and today's price sits noticeably below where that peak week left off, the first real sign of Gasolio cooling after two months of steady gains.</w:t>
      </w:r>
    </w:p>
    <w:p>
      <w:pPr>
        <w:spacing w:after="120"/>
      </w:pPr>
      <w:r>
        <w:rPr>
          <w:rFonts w:ascii="Calibri" w:cs="Calibri" w:eastAsia="Calibri" w:hAnsi="Calibri"/>
          <w:b/>
          <w:bCs/>
          <w:i w:val="false"/>
          <w:iCs w:val="false"/>
          <w:color w:val="5B564C"/>
          <w:sz w:val="18"/>
          <w:szCs w:val="18"/>
        </w:rPr>
        <w:t xml:space="preserve">Weekly self-service average, Marche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Gasolio — Region</w:t>
            </w:r>
          </w:p>
        </w:tc>
        <w:tc>
          <w:tcPr>
            <w:tcW w:type="dxa" w:w="2400"/>
            <w:shd w:fill="F0EDE6" w:val="clear"/>
          </w:tcPr>
          <w:p>
            <w:r>
              <w:rPr>
                <w:rFonts w:ascii="Calibri" w:cs="Calibri" w:eastAsia="Calibri" w:hAnsi="Calibri"/>
                <w:b/>
                <w:bCs/>
                <w:sz w:val="18"/>
                <w:szCs w:val="18"/>
              </w:rPr>
              <w:t xml:space="preserve">Gasolio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BAF7A"/>
                <w:sz w:val="18"/>
                <w:szCs w:val="18"/>
              </w:rPr>
              <w:t xml:space="preserve">€2.152</w:t>
            </w:r>
          </w:p>
        </w:tc>
        <w:tc>
          <w:tcPr>
            <w:tcW w:type="dxa" w:w="2400"/>
          </w:tcPr>
          <w:p>
            <w:r>
              <w:rPr>
                <w:rFonts w:ascii="Calibri" w:cs="Calibri" w:eastAsia="Calibri" w:hAnsi="Calibri"/>
                <w:color w:val="14120F"/>
                <w:sz w:val="18"/>
                <w:szCs w:val="18"/>
              </w:rPr>
              <w:t xml:space="preserve">€2.175</w:t>
            </w:r>
          </w:p>
        </w:tc>
        <w:tc>
          <w:tcPr>
            <w:tcW w:type="dxa" w:w="2400"/>
          </w:tcPr>
          <w:p>
            <w:r>
              <w:rPr>
                <w:rFonts w:ascii="Calibri" w:cs="Calibri" w:eastAsia="Calibri" w:hAnsi="Calibri"/>
                <w:color w:val="14120F"/>
                <w:sz w:val="18"/>
                <w:szCs w:val="18"/>
              </w:rPr>
              <w:t xml:space="preserve">↓ -0.022 €/L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BAF7A"/>
                <w:sz w:val="18"/>
                <w:szCs w:val="18"/>
              </w:rPr>
              <w:t xml:space="preserve">€2.113</w:t>
            </w:r>
          </w:p>
        </w:tc>
        <w:tc>
          <w:tcPr>
            <w:tcW w:type="dxa" w:w="2400"/>
          </w:tcPr>
          <w:p>
            <w:r>
              <w:rPr>
                <w:rFonts w:ascii="Calibri" w:cs="Calibri" w:eastAsia="Calibri" w:hAnsi="Calibri"/>
                <w:color w:val="14120F"/>
                <w:sz w:val="18"/>
                <w:szCs w:val="18"/>
              </w:rPr>
              <w:t xml:space="preserve">€2.136</w:t>
            </w:r>
          </w:p>
        </w:tc>
        <w:tc>
          <w:tcPr>
            <w:tcW w:type="dxa" w:w="2400"/>
          </w:tcPr>
          <w:p>
            <w:r>
              <w:rPr>
                <w:rFonts w:ascii="Calibri" w:cs="Calibri" w:eastAsia="Calibri" w:hAnsi="Calibri"/>
                <w:color w:val="14120F"/>
                <w:sz w:val="18"/>
                <w:szCs w:val="18"/>
              </w:rPr>
              <w:t xml:space="preserve">↓ -0.023 €/L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BAF7A"/>
                <w:sz w:val="18"/>
                <w:szCs w:val="18"/>
              </w:rPr>
              <w:t xml:space="preserve">€2.098</w:t>
            </w:r>
          </w:p>
        </w:tc>
        <w:tc>
          <w:tcPr>
            <w:tcW w:type="dxa" w:w="2400"/>
          </w:tcPr>
          <w:p>
            <w:r>
              <w:rPr>
                <w:rFonts w:ascii="Calibri" w:cs="Calibri" w:eastAsia="Calibri" w:hAnsi="Calibri"/>
                <w:color w:val="14120F"/>
                <w:sz w:val="18"/>
                <w:szCs w:val="18"/>
              </w:rPr>
              <w:t xml:space="preserve">€2.118</w:t>
            </w:r>
          </w:p>
        </w:tc>
        <w:tc>
          <w:tcPr>
            <w:tcW w:type="dxa" w:w="2400"/>
          </w:tcPr>
          <w:p>
            <w:r>
              <w:rPr>
                <w:rFonts w:ascii="Calibri" w:cs="Calibri" w:eastAsia="Calibri" w:hAnsi="Calibri"/>
                <w:color w:val="14120F"/>
                <w:sz w:val="18"/>
                <w:szCs w:val="18"/>
              </w:rPr>
              <w:t xml:space="preserve">↓ -0.020 €/L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BAF7A"/>
                <w:sz w:val="18"/>
                <w:szCs w:val="18"/>
              </w:rPr>
              <w:t xml:space="preserve">€2.096</w:t>
            </w:r>
          </w:p>
        </w:tc>
        <w:tc>
          <w:tcPr>
            <w:tcW w:type="dxa" w:w="2400"/>
          </w:tcPr>
          <w:p>
            <w:r>
              <w:rPr>
                <w:rFonts w:ascii="Calibri" w:cs="Calibri" w:eastAsia="Calibri" w:hAnsi="Calibri"/>
                <w:color w:val="14120F"/>
                <w:sz w:val="18"/>
                <w:szCs w:val="18"/>
              </w:rPr>
              <w:t xml:space="preserve">€2.113</w:t>
            </w:r>
          </w:p>
        </w:tc>
        <w:tc>
          <w:tcPr>
            <w:tcW w:type="dxa" w:w="2400"/>
          </w:tcPr>
          <w:p>
            <w:r>
              <w:rPr>
                <w:rFonts w:ascii="Calibri" w:cs="Calibri" w:eastAsia="Calibri" w:hAnsi="Calibri"/>
                <w:color w:val="14120F"/>
                <w:sz w:val="18"/>
                <w:szCs w:val="18"/>
              </w:rPr>
              <w:t xml:space="preserve">↓ -0.017 €/L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BAF7A"/>
                <w:sz w:val="18"/>
                <w:szCs w:val="18"/>
              </w:rPr>
              <w:t xml:space="preserve">€2.124</w:t>
            </w:r>
          </w:p>
        </w:tc>
        <w:tc>
          <w:tcPr>
            <w:tcW w:type="dxa" w:w="2400"/>
          </w:tcPr>
          <w:p>
            <w:r>
              <w:rPr>
                <w:rFonts w:ascii="Calibri" w:cs="Calibri" w:eastAsia="Calibri" w:hAnsi="Calibri"/>
                <w:color w:val="14120F"/>
                <w:sz w:val="18"/>
                <w:szCs w:val="18"/>
              </w:rPr>
              <w:t xml:space="preserve">€2.141</w:t>
            </w:r>
          </w:p>
        </w:tc>
        <w:tc>
          <w:tcPr>
            <w:tcW w:type="dxa" w:w="2400"/>
          </w:tcPr>
          <w:p>
            <w:r>
              <w:rPr>
                <w:rFonts w:ascii="Calibri" w:cs="Calibri" w:eastAsia="Calibri" w:hAnsi="Calibri"/>
                <w:color w:val="14120F"/>
                <w:sz w:val="18"/>
                <w:szCs w:val="18"/>
              </w:rPr>
              <w:t xml:space="preserve">↓ -0.016 €/L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BAF7A"/>
                <w:sz w:val="18"/>
                <w:szCs w:val="18"/>
              </w:rPr>
              <w:t xml:space="preserve">€2.144</w:t>
            </w:r>
          </w:p>
        </w:tc>
        <w:tc>
          <w:tcPr>
            <w:tcW w:type="dxa" w:w="2400"/>
          </w:tcPr>
          <w:p>
            <w:r>
              <w:rPr>
                <w:rFonts w:ascii="Calibri" w:cs="Calibri" w:eastAsia="Calibri" w:hAnsi="Calibri"/>
                <w:color w:val="14120F"/>
                <w:sz w:val="18"/>
                <w:szCs w:val="18"/>
              </w:rPr>
              <w:t xml:space="preserve">€2.162</w:t>
            </w:r>
          </w:p>
        </w:tc>
        <w:tc>
          <w:tcPr>
            <w:tcW w:type="dxa" w:w="2400"/>
          </w:tcPr>
          <w:p>
            <w:r>
              <w:rPr>
                <w:rFonts w:ascii="Calibri" w:cs="Calibri" w:eastAsia="Calibri" w:hAnsi="Calibri"/>
                <w:color w:val="14120F"/>
                <w:sz w:val="18"/>
                <w:szCs w:val="18"/>
              </w:rPr>
              <w:t xml:space="preserve">↓ -0.017 €/L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BAF7A"/>
                <w:sz w:val="18"/>
                <w:szCs w:val="18"/>
              </w:rPr>
              <w:t xml:space="preserve">€2.148</w:t>
            </w:r>
          </w:p>
        </w:tc>
        <w:tc>
          <w:tcPr>
            <w:tcW w:type="dxa" w:w="2400"/>
          </w:tcPr>
          <w:p>
            <w:r>
              <w:rPr>
                <w:rFonts w:ascii="Calibri" w:cs="Calibri" w:eastAsia="Calibri" w:hAnsi="Calibri"/>
                <w:color w:val="14120F"/>
                <w:sz w:val="18"/>
                <w:szCs w:val="18"/>
              </w:rPr>
              <w:t xml:space="preserve">€2.166</w:t>
            </w:r>
          </w:p>
        </w:tc>
        <w:tc>
          <w:tcPr>
            <w:tcW w:type="dxa" w:w="2400"/>
          </w:tcPr>
          <w:p>
            <w:r>
              <w:rPr>
                <w:rFonts w:ascii="Calibri" w:cs="Calibri" w:eastAsia="Calibri" w:hAnsi="Calibri"/>
                <w:color w:val="14120F"/>
                <w:sz w:val="18"/>
                <w:szCs w:val="18"/>
              </w:rPr>
              <w:t xml:space="preserve">↓ -0.018 €/L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BAF7A"/>
                <w:sz w:val="18"/>
                <w:szCs w:val="18"/>
              </w:rPr>
              <w:t xml:space="preserve">€2.194</w:t>
            </w:r>
          </w:p>
        </w:tc>
        <w:tc>
          <w:tcPr>
            <w:tcW w:type="dxa" w:w="2400"/>
          </w:tcPr>
          <w:p>
            <w:r>
              <w:rPr>
                <w:rFonts w:ascii="Calibri" w:cs="Calibri" w:eastAsia="Calibri" w:hAnsi="Calibri"/>
                <w:color w:val="14120F"/>
                <w:sz w:val="18"/>
                <w:szCs w:val="18"/>
              </w:rPr>
              <w:t xml:space="preserve">€2.216</w:t>
            </w:r>
          </w:p>
        </w:tc>
        <w:tc>
          <w:tcPr>
            <w:tcW w:type="dxa" w:w="2400"/>
          </w:tcPr>
          <w:p>
            <w:r>
              <w:rPr>
                <w:rFonts w:ascii="Calibri" w:cs="Calibri" w:eastAsia="Calibri" w:hAnsi="Calibri"/>
                <w:color w:val="14120F"/>
                <w:sz w:val="18"/>
                <w:szCs w:val="18"/>
              </w:rPr>
              <w:t xml:space="preserve">↓ -0.022 €/L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BAF7A"/>
                <w:sz w:val="18"/>
                <w:szCs w:val="18"/>
              </w:rPr>
              <w:t xml:space="preserve">€2.275</w:t>
            </w:r>
          </w:p>
        </w:tc>
        <w:tc>
          <w:tcPr>
            <w:tcW w:type="dxa" w:w="2400"/>
          </w:tcPr>
          <w:p>
            <w:r>
              <w:rPr>
                <w:rFonts w:ascii="Calibri" w:cs="Calibri" w:eastAsia="Calibri" w:hAnsi="Calibri"/>
                <w:color w:val="14120F"/>
                <w:sz w:val="18"/>
                <w:szCs w:val="18"/>
              </w:rPr>
              <w:t xml:space="preserve">€2.300</w:t>
            </w:r>
          </w:p>
        </w:tc>
        <w:tc>
          <w:tcPr>
            <w:tcW w:type="dxa" w:w="2400"/>
          </w:tcPr>
          <w:p>
            <w:r>
              <w:rPr>
                <w:rFonts w:ascii="Calibri" w:cs="Calibri" w:eastAsia="Calibri" w:hAnsi="Calibri"/>
                <w:color w:val="14120F"/>
                <w:sz w:val="18"/>
                <w:szCs w:val="18"/>
              </w:rPr>
              <w:t xml:space="preserve">↓ -0.025 €/L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BAF7A"/>
                <w:sz w:val="18"/>
                <w:szCs w:val="18"/>
              </w:rPr>
              <w:t xml:space="preserve">€2.350</w:t>
            </w:r>
          </w:p>
        </w:tc>
        <w:tc>
          <w:tcPr>
            <w:tcW w:type="dxa" w:w="2400"/>
          </w:tcPr>
          <w:p>
            <w:r>
              <w:rPr>
                <w:rFonts w:ascii="Calibri" w:cs="Calibri" w:eastAsia="Calibri" w:hAnsi="Calibri"/>
                <w:color w:val="14120F"/>
                <w:sz w:val="18"/>
                <w:szCs w:val="18"/>
              </w:rPr>
              <w:t xml:space="preserve">€2.374</w:t>
            </w:r>
          </w:p>
        </w:tc>
        <w:tc>
          <w:tcPr>
            <w:tcW w:type="dxa" w:w="2400"/>
          </w:tcPr>
          <w:p>
            <w:r>
              <w:rPr>
                <w:rFonts w:ascii="Calibri" w:cs="Calibri" w:eastAsia="Calibri" w:hAnsi="Calibri"/>
                <w:color w:val="14120F"/>
                <w:sz w:val="18"/>
                <w:szCs w:val="18"/>
              </w:rPr>
              <w:t xml:space="preserve">↓ -0.024 €/L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1BAF7A"/>
                <w:sz w:val="18"/>
                <w:szCs w:val="18"/>
              </w:rPr>
              <w:t xml:space="preserve">€2.321</w:t>
            </w:r>
          </w:p>
        </w:tc>
        <w:tc>
          <w:tcPr>
            <w:tcW w:type="dxa" w:w="2400"/>
          </w:tcPr>
          <w:p>
            <w:r>
              <w:rPr>
                <w:rFonts w:ascii="Calibri" w:cs="Calibri" w:eastAsia="Calibri" w:hAnsi="Calibri"/>
                <w:color w:val="14120F"/>
                <w:sz w:val="18"/>
                <w:szCs w:val="18"/>
              </w:rPr>
              <w:t xml:space="preserve">€2.350</w:t>
            </w:r>
          </w:p>
        </w:tc>
        <w:tc>
          <w:tcPr>
            <w:tcW w:type="dxa" w:w="2400"/>
          </w:tcPr>
          <w:p>
            <w:r>
              <w:rPr>
                <w:rFonts w:ascii="Calibri" w:cs="Calibri" w:eastAsia="Calibri" w:hAnsi="Calibri"/>
                <w:color w:val="14120F"/>
                <w:sz w:val="18"/>
                <w:szCs w:val="18"/>
              </w:rPr>
              <w:t xml:space="preserve">↓ -0.029 €/L</w:t>
            </w:r>
          </w:p>
        </w:tc>
      </w:tr>
    </w:tbl>
    <w:p>
      <w:r>
        <w:br w:type="page"/>
      </w:r>
    </w:p>
    <w:p>
      <w:pPr>
        <w:spacing w:after="80"/>
      </w:pPr>
      <w:r>
        <w:rPr>
          <w:rFonts w:ascii="Calibri" w:cs="Calibri" w:eastAsia="Calibri" w:hAnsi="Calibri"/>
          <w:b/>
          <w:bCs/>
          <w:color w:val="B9790A"/>
          <w:sz w:val="18"/>
          <w:szCs w:val="18"/>
        </w:rPr>
        <w:t xml:space="preserve">FUEL SPOTLIGHT · GPL (LPG)</w:t>
      </w:r>
    </w:p>
    <w:p>
      <w:pPr>
        <w:spacing w:after="180" w:before="0"/>
      </w:pPr>
      <w:r>
        <w:rPr>
          <w:rFonts w:ascii="Cambria" w:cs="Cambria" w:eastAsia="Cambria" w:hAnsi="Cambria"/>
          <w:b/>
          <w:bCs/>
          <w:color w:val="C98500"/>
          <w:sz w:val="34"/>
          <w:szCs w:val="34"/>
        </w:rPr>
        <w:t xml:space="preserve">GPL: Marche's Persistent Premium Over the Rest of Italy</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€0.899</w:t>
            </w:r>
          </w:p>
          <w:p>
            <w:pPr>
              <w:spacing w:before="40"/>
            </w:pPr>
            <w:r>
              <w:rPr>
                <w:rFonts w:ascii="Calibri" w:cs="Calibri" w:eastAsia="Calibri" w:hAnsi="Calibri"/>
                <w:color w:val="5B564C"/>
                <w:sz w:val="17"/>
                <w:szCs w:val="17"/>
              </w:rPr>
              <w:t xml:space="preserve">Sep 29</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+1.1%</w:t>
            </w:r>
          </w:p>
          <w:p>
            <w:pPr>
              <w:spacing w:before="40"/>
            </w:pPr>
            <w:r>
              <w:rPr>
                <w:rFonts w:ascii="Calibri" w:cs="Calibri" w:eastAsia="Calibri" w:hAnsi="Calibri"/>
                <w:color w:val="5B564C"/>
                <w:sz w:val="17"/>
                <w:szCs w:val="17"/>
              </w:rPr>
              <w:t xml:space="preserve">Marche,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-0.5%</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GPL held flat at €0.899/L self-service in Marche on both September 27 and September 29 (served ticked up marginally, €0.7832/L to €0.7834/L). What stands out is the gap to the national figure: at €0.7551/L nationally, Marche is running 19.06% above the national self-service average — by a wide margin the largest region-versus-nation gap of any fuel in today's data.</w:t>
      </w:r>
    </w:p>
    <w:p>
      <w:pPr>
        <w:spacing w:after="200"/>
      </w:pPr>
      <w:r>
        <w:rPr>
          <w:rFonts w:ascii="Calibri" w:cs="Calibri" w:eastAsia="Calibri" w:hAnsi="Calibri"/>
          <w:b w:val="false"/>
          <w:bCs w:val="false"/>
          <w:i w:val="false"/>
          <w:iCs w:val="false"/>
          <w:color w:val="14120F"/>
          <w:sz w:val="22"/>
          <w:szCs w:val="22"/>
        </w:rPr>
        <w:t xml:space="preserve">That premium isn't new — it has been a structural feature of the region throughout the tracked period, and it's widening rather than closing. Marche's weekly GPL average edged up from €0.889/L (week of July 20) to €0.899/L (week of September 21), a 1.12% increase, while the national average actually eased over the same stretch, from €0.7592/L to €0.7555/L, a 0.49% decline. Marche and the rest of Italy are moving in opposite directions on this fuel.</w:t>
      </w:r>
    </w:p>
    <w:p>
      <w:pPr>
        <w:spacing w:after="120"/>
      </w:pPr>
      <w:r>
        <w:rPr>
          <w:rFonts w:ascii="Calibri" w:cs="Calibri" w:eastAsia="Calibri" w:hAnsi="Calibri"/>
          <w:b/>
          <w:bCs/>
          <w:i w:val="false"/>
          <w:iCs w:val="false"/>
          <w:color w:val="5B564C"/>
          <w:sz w:val="18"/>
          <w:szCs w:val="18"/>
        </w:rPr>
        <w:t xml:space="preserve">Weekly self-service average, Marche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GPL — Region</w:t>
            </w:r>
          </w:p>
        </w:tc>
        <w:tc>
          <w:tcPr>
            <w:tcW w:type="dxa" w:w="2400"/>
            <w:shd w:fill="F0EDE6" w:val="clear"/>
          </w:tcPr>
          <w:p>
            <w:r>
              <w:rPr>
                <w:rFonts w:ascii="Calibri" w:cs="Calibri" w:eastAsia="Calibri" w:hAnsi="Calibri"/>
                <w:b/>
                <w:bCs/>
                <w:sz w:val="18"/>
                <w:szCs w:val="18"/>
              </w:rPr>
              <w:t xml:space="preserve">GPL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C98500"/>
                <w:sz w:val="18"/>
                <w:szCs w:val="18"/>
              </w:rPr>
              <w:t xml:space="preserve">€0.889</w:t>
            </w:r>
          </w:p>
        </w:tc>
        <w:tc>
          <w:tcPr>
            <w:tcW w:type="dxa" w:w="2400"/>
          </w:tcPr>
          <w:p>
            <w:r>
              <w:rPr>
                <w:rFonts w:ascii="Calibri" w:cs="Calibri" w:eastAsia="Calibri" w:hAnsi="Calibri"/>
                <w:color w:val="14120F"/>
                <w:sz w:val="18"/>
                <w:szCs w:val="18"/>
              </w:rPr>
              <w:t xml:space="preserve">€0.759</w:t>
            </w:r>
          </w:p>
        </w:tc>
        <w:tc>
          <w:tcPr>
            <w:tcW w:type="dxa" w:w="2400"/>
          </w:tcPr>
          <w:p>
            <w:r>
              <w:rPr>
                <w:rFonts w:ascii="Calibri" w:cs="Calibri" w:eastAsia="Calibri" w:hAnsi="Calibri"/>
                <w:color w:val="14120F"/>
                <w:sz w:val="18"/>
                <w:szCs w:val="18"/>
              </w:rPr>
              <w:t xml:space="preserve">↑ +0.130 €/L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C98500"/>
                <w:sz w:val="18"/>
                <w:szCs w:val="18"/>
              </w:rPr>
              <w:t xml:space="preserve">€0.889</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+0.132 €/L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C98500"/>
                <w:sz w:val="18"/>
                <w:szCs w:val="18"/>
              </w:rPr>
              <w:t xml:space="preserve">€0.889</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 +0.133 €/L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C98500"/>
                <w:sz w:val="18"/>
                <w:szCs w:val="18"/>
              </w:rPr>
              <w:t xml:space="preserve">€0.889</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+0.132 €/L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C98500"/>
                <w:sz w:val="18"/>
                <w:szCs w:val="18"/>
              </w:rPr>
              <w:t xml:space="preserve">€0.895</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+0.140 €/L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C98500"/>
                <w:sz w:val="18"/>
                <w:szCs w:val="18"/>
              </w:rPr>
              <w:t xml:space="preserve">€0.899</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+0.144 €/L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C98500"/>
                <w:sz w:val="18"/>
                <w:szCs w:val="18"/>
              </w:rPr>
              <w:t xml:space="preserve">€0.899</w:t>
            </w:r>
          </w:p>
        </w:tc>
        <w:tc>
          <w:tcPr>
            <w:tcW w:type="dxa" w:w="2400"/>
          </w:tcPr>
          <w:p>
            <w:r>
              <w:rPr>
                <w:rFonts w:ascii="Calibri" w:cs="Calibri" w:eastAsia="Calibri" w:hAnsi="Calibri"/>
                <w:color w:val="14120F"/>
                <w:sz w:val="18"/>
                <w:szCs w:val="18"/>
              </w:rPr>
              <w:t xml:space="preserve">€0.754</w:t>
            </w:r>
          </w:p>
        </w:tc>
        <w:tc>
          <w:tcPr>
            <w:tcW w:type="dxa" w:w="2400"/>
          </w:tcPr>
          <w:p>
            <w:r>
              <w:rPr>
                <w:rFonts w:ascii="Calibri" w:cs="Calibri" w:eastAsia="Calibri" w:hAnsi="Calibri"/>
                <w:color w:val="14120F"/>
                <w:sz w:val="18"/>
                <w:szCs w:val="18"/>
              </w:rPr>
              <w:t xml:space="preserve">↑ +0.145 €/L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C98500"/>
                <w:sz w:val="18"/>
                <w:szCs w:val="18"/>
              </w:rPr>
              <w:t xml:space="preserve">€0.899</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+0.144 €/L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C98500"/>
                <w:sz w:val="18"/>
                <w:szCs w:val="18"/>
              </w:rPr>
              <w:t xml:space="preserve">€0.899</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+0.144 €/L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C98500"/>
                <w:sz w:val="18"/>
                <w:szCs w:val="18"/>
              </w:rPr>
              <w:t xml:space="preserve">€0.899</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+0.144 €/L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C98500"/>
                <w:sz w:val="18"/>
                <w:szCs w:val="18"/>
              </w:rPr>
              <w:t xml:space="preserve">€0.899</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+0.144 €/L</w:t>
            </w:r>
          </w:p>
        </w:tc>
      </w:tr>
    </w:tbl>
    <w:p>
      <w:r>
        <w:br w:type="page"/>
      </w:r>
    </w:p>
    <w:p>
      <w:pPr>
        <w:spacing w:after="80"/>
      </w:pPr>
      <w:r>
        <w:rPr>
          <w:rFonts w:ascii="Calibri" w:cs="Calibri" w:eastAsia="Calibri" w:hAnsi="Calibri"/>
          <w:b/>
          <w:bCs/>
          <w:color w:val="B9790A"/>
          <w:sz w:val="18"/>
          <w:szCs w:val="18"/>
        </w:rPr>
        <w:t xml:space="preserve">FUEL SPOTLIGHT · METANO (CNG)</w:t>
      </w:r>
    </w:p>
    <w:p>
      <w:pPr>
        <w:spacing w:after="180" w:before="0"/>
      </w:pPr>
      <w:r>
        <w:rPr>
          <w:rFonts w:ascii="Cambria" w:cs="Cambria" w:eastAsia="Cambria" w:hAnsi="Cambria"/>
          <w:b/>
          <w:bCs/>
          <w:color w:val="1F9C1F"/>
          <w:sz w:val="34"/>
          <w:szCs w:val="34"/>
        </w:rPr>
        <w:t xml:space="preserve">Metano Posts the Region's Biggest Multi-Week Climb</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€1.791</w:t>
            </w:r>
          </w:p>
          <w:p>
            <w:pPr>
              <w:spacing w:before="40"/>
            </w:pPr>
            <w:r>
              <w:rPr>
                <w:rFonts w:ascii="Calibri" w:cs="Calibri" w:eastAsia="Calibri" w:hAnsi="Calibri"/>
                <w:color w:val="5B564C"/>
                <w:sz w:val="17"/>
                <w:szCs w:val="17"/>
              </w:rPr>
              <w:t xml:space="preserve">Sep 29</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+22.8%</w:t>
            </w:r>
          </w:p>
          <w:p>
            <w:pPr>
              <w:spacing w:before="40"/>
            </w:pPr>
            <w:r>
              <w:rPr>
                <w:rFonts w:ascii="Calibri" w:cs="Calibri" w:eastAsia="Calibri" w:hAnsi="Calibri"/>
                <w:color w:val="5B564C"/>
                <w:sz w:val="17"/>
                <w:szCs w:val="17"/>
              </w:rPr>
              <w:t xml:space="preserve">Marche,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+19.6%</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Self-service Metano in Marche held at €1.7908/L on September 29, unchanged from September 27 (served: €1.8785/L versus €1.8795/L) — the price has in fact been flat since September 19, an unusually static stretch for the fuel that has otherwise moved the most of any product tracked. Against the national self-service average of €1.7935/L, Marche is running just 0.15% below, essentially in line with the rest of the country today.</w:t>
      </w:r>
    </w:p>
    <w:p>
      <w:pPr>
        <w:spacing w:after="200"/>
      </w:pPr>
      <w:r>
        <w:rPr>
          <w:rFonts w:ascii="Calibri" w:cs="Calibri" w:eastAsia="Calibri" w:hAnsi="Calibri"/>
          <w:b w:val="false"/>
          <w:bCs w:val="false"/>
          <w:i w:val="false"/>
          <w:iCs w:val="false"/>
          <w:color w:val="14120F"/>
          <w:sz w:val="22"/>
          <w:szCs w:val="22"/>
        </w:rPr>
        <w:t xml:space="preserve">The multi-week trend is where Metano separates itself from every other fuel in this report. Marche's weekly average rose from €1.4581/L (week of July 20) to €1.7908/L (week of September 21) — a 22.82% increase, the largest of any fuel tracked in the region, and comfortably ahead of the 19.33% national increase over the same period. That roughly 3.5-point gap between Marche's climb and the national one is the widest of any fuel in this report, making Metano both the fastest mover and the most regionally divergent fuel in the ten weeks of data collected so far.</w:t>
      </w:r>
    </w:p>
    <w:p>
      <w:pPr>
        <w:spacing w:after="120"/>
      </w:pPr>
      <w:r>
        <w:rPr>
          <w:rFonts w:ascii="Calibri" w:cs="Calibri" w:eastAsia="Calibri" w:hAnsi="Calibri"/>
          <w:b/>
          <w:bCs/>
          <w:i w:val="false"/>
          <w:iCs w:val="false"/>
          <w:color w:val="5B564C"/>
          <w:sz w:val="18"/>
          <w:szCs w:val="18"/>
        </w:rPr>
        <w:t xml:space="preserve">Weekly self-service average, Marche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Metano — Region</w:t>
            </w:r>
          </w:p>
        </w:tc>
        <w:tc>
          <w:tcPr>
            <w:tcW w:type="dxa" w:w="2400"/>
            <w:shd w:fill="F0EDE6" w:val="clear"/>
          </w:tcPr>
          <w:p>
            <w:r>
              <w:rPr>
                <w:rFonts w:ascii="Calibri" w:cs="Calibri" w:eastAsia="Calibri" w:hAnsi="Calibri"/>
                <w:b/>
                <w:bCs/>
                <w:sz w:val="18"/>
                <w:szCs w:val="18"/>
              </w:rPr>
              <w:t xml:space="preserve">Metano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F9C1F"/>
                <w:sz w:val="18"/>
                <w:szCs w:val="18"/>
              </w:rPr>
              <w:t xml:space="preserve">€1.458</w:t>
            </w:r>
          </w:p>
        </w:tc>
        <w:tc>
          <w:tcPr>
            <w:tcW w:type="dxa" w:w="2400"/>
          </w:tcPr>
          <w:p>
            <w:r>
              <w:rPr>
                <w:rFonts w:ascii="Calibri" w:cs="Calibri" w:eastAsia="Calibri" w:hAnsi="Calibri"/>
                <w:color w:val="14120F"/>
                <w:sz w:val="18"/>
                <w:szCs w:val="18"/>
              </w:rPr>
              <w:t xml:space="preserve">€1.500</w:t>
            </w:r>
          </w:p>
        </w:tc>
        <w:tc>
          <w:tcPr>
            <w:tcW w:type="dxa" w:w="2400"/>
          </w:tcPr>
          <w:p>
            <w:r>
              <w:rPr>
                <w:rFonts w:ascii="Calibri" w:cs="Calibri" w:eastAsia="Calibri" w:hAnsi="Calibri"/>
                <w:color w:val="14120F"/>
                <w:sz w:val="18"/>
                <w:szCs w:val="18"/>
              </w:rPr>
              <w:t xml:space="preserve">↓ -0.042 €/L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F9C1F"/>
                <w:sz w:val="18"/>
                <w:szCs w:val="18"/>
              </w:rPr>
              <w:t xml:space="preserve">€1.469</w:t>
            </w:r>
          </w:p>
        </w:tc>
        <w:tc>
          <w:tcPr>
            <w:tcW w:type="dxa" w:w="2400"/>
          </w:tcPr>
          <w:p>
            <w:r>
              <w:rPr>
                <w:rFonts w:ascii="Calibri" w:cs="Calibri" w:eastAsia="Calibri" w:hAnsi="Calibri"/>
                <w:color w:val="14120F"/>
                <w:sz w:val="18"/>
                <w:szCs w:val="18"/>
              </w:rPr>
              <w:t xml:space="preserve">€1.518</w:t>
            </w:r>
          </w:p>
        </w:tc>
        <w:tc>
          <w:tcPr>
            <w:tcW w:type="dxa" w:w="2400"/>
          </w:tcPr>
          <w:p>
            <w:r>
              <w:rPr>
                <w:rFonts w:ascii="Calibri" w:cs="Calibri" w:eastAsia="Calibri" w:hAnsi="Calibri"/>
                <w:color w:val="14120F"/>
                <w:sz w:val="18"/>
                <w:szCs w:val="18"/>
              </w:rPr>
              <w:t xml:space="preserve">↓ -0.049 €/L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F9C1F"/>
                <w:sz w:val="18"/>
                <w:szCs w:val="18"/>
              </w:rPr>
              <w:t xml:space="preserve">€1.522</w:t>
            </w:r>
          </w:p>
        </w:tc>
        <w:tc>
          <w:tcPr>
            <w:tcW w:type="dxa" w:w="2400"/>
          </w:tcPr>
          <w:p>
            <w:r>
              <w:rPr>
                <w:rFonts w:ascii="Calibri" w:cs="Calibri" w:eastAsia="Calibri" w:hAnsi="Calibri"/>
                <w:color w:val="14120F"/>
                <w:sz w:val="18"/>
                <w:szCs w:val="18"/>
              </w:rPr>
              <w:t xml:space="preserve">€1.551</w:t>
            </w:r>
          </w:p>
        </w:tc>
        <w:tc>
          <w:tcPr>
            <w:tcW w:type="dxa" w:w="2400"/>
          </w:tcPr>
          <w:p>
            <w:r>
              <w:rPr>
                <w:rFonts w:ascii="Calibri" w:cs="Calibri" w:eastAsia="Calibri" w:hAnsi="Calibri"/>
                <w:color w:val="14120F"/>
                <w:sz w:val="18"/>
                <w:szCs w:val="18"/>
              </w:rPr>
              <w:t xml:space="preserve">↓ -0.029 €/L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F9C1F"/>
                <w:sz w:val="18"/>
                <w:szCs w:val="18"/>
              </w:rPr>
              <w:t xml:space="preserve">€1.548</w:t>
            </w:r>
          </w:p>
        </w:tc>
        <w:tc>
          <w:tcPr>
            <w:tcW w:type="dxa" w:w="2400"/>
          </w:tcPr>
          <w:p>
            <w:r>
              <w:rPr>
                <w:rFonts w:ascii="Calibri" w:cs="Calibri" w:eastAsia="Calibri" w:hAnsi="Calibri"/>
                <w:color w:val="14120F"/>
                <w:sz w:val="18"/>
                <w:szCs w:val="18"/>
              </w:rPr>
              <w:t xml:space="preserve">€1.570</w:t>
            </w:r>
          </w:p>
        </w:tc>
        <w:tc>
          <w:tcPr>
            <w:tcW w:type="dxa" w:w="2400"/>
          </w:tcPr>
          <w:p>
            <w:r>
              <w:rPr>
                <w:rFonts w:ascii="Calibri" w:cs="Calibri" w:eastAsia="Calibri" w:hAnsi="Calibri"/>
                <w:color w:val="14120F"/>
                <w:sz w:val="18"/>
                <w:szCs w:val="18"/>
              </w:rPr>
              <w:t xml:space="preserve">↓ -0.023 €/L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F9C1F"/>
                <w:sz w:val="18"/>
                <w:szCs w:val="18"/>
              </w:rPr>
              <w:t xml:space="preserve">€1.556</w:t>
            </w:r>
          </w:p>
        </w:tc>
        <w:tc>
          <w:tcPr>
            <w:tcW w:type="dxa" w:w="2400"/>
          </w:tcPr>
          <w:p>
            <w:r>
              <w:rPr>
                <w:rFonts w:ascii="Calibri" w:cs="Calibri" w:eastAsia="Calibri" w:hAnsi="Calibri"/>
                <w:color w:val="14120F"/>
                <w:sz w:val="18"/>
                <w:szCs w:val="18"/>
              </w:rPr>
              <w:t xml:space="preserve">€1.581</w:t>
            </w:r>
          </w:p>
        </w:tc>
        <w:tc>
          <w:tcPr>
            <w:tcW w:type="dxa" w:w="2400"/>
          </w:tcPr>
          <w:p>
            <w:r>
              <w:rPr>
                <w:rFonts w:ascii="Calibri" w:cs="Calibri" w:eastAsia="Calibri" w:hAnsi="Calibri"/>
                <w:color w:val="14120F"/>
                <w:sz w:val="18"/>
                <w:szCs w:val="18"/>
              </w:rPr>
              <w:t xml:space="preserve">↓ -0.025 €/L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F9C1F"/>
                <w:sz w:val="18"/>
                <w:szCs w:val="18"/>
              </w:rPr>
              <w:t xml:space="preserve">€1.561</w:t>
            </w:r>
          </w:p>
        </w:tc>
        <w:tc>
          <w:tcPr>
            <w:tcW w:type="dxa" w:w="2400"/>
          </w:tcPr>
          <w:p>
            <w:r>
              <w:rPr>
                <w:rFonts w:ascii="Calibri" w:cs="Calibri" w:eastAsia="Calibri" w:hAnsi="Calibri"/>
                <w:color w:val="14120F"/>
                <w:sz w:val="18"/>
                <w:szCs w:val="18"/>
              </w:rPr>
              <w:t xml:space="preserve">€1.589</w:t>
            </w:r>
          </w:p>
        </w:tc>
        <w:tc>
          <w:tcPr>
            <w:tcW w:type="dxa" w:w="2400"/>
          </w:tcPr>
          <w:p>
            <w:r>
              <w:rPr>
                <w:rFonts w:ascii="Calibri" w:cs="Calibri" w:eastAsia="Calibri" w:hAnsi="Calibri"/>
                <w:color w:val="14120F"/>
                <w:sz w:val="18"/>
                <w:szCs w:val="18"/>
              </w:rPr>
              <w:t xml:space="preserve">↓ -0.028 €/L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F9C1F"/>
                <w:sz w:val="18"/>
                <w:szCs w:val="18"/>
              </w:rPr>
              <w:t xml:space="preserve">€1.582</w:t>
            </w:r>
          </w:p>
        </w:tc>
        <w:tc>
          <w:tcPr>
            <w:tcW w:type="dxa" w:w="2400"/>
          </w:tcPr>
          <w:p>
            <w:r>
              <w:rPr>
                <w:rFonts w:ascii="Calibri" w:cs="Calibri" w:eastAsia="Calibri" w:hAnsi="Calibri"/>
                <w:color w:val="14120F"/>
                <w:sz w:val="18"/>
                <w:szCs w:val="18"/>
              </w:rPr>
              <w:t xml:space="preserve">€1.616</w:t>
            </w:r>
          </w:p>
        </w:tc>
        <w:tc>
          <w:tcPr>
            <w:tcW w:type="dxa" w:w="2400"/>
          </w:tcPr>
          <w:p>
            <w:r>
              <w:rPr>
                <w:rFonts w:ascii="Calibri" w:cs="Calibri" w:eastAsia="Calibri" w:hAnsi="Calibri"/>
                <w:color w:val="14120F"/>
                <w:sz w:val="18"/>
                <w:szCs w:val="18"/>
              </w:rPr>
              <w:t xml:space="preserve">↓ -0.034 €/L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F9C1F"/>
                <w:sz w:val="18"/>
                <w:szCs w:val="18"/>
              </w:rPr>
              <w:t xml:space="preserve">€1.702</w:t>
            </w:r>
          </w:p>
        </w:tc>
        <w:tc>
          <w:tcPr>
            <w:tcW w:type="dxa" w:w="2400"/>
          </w:tcPr>
          <w:p>
            <w:r>
              <w:rPr>
                <w:rFonts w:ascii="Calibri" w:cs="Calibri" w:eastAsia="Calibri" w:hAnsi="Calibri"/>
                <w:color w:val="14120F"/>
                <w:sz w:val="18"/>
                <w:szCs w:val="18"/>
              </w:rPr>
              <w:t xml:space="preserve">€1.702</w:t>
            </w:r>
          </w:p>
        </w:tc>
        <w:tc>
          <w:tcPr>
            <w:tcW w:type="dxa" w:w="2400"/>
          </w:tcPr>
          <w:p>
            <w:r>
              <w:rPr>
                <w:rFonts w:ascii="Calibri" w:cs="Calibri" w:eastAsia="Calibri" w:hAnsi="Calibri"/>
                <w:color w:val="14120F"/>
                <w:sz w:val="18"/>
                <w:szCs w:val="18"/>
              </w:rPr>
              <w:t xml:space="preserve">→ 0.000 €/L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F9C1F"/>
                <w:sz w:val="18"/>
                <w:szCs w:val="18"/>
              </w:rPr>
              <w:t xml:space="preserve">€1.775</w:t>
            </w:r>
          </w:p>
        </w:tc>
        <w:tc>
          <w:tcPr>
            <w:tcW w:type="dxa" w:w="2400"/>
          </w:tcPr>
          <w:p>
            <w:r>
              <w:rPr>
                <w:rFonts w:ascii="Calibri" w:cs="Calibri" w:eastAsia="Calibri" w:hAnsi="Calibri"/>
                <w:color w:val="14120F"/>
                <w:sz w:val="18"/>
                <w:szCs w:val="18"/>
              </w:rPr>
              <w:t xml:space="preserve">€1.765</w:t>
            </w:r>
          </w:p>
        </w:tc>
        <w:tc>
          <w:tcPr>
            <w:tcW w:type="dxa" w:w="2400"/>
          </w:tcPr>
          <w:p>
            <w:r>
              <w:rPr>
                <w:rFonts w:ascii="Calibri" w:cs="Calibri" w:eastAsia="Calibri" w:hAnsi="Calibri"/>
                <w:color w:val="14120F"/>
                <w:sz w:val="18"/>
                <w:szCs w:val="18"/>
              </w:rPr>
              <w:t xml:space="preserve">↑ +0.010 €/L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F9C1F"/>
                <w:sz w:val="18"/>
                <w:szCs w:val="18"/>
              </w:rPr>
              <w:t xml:space="preserve">€1.791</w:t>
            </w:r>
          </w:p>
        </w:tc>
        <w:tc>
          <w:tcPr>
            <w:tcW w:type="dxa" w:w="2400"/>
          </w:tcPr>
          <w:p>
            <w:r>
              <w:rPr>
                <w:rFonts w:ascii="Calibri" w:cs="Calibri" w:eastAsia="Calibri" w:hAnsi="Calibri"/>
                <w:color w:val="14120F"/>
                <w:sz w:val="18"/>
                <w:szCs w:val="18"/>
              </w:rPr>
              <w:t xml:space="preserve">€1.790</w:t>
            </w:r>
          </w:p>
        </w:tc>
        <w:tc>
          <w:tcPr>
            <w:tcW w:type="dxa" w:w="2400"/>
          </w:tcPr>
          <w:p>
            <w:r>
              <w:rPr>
                <w:rFonts w:ascii="Calibri" w:cs="Calibri" w:eastAsia="Calibri" w:hAnsi="Calibri"/>
                <w:color w:val="14120F"/>
                <w:sz w:val="18"/>
                <w:szCs w:val="18"/>
              </w:rPr>
              <w:t xml:space="preserve">↑ +0.001 €/L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1F9C1F"/>
                <w:sz w:val="18"/>
                <w:szCs w:val="18"/>
              </w:rPr>
              <w:t xml:space="preserve">€1.791</w:t>
            </w:r>
          </w:p>
        </w:tc>
        <w:tc>
          <w:tcPr>
            <w:tcW w:type="dxa" w:w="2400"/>
          </w:tcPr>
          <w:p>
            <w:r>
              <w:rPr>
                <w:rFonts w:ascii="Calibri" w:cs="Calibri" w:eastAsia="Calibri" w:hAnsi="Calibri"/>
                <w:color w:val="14120F"/>
                <w:sz w:val="18"/>
                <w:szCs w:val="18"/>
              </w:rPr>
              <w:t xml:space="preserve">€1.794</w:t>
            </w:r>
          </w:p>
        </w:tc>
        <w:tc>
          <w:tcPr>
            <w:tcW w:type="dxa" w:w="2400"/>
          </w:tcPr>
          <w:p>
            <w:r>
              <w:rPr>
                <w:rFonts w:ascii="Calibri" w:cs="Calibri" w:eastAsia="Calibri" w:hAnsi="Calibri"/>
                <w:color w:val="14120F"/>
                <w:sz w:val="18"/>
                <w:szCs w:val="18"/>
              </w:rPr>
              <w:t xml:space="preserve">↓ -0.003 €/L</w:t>
            </w:r>
          </w:p>
        </w:tc>
      </w:tr>
    </w:tbl>
    <w:p>
      <w:r>
        <w:br w:type="page"/>
      </w:r>
    </w:p>
    <w:p>
      <w:pPr>
        <w:spacing w:after="80"/>
      </w:pPr>
      <w:r>
        <w:rPr>
          <w:rFonts w:ascii="Calibri" w:cs="Calibri" w:eastAsia="Calibri" w:hAnsi="Calibri"/>
          <w:b/>
          <w:bCs/>
          <w:color w:val="B9790A"/>
          <w:sz w:val="18"/>
          <w:szCs w:val="18"/>
        </w:rPr>
        <w:t xml:space="preserve">STATION NETWORK</w:t>
      </w:r>
    </w:p>
    <w:p>
      <w:pPr>
        <w:spacing w:after="180" w:before="0"/>
      </w:pPr>
      <w:r>
        <w:rPr>
          <w:rFonts w:ascii="Cambria" w:cs="Cambria" w:eastAsia="Cambria" w:hAnsi="Cambria"/>
          <w:b/>
          <w:bCs/>
          <w:color w:val="14120F"/>
          <w:sz w:val="34"/>
          <w:szCs w:val="34"/>
        </w:rPr>
        <w:t xml:space="preserve">Station Network: Marche Reports at a Higher Rate Than the National Average</w:t>
      </w:r>
    </w:p>
    <w:p>
      <w:pPr>
        <w:spacing w:after="200"/>
      </w:pPr>
      <w:r>
        <w:rPr>
          <w:rFonts w:ascii="Calibri" w:cs="Calibri" w:eastAsia="Calibri" w:hAnsi="Calibri"/>
          <w:b w:val="false"/>
          <w:bCs w:val="false"/>
          <w:i w:val="false"/>
          <w:iCs w:val="false"/>
          <w:color w:val="14120F"/>
          <w:sz w:val="22"/>
          <w:szCs w:val="22"/>
        </w:rPr>
        <w:t xml:space="preserve">Marche has 777 registered stations as of September 29, of which 728 reported a price that day — a 93.69% reporting rate. That compares favorably to the national reporting rate of 90.58% (21,684 of 23,940 registered stations), meaning Marche's daily price averages in this report rest on a slightly more complete picture of the local market than the national figures do.</w:t>
      </w:r>
    </w:p>
    <w:p>
      <w:pPr>
        <w:spacing w:after="200"/>
      </w:pPr>
      <w:r>
        <w:rPr>
          <w:rFonts w:ascii="Calibri" w:cs="Calibri" w:eastAsia="Calibri" w:hAnsi="Calibri"/>
          <w:b w:val="false"/>
          <w:bCs w:val="false"/>
          <w:i w:val="false"/>
          <w:iCs w:val="false"/>
          <w:color w:val="14120F"/>
          <w:sz w:val="22"/>
          <w:szCs w:val="22"/>
        </w:rPr>
        <w:t xml:space="preserve">The registered count has crept up slightly over the tracked period, from 774 stations in late July to 777 today, while daily reporting has fluctuated in a narrow band of roughly 725 to 735 stations throughout. That stability suggests the region's averages have been built on a consistent, comparable sample of stations since tracking began, rather than swinging month to month because stations dropped in or out of the reporting pool.</w:t>
      </w:r>
    </w:p>
    <w:p>
      <w:r>
        <w:br w:type="page"/>
      </w:r>
    </w:p>
    <w:p>
      <w:pPr>
        <w:spacing w:after="80"/>
      </w:pPr>
      <w:r>
        <w:rPr>
          <w:rFonts w:ascii="Calibri" w:cs="Calibri" w:eastAsia="Calibri" w:hAnsi="Calibri"/>
          <w:b/>
          <w:bCs/>
          <w:color w:val="B9790A"/>
          <w:sz w:val="18"/>
          <w:szCs w:val="18"/>
        </w:rPr>
        <w:t xml:space="preserve">HOW THIS REPORT IS BUILT</w:t>
      </w:r>
    </w:p>
    <w:p>
      <w:pPr>
        <w:spacing w:after="180" w:before="0"/>
      </w:pPr>
      <w:r>
        <w:rPr>
          <w:rFonts w:ascii="Cambria" w:cs="Cambria" w:eastAsia="Cambria" w:hAnsi="Cambria"/>
          <w:b/>
          <w:bCs/>
          <w:color w:val="14120F"/>
          <w:sz w:val="34"/>
          <w:szCs w:val="34"/>
        </w:rPr>
        <w:t xml:space="preserve">How This Report Gets Made</w:t>
      </w:r>
    </w:p>
    <w:p>
      <w:pPr>
        <w:spacing w:after="200"/>
      </w:pPr>
      <w:r>
        <w:rPr>
          <w:rFonts w:ascii="Calibri" w:cs="Calibri" w:eastAsia="Calibri" w:hAnsi="Calibri"/>
          <w:b w:val="false"/>
          <w:bCs w:val="false"/>
          <w:i w:val="false"/>
          <w:iCs w:val="false"/>
          <w:color w:val="14120F"/>
          <w:sz w:val="22"/>
          <w:szCs w:val="22"/>
        </w:rPr>
        <w:t xml:space="preserve">Every figure in this report — the daily prices, the region rotation that picked Marche today, the week-by-week trend analysis, and the prose itself — is produced automatically each morning by an unattended pipeline built with Claude Code. The system pulls the day's price and registry data, computes regional and national averages across all four fuel types, rotates deterministically through Italy's 20 regions so every region gets its turn in the spotlight, and then has an AI agent read the resulting numbers and write up what's actually notable in them, with no template filled in by rote and no manual copy-paste.</w:t>
      </w:r>
    </w:p>
    <w:p>
      <w:pPr>
        <w:spacing w:after="200"/>
      </w:pPr>
      <w:r>
        <w:rPr>
          <w:rFonts w:ascii="Calibri" w:cs="Calibri" w:eastAsia="Calibri" w:hAnsi="Calibri"/>
          <w:b w:val="false"/>
          <w:bCs w:val="false"/>
          <w:i w:val="false"/>
          <w:iCs w:val="false"/>
          <w:color w:val="14120F"/>
          <w:sz w:val="22"/>
          <w:szCs w:val="22"/>
        </w:rPr>
        <w:t xml:space="preserve">That stands in contrast to how a report like this would traditionally get built: someone manually downloading a CSV export each morning, pasting it into a spreadsheet, recalculating averages by hand, and writing up the highlights before anyone can act on the numbers. The automated version removes that entire manual step — the same task that used to take a person the better part of an hour now happens unattended before most people have opened their laptop.</w:t>
      </w:r>
    </w:p>
    <w:p>
      <w:r>
        <w:br w:type="page"/>
      </w:r>
    </w:p>
    <w:p>
      <w:pPr>
        <w:spacing w:after="80"/>
      </w:pPr>
      <w:r>
        <w:rPr>
          <w:rFonts w:ascii="Calibri" w:cs="Calibri" w:eastAsia="Calibri" w:hAnsi="Calibri"/>
          <w:b/>
          <w:bCs/>
          <w:color w:val="B9790A"/>
          <w:sz w:val="18"/>
          <w:szCs w:val="18"/>
        </w:rPr>
        <w:t xml:space="preserve">VISIT THE DASHBOARD</w:t>
      </w:r>
    </w:p>
    <w:p>
      <w:pPr>
        <w:spacing w:after="180" w:before="0"/>
      </w:pPr>
      <w:r>
        <w:rPr>
          <w:rFonts w:ascii="Cambria" w:cs="Cambria" w:eastAsia="Cambria" w:hAnsi="Cambria"/>
          <w:b/>
          <w:bCs/>
          <w:color w:val="14120F"/>
          <w:sz w:val="34"/>
          <w:szCs w:val="34"/>
        </w:rPr>
        <w:t xml:space="preserve">Explore the Full Dashboard</w:t>
      </w:r>
    </w:p>
    <w:p>
      <w:pPr>
        <w:spacing w:after="200"/>
      </w:pPr>
      <w:r>
        <w:rPr>
          <w:rFonts w:ascii="Calibri" w:cs="Calibri" w:eastAsia="Calibri" w:hAnsi="Calibri"/>
          <w:b w:val="false"/>
          <w:bCs w:val="false"/>
          <w:i w:val="false"/>
          <w:iCs w:val="false"/>
          <w:color w:val="14120F"/>
          <w:sz w:val="22"/>
          <w:szCs w:val="22"/>
        </w:rPr>
        <w:t xml:space="preserve">The live Fuel Dashboard opens by default on Agip Eni's brand-level view, showing that operator's national pricing pattern at a glance. From there, use the scope picker to switch to Region, Province, Municipality, or another Operator/Brand — including a direct look at Marche's own numbers — to explore how prices compare across the dimension that matters most to you.</w:t>
      </w:r>
    </w:p>
    <w:p>
      <w:pPr>
        <w:spacing w:after="320"/>
      </w:pPr>
      <w:r>
        <w:rPr>
          <w:rFonts w:ascii="Calibri" w:cs="Calibri" w:eastAsia="Calibri" w:hAnsi="Calibri"/>
          <w:b/>
          <w:bCs/>
          <w:i w:val="false"/>
          <w:iCs w:val="false"/>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pPr>
        <w:spacing w:after="0"/>
      </w:pPr>
      <w:r>
        <w:rPr>
          <w:rFonts w:ascii="Calibri" w:cs="Calibri" w:eastAsia="Calibri" w:hAnsi="Calibri"/>
          <w:b w:val="false"/>
          <w:bCs w:val="false"/>
          <w:i w:val="false"/>
          <w:iCs w:val="false"/>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2026-09-30T07:26:40.589Z</dcterms:created>
  <dcterms:modified xsi:type="dcterms:W3CDTF">2026-09-30T07:26:40.590Z</dcterms:modified>
</cp:coreProperties>
</file>

<file path=docProps/custom.xml><?xml version="1.0" encoding="utf-8"?>
<Properties xmlns="http://schemas.openxmlformats.org/officeDocument/2006/custom-properties" xmlns:vt="http://schemas.openxmlformats.org/officeDocument/2006/docPropsVTypes"/>
</file>