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B9790A"/>
          <w:sz w:val="18"/>
          <w:szCs w:val="18"/>
        </w:rPr>
        <w:t xml:space="preserve">FUEL DASHBOARD · REGIONE SPOTLIGHT</w:t>
      </w:r>
    </w:p>
    <w:p>
      <w:pPr>
        <w:spacing w:after="100" w:before="400"/>
      </w:pPr>
      <w:r>
        <w:rPr>
          <w:rFonts w:ascii="Cambria" w:cs="Cambria" w:eastAsia="Cambria" w:hAnsi="Cambria"/>
          <w:b/>
          <w:bCs/>
          <w:color w:val="14120F"/>
          <w:sz w:val="60"/>
          <w:szCs w:val="60"/>
        </w:rPr>
        <w:t xml:space="preserve">Piemonte: Four Fuels, Eight Weeks, One Clear Story</w:t>
      </w:r>
    </w:p>
    <w:p>
      <w:pPr>
        <w:spacing w:after="320"/>
      </w:pPr>
      <w:r>
        <w:rPr>
          <w:rFonts w:ascii="Calibri" w:cs="Calibri" w:eastAsia="Calibri" w:hAnsi="Calibri"/>
          <w:b w:val="false"/>
          <w:bCs w:val="false"/>
          <w:i/>
          <w:iCs/>
          <w:color w:val="5B564C"/>
          <w:sz w:val="24"/>
          <w:szCs w:val="24"/>
        </w:rPr>
        <w:t xml:space="preserve">A full-quarter look at how Benzina, Gasolio, GPL and Metano have moved in Piemonte since tracking began — and how the region compares to the rest of Italy, fuel by fuel.</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BENZINA</w:t>
            </w:r>
          </w:p>
          <w:p>
            <w:pPr>
              <w:spacing w:before="60"/>
            </w:pPr>
            <w:r>
              <w:rPr>
                <w:rFonts w:ascii="Calibri" w:cs="Calibri" w:eastAsia="Calibri" w:hAnsi="Calibri"/>
                <w:b/>
                <w:bCs/>
                <w:color w:val="14120F"/>
                <w:sz w:val="28"/>
                <w:szCs w:val="28"/>
              </w:rPr>
              <w:t xml:space="preserve">€2.097</w:t>
            </w:r>
          </w:p>
          <w:p>
            <w:pPr>
              <w:spacing w:before="40"/>
            </w:pPr>
            <w:r>
              <w:rPr>
                <w:rFonts w:ascii="Calibri" w:cs="Calibri" w:eastAsia="Calibri" w:hAnsi="Calibri"/>
                <w:color w:val="5B564C"/>
                <w:sz w:val="17"/>
                <w:szCs w:val="17"/>
              </w:rPr>
              <w:t xml:space="preserve">petrol</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GASOLIO</w:t>
            </w:r>
          </w:p>
          <w:p>
            <w:pPr>
              <w:spacing w:before="60"/>
            </w:pPr>
            <w:r>
              <w:rPr>
                <w:rFonts w:ascii="Calibri" w:cs="Calibri" w:eastAsia="Calibri" w:hAnsi="Calibri"/>
                <w:b/>
                <w:bCs/>
                <w:color w:val="14120F"/>
                <w:sz w:val="28"/>
                <w:szCs w:val="28"/>
              </w:rPr>
              <w:t xml:space="preserve">€2.218</w:t>
            </w:r>
          </w:p>
          <w:p>
            <w:pPr>
              <w:spacing w:before="40"/>
            </w:pPr>
            <w:r>
              <w:rPr>
                <w:rFonts w:ascii="Calibri" w:cs="Calibri" w:eastAsia="Calibri" w:hAnsi="Calibri"/>
                <w:color w:val="5B564C"/>
                <w:sz w:val="17"/>
                <w:szCs w:val="17"/>
              </w:rPr>
              <w:t xml:space="preserve">diesel</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GPL</w:t>
            </w:r>
          </w:p>
          <w:p>
            <w:pPr>
              <w:spacing w:before="60"/>
            </w:pPr>
            <w:r>
              <w:rPr>
                <w:rFonts w:ascii="Calibri" w:cs="Calibri" w:eastAsia="Calibri" w:hAnsi="Calibri"/>
                <w:b/>
                <w:bCs/>
                <w:color w:val="14120F"/>
                <w:sz w:val="28"/>
                <w:szCs w:val="28"/>
              </w:rPr>
              <w:t xml:space="preserve">€0.702</w:t>
            </w:r>
          </w:p>
          <w:p>
            <w:pPr>
              <w:spacing w:before="40"/>
            </w:pPr>
            <w:r>
              <w:rPr>
                <w:rFonts w:ascii="Calibri" w:cs="Calibri" w:eastAsia="Calibri" w:hAnsi="Calibri"/>
                <w:color w:val="5B564C"/>
                <w:sz w:val="17"/>
                <w:szCs w:val="17"/>
              </w:rPr>
              <w:t xml:space="preserve">LPG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METANO</w:t>
            </w:r>
          </w:p>
          <w:p>
            <w:pPr>
              <w:spacing w:before="60"/>
            </w:pPr>
            <w:r>
              <w:rPr>
                <w:rFonts w:ascii="Calibri" w:cs="Calibri" w:eastAsia="Calibri" w:hAnsi="Calibri"/>
                <w:b/>
                <w:bCs/>
                <w:color w:val="14120F"/>
                <w:sz w:val="28"/>
                <w:szCs w:val="28"/>
              </w:rPr>
              <w:t xml:space="preserve">€1.700</w:t>
            </w:r>
          </w:p>
          <w:p>
            <w:pPr>
              <w:spacing w:before="40"/>
            </w:pPr>
            <w:r>
              <w:rPr>
                <w:rFonts w:ascii="Calibri" w:cs="Calibri" w:eastAsia="Calibri" w:hAnsi="Calibri"/>
                <w:color w:val="5B564C"/>
                <w:sz w:val="17"/>
                <w:szCs w:val="17"/>
              </w:rPr>
              <w:t xml:space="preserve">CNG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5B564C"/>
          <w:sz w:val="18"/>
          <w:szCs w:val="18"/>
        </w:rPr>
        <w:t xml:space="preserve">Registered stations: 1,849 · Reporting today: 1,679 (91%) · Sep 11</w:t>
      </w:r>
    </w:p>
    <w:p>
      <w:r>
        <w:br w:type="page"/>
      </w:r>
    </w:p>
    <w:p>
      <w:pPr>
        <w:spacing w:after="80"/>
      </w:pPr>
      <w:r>
        <w:rPr>
          <w:rFonts w:ascii="Calibri" w:cs="Calibri" w:eastAsia="Calibri" w:hAnsi="Calibri"/>
          <w:b/>
          <w:bCs/>
          <w:color w:val="B9790A"/>
          <w:sz w:val="18"/>
          <w:szCs w:val="18"/>
        </w:rPr>
        <w:t xml:space="preserve">EXECUTIVE SUMMARY</w:t>
      </w:r>
    </w:p>
    <w:p>
      <w:pPr>
        <w:spacing w:after="180" w:before="0"/>
      </w:pPr>
      <w:r>
        <w:rPr>
          <w:rFonts w:ascii="Cambria" w:cs="Cambria" w:eastAsia="Cambria" w:hAnsi="Cambria"/>
          <w:b/>
          <w:bCs/>
          <w:color w:val="14120F"/>
          <w:sz w:val="34"/>
          <w:szCs w:val="34"/>
        </w:rPr>
        <w:t xml:space="preserve">Piemonte at a glance</w:t>
      </w:r>
    </w:p>
    <w:p>
      <w:pPr>
        <w:spacing w:after="200"/>
      </w:pPr>
      <w:r>
        <w:rPr>
          <w:rFonts w:ascii="Calibri" w:cs="Calibri" w:eastAsia="Calibri" w:hAnsi="Calibri"/>
          <w:b w:val="false"/>
          <w:bCs w:val="false"/>
          <w:i w:val="false"/>
          <w:iCs w:val="false"/>
          <w:color w:val="14120F"/>
          <w:sz w:val="22"/>
          <w:szCs w:val="22"/>
        </w:rPr>
        <w:t xml:space="preserve">Piemonte drivers paid €2.097 for self-service Benzina and €2.218 for Gasolio on September 11 — both essentially tied with the national self-service average (€2.098 and €2.222 respectively), a fraction of a cent apart in either direction. On the surface, Piemonte looks like an unremarkable, right-in-the-middle region.</w:t>
      </w:r>
    </w:p>
    <w:p>
      <w:pPr>
        <w:spacing w:after="200"/>
      </w:pPr>
      <w:r>
        <w:rPr>
          <w:rFonts w:ascii="Calibri" w:cs="Calibri" w:eastAsia="Calibri" w:hAnsi="Calibri"/>
          <w:b w:val="false"/>
          <w:bCs w:val="false"/>
          <w:i w:val="false"/>
          <w:iCs w:val="false"/>
          <w:color w:val="14120F"/>
          <w:sz w:val="22"/>
          <w:szCs w:val="22"/>
        </w:rPr>
        <w:t xml:space="preserve">Zoom out to the eight weeks of data Fuel Dashboard has now tracked for the region, and a sharper picture appears. Benzina is up 5.4% since the week of July 20, almost exactly matching Italy's 5.3% national rise — but Metano has climbed 15.0% over the same stretch, outpacing the national increase of 12.8%. GPL, meanwhile, is one of the only fuel/region combinations tracked this quarter that's gotten cheaper, down 1.5% regionally versus a smaller 0.5% national dip. This report walks through all four fuels individually, region against country, week by week.</w:t>
      </w:r>
    </w:p>
    <w:p>
      <w:pPr>
        <w:spacing w:after="200" w:before="200"/>
        <w:jc w:val="center"/>
      </w:pPr>
      <w:r>
        <w:rPr>
          <w:rFonts w:ascii="Cambria" w:cs="Cambria" w:eastAsia="Cambria" w:hAnsi="Cambria"/>
          <w:b/>
          <w:bCs/>
          <w:i/>
          <w:iCs/>
          <w:color w:val="B9790A"/>
          <w:sz w:val="30"/>
          <w:szCs w:val="30"/>
        </w:rPr>
        <w:t xml:space="preserve">Metano rose 15% in Piemonte this quarter — faster than the national average, and invisible in any single day-over-day number.</w:t>
      </w:r>
    </w:p>
    <w:p>
      <w:r>
        <w:br w:type="page"/>
      </w:r>
    </w:p>
    <w:p>
      <w:pPr>
        <w:spacing w:after="80"/>
      </w:pPr>
      <w:r>
        <w:rPr>
          <w:rFonts w:ascii="Calibri" w:cs="Calibri" w:eastAsia="Calibri" w:hAnsi="Calibri"/>
          <w:b/>
          <w:bCs/>
          <w:color w:val="B9790A"/>
          <w:sz w:val="18"/>
          <w:szCs w:val="18"/>
        </w:rPr>
        <w:t xml:space="preserve">FUEL SPOTLIGHT · BENZINA (petrol)</w:t>
      </w:r>
    </w:p>
    <w:p>
      <w:pPr>
        <w:spacing w:after="180" w:before="0"/>
      </w:pPr>
      <w:r>
        <w:rPr>
          <w:rFonts w:ascii="Cambria" w:cs="Cambria" w:eastAsia="Cambria" w:hAnsi="Cambria"/>
          <w:b/>
          <w:bCs/>
          <w:color w:val="2A78D6"/>
          <w:sz w:val="34"/>
          <w:szCs w:val="34"/>
        </w:rPr>
        <w:t xml:space="preserve">Benzina: tracking the nation almost cent-for-cent</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€2.097</w:t>
            </w:r>
          </w:p>
          <w:p>
            <w:pPr>
              <w:spacing w:before="40"/>
            </w:pPr>
            <w:r>
              <w:rPr>
                <w:rFonts w:ascii="Calibri" w:cs="Calibri" w:eastAsia="Calibri" w:hAnsi="Calibri"/>
                <w:color w:val="5B564C"/>
                <w:sz w:val="17"/>
                <w:szCs w:val="17"/>
              </w:rPr>
              <w:t xml:space="preserve">Sep 11</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+0.010 €/L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+5.4%</w:t>
            </w:r>
          </w:p>
          <w:p>
            <w:pPr>
              <w:spacing w:before="40"/>
            </w:pPr>
            <w:r>
              <w:rPr>
                <w:rFonts w:ascii="Calibri" w:cs="Calibri" w:eastAsia="Calibri" w:hAnsi="Calibri"/>
                <w:color w:val="5B564C"/>
                <w:sz w:val="17"/>
                <w:szCs w:val="17"/>
              </w:rPr>
              <w:t xml:space="preserve">Piemonte,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+5.3%</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Piemonte's self-service Benzina closed at €2.0974 per litre on September 11, up €0.0103 from the day before and just €0.0008 below the national self-service average of €2.0982 — as close a match to the rest of the country as this dashboard is likely to find.</w:t>
      </w:r>
    </w:p>
    <w:p>
      <w:pPr>
        <w:spacing w:after="200"/>
      </w:pPr>
      <w:r>
        <w:rPr>
          <w:rFonts w:ascii="Calibri" w:cs="Calibri" w:eastAsia="Calibri" w:hAnsi="Calibri"/>
          <w:b w:val="false"/>
          <w:bCs w:val="false"/>
          <w:i w:val="false"/>
          <w:iCs w:val="false"/>
          <w:color w:val="14120F"/>
          <w:sz w:val="22"/>
          <w:szCs w:val="22"/>
        </w:rPr>
        <w:t xml:space="preserve">The week-by-week view tells the real story: Benzina in Piemonte rose from a €1.9729 average in the week of July 20 to €2.0786 in the week of September 7 — a 5.4% increase over eight weeks, running almost exactly parallel to Italy's own 5.3% national climb over the same period. Whatever is driving pump prices up nationally is landing in Piemonte with very little regional distortion.</w:t>
      </w:r>
    </w:p>
    <w:p>
      <w:pPr>
        <w:spacing w:after="120"/>
      </w:pPr>
      <w:r>
        <w:rPr>
          <w:rFonts w:ascii="Calibri" w:cs="Calibri" w:eastAsia="Calibri" w:hAnsi="Calibri"/>
          <w:b/>
          <w:bCs/>
          <w:i w:val="false"/>
          <w:iCs w:val="false"/>
          <w:color w:val="5B564C"/>
          <w:sz w:val="18"/>
          <w:szCs w:val="18"/>
        </w:rPr>
        <w:t xml:space="preserve">Weekly self-service average, Piemonte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Benzina — Region</w:t>
            </w:r>
          </w:p>
        </w:tc>
        <w:tc>
          <w:tcPr>
            <w:tcW w:type="dxa" w:w="2400"/>
            <w:shd w:fill="F0EDE6" w:val="clear"/>
          </w:tcPr>
          <w:p>
            <w:r>
              <w:rPr>
                <w:rFonts w:ascii="Calibri" w:cs="Calibri" w:eastAsia="Calibri" w:hAnsi="Calibri"/>
                <w:b/>
                <w:bCs/>
                <w:sz w:val="18"/>
                <w:szCs w:val="18"/>
              </w:rPr>
              <w:t xml:space="preserve">Benzina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2A78D6"/>
                <w:sz w:val="18"/>
                <w:szCs w:val="18"/>
              </w:rPr>
              <w:t xml:space="preserve">€1.973</w:t>
            </w:r>
          </w:p>
        </w:tc>
        <w:tc>
          <w:tcPr>
            <w:tcW w:type="dxa" w:w="2400"/>
          </w:tcPr>
          <w:p>
            <w:r>
              <w:rPr>
                <w:rFonts w:ascii="Calibri" w:cs="Calibri" w:eastAsia="Calibri" w:hAnsi="Calibri"/>
                <w:color w:val="14120F"/>
                <w:sz w:val="18"/>
                <w:szCs w:val="18"/>
              </w:rPr>
              <w:t xml:space="preserve">€1.976</w:t>
            </w:r>
          </w:p>
        </w:tc>
        <w:tc>
          <w:tcPr>
            <w:tcW w:type="dxa" w:w="2400"/>
          </w:tcPr>
          <w:p>
            <w:r>
              <w:rPr>
                <w:rFonts w:ascii="Calibri" w:cs="Calibri" w:eastAsia="Calibri" w:hAnsi="Calibri"/>
                <w:color w:val="14120F"/>
                <w:sz w:val="18"/>
                <w:szCs w:val="18"/>
              </w:rPr>
              <w:t xml:space="preserve">↓ -0.003 €/L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2A78D6"/>
                <w:sz w:val="18"/>
                <w:szCs w:val="18"/>
              </w:rPr>
              <w:t xml:space="preserve">€2.002</w:t>
            </w:r>
          </w:p>
        </w:tc>
        <w:tc>
          <w:tcPr>
            <w:tcW w:type="dxa" w:w="2400"/>
          </w:tcPr>
          <w:p>
            <w:r>
              <w:rPr>
                <w:rFonts w:ascii="Calibri" w:cs="Calibri" w:eastAsia="Calibri" w:hAnsi="Calibri"/>
                <w:color w:val="14120F"/>
                <w:sz w:val="18"/>
                <w:szCs w:val="18"/>
              </w:rPr>
              <w:t xml:space="preserve">€2.003</w:t>
            </w:r>
          </w:p>
        </w:tc>
        <w:tc>
          <w:tcPr>
            <w:tcW w:type="dxa" w:w="2400"/>
          </w:tcPr>
          <w:p>
            <w:r>
              <w:rPr>
                <w:rFonts w:ascii="Calibri" w:cs="Calibri" w:eastAsia="Calibri" w:hAnsi="Calibri"/>
                <w:color w:val="14120F"/>
                <w:sz w:val="18"/>
                <w:szCs w:val="18"/>
              </w:rPr>
              <w:t xml:space="preserve">↓ -0.002 €/L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2A78D6"/>
                <w:sz w:val="18"/>
                <w:szCs w:val="18"/>
              </w:rPr>
              <w:t xml:space="preserve">€2.003</w:t>
            </w:r>
          </w:p>
        </w:tc>
        <w:tc>
          <w:tcPr>
            <w:tcW w:type="dxa" w:w="2400"/>
          </w:tcPr>
          <w:p>
            <w:r>
              <w:rPr>
                <w:rFonts w:ascii="Calibri" w:cs="Calibri" w:eastAsia="Calibri" w:hAnsi="Calibri"/>
                <w:color w:val="14120F"/>
                <w:sz w:val="18"/>
                <w:szCs w:val="18"/>
              </w:rPr>
              <w:t xml:space="preserve">€2.006</w:t>
            </w:r>
          </w:p>
        </w:tc>
        <w:tc>
          <w:tcPr>
            <w:tcW w:type="dxa" w:w="2400"/>
          </w:tcPr>
          <w:p>
            <w:r>
              <w:rPr>
                <w:rFonts w:ascii="Calibri" w:cs="Calibri" w:eastAsia="Calibri" w:hAnsi="Calibri"/>
                <w:color w:val="14120F"/>
                <w:sz w:val="18"/>
                <w:szCs w:val="18"/>
              </w:rPr>
              <w:t xml:space="preserve">↓ -0.003 €/L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2A78D6"/>
                <w:sz w:val="18"/>
                <w:szCs w:val="18"/>
              </w:rPr>
              <w:t xml:space="preserve">€1.996</w:t>
            </w:r>
          </w:p>
        </w:tc>
        <w:tc>
          <w:tcPr>
            <w:tcW w:type="dxa" w:w="2400"/>
          </w:tcPr>
          <w:p>
            <w:r>
              <w:rPr>
                <w:rFonts w:ascii="Calibri" w:cs="Calibri" w:eastAsia="Calibri" w:hAnsi="Calibri"/>
                <w:color w:val="14120F"/>
                <w:sz w:val="18"/>
                <w:szCs w:val="18"/>
              </w:rPr>
              <w:t xml:space="preserve">€2.001</w:t>
            </w:r>
          </w:p>
        </w:tc>
        <w:tc>
          <w:tcPr>
            <w:tcW w:type="dxa" w:w="2400"/>
          </w:tcPr>
          <w:p>
            <w:r>
              <w:rPr>
                <w:rFonts w:ascii="Calibri" w:cs="Calibri" w:eastAsia="Calibri" w:hAnsi="Calibri"/>
                <w:color w:val="14120F"/>
                <w:sz w:val="18"/>
                <w:szCs w:val="18"/>
              </w:rPr>
              <w:t xml:space="preserve">↓ -0.004 €/L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2A78D6"/>
                <w:sz w:val="18"/>
                <w:szCs w:val="18"/>
              </w:rPr>
              <w:t xml:space="preserve">€2.009</w:t>
            </w:r>
          </w:p>
        </w:tc>
        <w:tc>
          <w:tcPr>
            <w:tcW w:type="dxa" w:w="2400"/>
          </w:tcPr>
          <w:p>
            <w:r>
              <w:rPr>
                <w:rFonts w:ascii="Calibri" w:cs="Calibri" w:eastAsia="Calibri" w:hAnsi="Calibri"/>
                <w:color w:val="14120F"/>
                <w:sz w:val="18"/>
                <w:szCs w:val="18"/>
              </w:rPr>
              <w:t xml:space="preserve">€2.013</w:t>
            </w:r>
          </w:p>
        </w:tc>
        <w:tc>
          <w:tcPr>
            <w:tcW w:type="dxa" w:w="2400"/>
          </w:tcPr>
          <w:p>
            <w:r>
              <w:rPr>
                <w:rFonts w:ascii="Calibri" w:cs="Calibri" w:eastAsia="Calibri" w:hAnsi="Calibri"/>
                <w:color w:val="14120F"/>
                <w:sz w:val="18"/>
                <w:szCs w:val="18"/>
              </w:rPr>
              <w:t xml:space="preserve">↓ -0.004 €/L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2A78D6"/>
                <w:sz w:val="18"/>
                <w:szCs w:val="18"/>
              </w:rPr>
              <w:t xml:space="preserve">€2.023</w:t>
            </w:r>
          </w:p>
        </w:tc>
        <w:tc>
          <w:tcPr>
            <w:tcW w:type="dxa" w:w="2400"/>
          </w:tcPr>
          <w:p>
            <w:r>
              <w:rPr>
                <w:rFonts w:ascii="Calibri" w:cs="Calibri" w:eastAsia="Calibri" w:hAnsi="Calibri"/>
                <w:color w:val="14120F"/>
                <w:sz w:val="18"/>
                <w:szCs w:val="18"/>
              </w:rPr>
              <w:t xml:space="preserve">€2.027</w:t>
            </w:r>
          </w:p>
        </w:tc>
        <w:tc>
          <w:tcPr>
            <w:tcW w:type="dxa" w:w="2400"/>
          </w:tcPr>
          <w:p>
            <w:r>
              <w:rPr>
                <w:rFonts w:ascii="Calibri" w:cs="Calibri" w:eastAsia="Calibri" w:hAnsi="Calibri"/>
                <w:color w:val="14120F"/>
                <w:sz w:val="18"/>
                <w:szCs w:val="18"/>
              </w:rPr>
              <w:t xml:space="preserve">↓ -0.005 €/L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2A78D6"/>
                <w:sz w:val="18"/>
                <w:szCs w:val="18"/>
              </w:rPr>
              <w:t xml:space="preserve">€2.035</w:t>
            </w:r>
          </w:p>
        </w:tc>
        <w:tc>
          <w:tcPr>
            <w:tcW w:type="dxa" w:w="2400"/>
          </w:tcPr>
          <w:p>
            <w:r>
              <w:rPr>
                <w:rFonts w:ascii="Calibri" w:cs="Calibri" w:eastAsia="Calibri" w:hAnsi="Calibri"/>
                <w:color w:val="14120F"/>
                <w:sz w:val="18"/>
                <w:szCs w:val="18"/>
              </w:rPr>
              <w:t xml:space="preserve">€2.039</w:t>
            </w:r>
          </w:p>
        </w:tc>
        <w:tc>
          <w:tcPr>
            <w:tcW w:type="dxa" w:w="2400"/>
          </w:tcPr>
          <w:p>
            <w:r>
              <w:rPr>
                <w:rFonts w:ascii="Calibri" w:cs="Calibri" w:eastAsia="Calibri" w:hAnsi="Calibri"/>
                <w:color w:val="14120F"/>
                <w:sz w:val="18"/>
                <w:szCs w:val="18"/>
              </w:rPr>
              <w:t xml:space="preserve">↓ -0.004 €/L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2A78D6"/>
                <w:sz w:val="18"/>
                <w:szCs w:val="18"/>
              </w:rPr>
              <w:t xml:space="preserve">€2.079</w:t>
            </w:r>
          </w:p>
        </w:tc>
        <w:tc>
          <w:tcPr>
            <w:tcW w:type="dxa" w:w="2400"/>
          </w:tcPr>
          <w:p>
            <w:r>
              <w:rPr>
                <w:rFonts w:ascii="Calibri" w:cs="Calibri" w:eastAsia="Calibri" w:hAnsi="Calibri"/>
                <w:color w:val="14120F"/>
                <w:sz w:val="18"/>
                <w:szCs w:val="18"/>
              </w:rPr>
              <w:t xml:space="preserve">€2.081</w:t>
            </w:r>
          </w:p>
        </w:tc>
        <w:tc>
          <w:tcPr>
            <w:tcW w:type="dxa" w:w="2400"/>
          </w:tcPr>
          <w:p>
            <w:r>
              <w:rPr>
                <w:rFonts w:ascii="Calibri" w:cs="Calibri" w:eastAsia="Calibri" w:hAnsi="Calibri"/>
                <w:color w:val="14120F"/>
                <w:sz w:val="18"/>
                <w:szCs w:val="18"/>
              </w:rPr>
              <w:t xml:space="preserve">↓ -0.002 €/L</w:t>
            </w:r>
          </w:p>
        </w:tc>
      </w:tr>
    </w:tbl>
    <w:p>
      <w:r>
        <w:br w:type="page"/>
      </w:r>
    </w:p>
    <w:p>
      <w:pPr>
        <w:spacing w:after="80"/>
      </w:pPr>
      <w:r>
        <w:rPr>
          <w:rFonts w:ascii="Calibri" w:cs="Calibri" w:eastAsia="Calibri" w:hAnsi="Calibri"/>
          <w:b/>
          <w:bCs/>
          <w:color w:val="B9790A"/>
          <w:sz w:val="18"/>
          <w:szCs w:val="18"/>
        </w:rPr>
        <w:t xml:space="preserve">FUEL SPOTLIGHT · GASOLIO (diesel)</w:t>
      </w:r>
    </w:p>
    <w:p>
      <w:pPr>
        <w:spacing w:after="180" w:before="0"/>
      </w:pPr>
      <w:r>
        <w:rPr>
          <w:rFonts w:ascii="Cambria" w:cs="Cambria" w:eastAsia="Cambria" w:hAnsi="Cambria"/>
          <w:b/>
          <w:bCs/>
          <w:color w:val="1BAF7A"/>
          <w:sz w:val="34"/>
          <w:szCs w:val="34"/>
        </w:rPr>
        <w:t xml:space="preserve">Gasolio: a steadier, smaller climb</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€2.218</w:t>
            </w:r>
          </w:p>
          <w:p>
            <w:pPr>
              <w:spacing w:before="40"/>
            </w:pPr>
            <w:r>
              <w:rPr>
                <w:rFonts w:ascii="Calibri" w:cs="Calibri" w:eastAsia="Calibri" w:hAnsi="Calibri"/>
                <w:color w:val="5B564C"/>
                <w:sz w:val="17"/>
                <w:szCs w:val="17"/>
              </w:rPr>
              <w:t xml:space="preserve">Sep 11</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+0.010 €/L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+1.5%</w:t>
            </w:r>
          </w:p>
          <w:p>
            <w:pPr>
              <w:spacing w:before="40"/>
            </w:pPr>
            <w:r>
              <w:rPr>
                <w:rFonts w:ascii="Calibri" w:cs="Calibri" w:eastAsia="Calibri" w:hAnsi="Calibri"/>
                <w:color w:val="5B564C"/>
                <w:sz w:val="17"/>
                <w:szCs w:val="17"/>
              </w:rPr>
              <w:t xml:space="preserve">Piemonte,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+1.5%</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Gasolio reached €2.2182 self-service in Piemonte on September 11, up €0.0096 day-over-day and running €0.0034 below the national self-service average of €2.2216.</w:t>
      </w:r>
    </w:p>
    <w:p>
      <w:pPr>
        <w:spacing w:after="200"/>
      </w:pPr>
      <w:r>
        <w:rPr>
          <w:rFonts w:ascii="Calibri" w:cs="Calibri" w:eastAsia="Calibri" w:hAnsi="Calibri"/>
          <w:b w:val="false"/>
          <w:bCs w:val="false"/>
          <w:i w:val="false"/>
          <w:iCs w:val="false"/>
          <w:color w:val="14120F"/>
          <w:sz w:val="22"/>
          <w:szCs w:val="22"/>
        </w:rPr>
        <w:t xml:space="preserve">Diesel's rise has been noticeably gentler than Benzina's this quarter: up 1.48% regionally since late July (€2.1695 to €2.2017 across the tracked weeks), versus a near-identical 1.46% nationally. Where Benzina jumped sharply in the most recent week, Gasolio's climb has stayed close to linear — fewer surprises, but also less of the volatility that tends to make headlines.</w:t>
      </w:r>
    </w:p>
    <w:p>
      <w:pPr>
        <w:spacing w:after="120"/>
      </w:pPr>
      <w:r>
        <w:rPr>
          <w:rFonts w:ascii="Calibri" w:cs="Calibri" w:eastAsia="Calibri" w:hAnsi="Calibri"/>
          <w:b/>
          <w:bCs/>
          <w:i w:val="false"/>
          <w:iCs w:val="false"/>
          <w:color w:val="5B564C"/>
          <w:sz w:val="18"/>
          <w:szCs w:val="18"/>
        </w:rPr>
        <w:t xml:space="preserve">Weekly self-service average, Piemonte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Gasolio — Region</w:t>
            </w:r>
          </w:p>
        </w:tc>
        <w:tc>
          <w:tcPr>
            <w:tcW w:type="dxa" w:w="2400"/>
            <w:shd w:fill="F0EDE6" w:val="clear"/>
          </w:tcPr>
          <w:p>
            <w:r>
              <w:rPr>
                <w:rFonts w:ascii="Calibri" w:cs="Calibri" w:eastAsia="Calibri" w:hAnsi="Calibri"/>
                <w:b/>
                <w:bCs/>
                <w:sz w:val="18"/>
                <w:szCs w:val="18"/>
              </w:rPr>
              <w:t xml:space="preserve">Gasolio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1BAF7A"/>
                <w:sz w:val="18"/>
                <w:szCs w:val="18"/>
              </w:rPr>
              <w:t xml:space="preserve">€2.170</w:t>
            </w:r>
          </w:p>
        </w:tc>
        <w:tc>
          <w:tcPr>
            <w:tcW w:type="dxa" w:w="2400"/>
          </w:tcPr>
          <w:p>
            <w:r>
              <w:rPr>
                <w:rFonts w:ascii="Calibri" w:cs="Calibri" w:eastAsia="Calibri" w:hAnsi="Calibri"/>
                <w:color w:val="14120F"/>
                <w:sz w:val="18"/>
                <w:szCs w:val="18"/>
              </w:rPr>
              <w:t xml:space="preserve">€2.175</w:t>
            </w:r>
          </w:p>
        </w:tc>
        <w:tc>
          <w:tcPr>
            <w:tcW w:type="dxa" w:w="2400"/>
          </w:tcPr>
          <w:p>
            <w:r>
              <w:rPr>
                <w:rFonts w:ascii="Calibri" w:cs="Calibri" w:eastAsia="Calibri" w:hAnsi="Calibri"/>
                <w:color w:val="14120F"/>
                <w:sz w:val="18"/>
                <w:szCs w:val="18"/>
              </w:rPr>
              <w:t xml:space="preserve">↓ -0.005 €/L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1BAF7A"/>
                <w:sz w:val="18"/>
                <w:szCs w:val="18"/>
              </w:rPr>
              <w:t xml:space="preserve">€2.126</w:t>
            </w:r>
          </w:p>
        </w:tc>
        <w:tc>
          <w:tcPr>
            <w:tcW w:type="dxa" w:w="2400"/>
          </w:tcPr>
          <w:p>
            <w:r>
              <w:rPr>
                <w:rFonts w:ascii="Calibri" w:cs="Calibri" w:eastAsia="Calibri" w:hAnsi="Calibri"/>
                <w:color w:val="14120F"/>
                <w:sz w:val="18"/>
                <w:szCs w:val="18"/>
              </w:rPr>
              <w:t xml:space="preserve">€2.136</w:t>
            </w:r>
          </w:p>
        </w:tc>
        <w:tc>
          <w:tcPr>
            <w:tcW w:type="dxa" w:w="2400"/>
          </w:tcPr>
          <w:p>
            <w:r>
              <w:rPr>
                <w:rFonts w:ascii="Calibri" w:cs="Calibri" w:eastAsia="Calibri" w:hAnsi="Calibri"/>
                <w:color w:val="14120F"/>
                <w:sz w:val="18"/>
                <w:szCs w:val="18"/>
              </w:rPr>
              <w:t xml:space="preserve">↓ -0.010 €/L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1BAF7A"/>
                <w:sz w:val="18"/>
                <w:szCs w:val="18"/>
              </w:rPr>
              <w:t xml:space="preserve">€2.110</w:t>
            </w:r>
          </w:p>
        </w:tc>
        <w:tc>
          <w:tcPr>
            <w:tcW w:type="dxa" w:w="2400"/>
          </w:tcPr>
          <w:p>
            <w:r>
              <w:rPr>
                <w:rFonts w:ascii="Calibri" w:cs="Calibri" w:eastAsia="Calibri" w:hAnsi="Calibri"/>
                <w:color w:val="14120F"/>
                <w:sz w:val="18"/>
                <w:szCs w:val="18"/>
              </w:rPr>
              <w:t xml:space="preserve">€2.118</w:t>
            </w:r>
          </w:p>
        </w:tc>
        <w:tc>
          <w:tcPr>
            <w:tcW w:type="dxa" w:w="2400"/>
          </w:tcPr>
          <w:p>
            <w:r>
              <w:rPr>
                <w:rFonts w:ascii="Calibri" w:cs="Calibri" w:eastAsia="Calibri" w:hAnsi="Calibri"/>
                <w:color w:val="14120F"/>
                <w:sz w:val="18"/>
                <w:szCs w:val="18"/>
              </w:rPr>
              <w:t xml:space="preserve">↓ -0.008 €/L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1BAF7A"/>
                <w:sz w:val="18"/>
                <w:szCs w:val="18"/>
              </w:rPr>
              <w:t xml:space="preserve">€2.106</w:t>
            </w:r>
          </w:p>
        </w:tc>
        <w:tc>
          <w:tcPr>
            <w:tcW w:type="dxa" w:w="2400"/>
          </w:tcPr>
          <w:p>
            <w:r>
              <w:rPr>
                <w:rFonts w:ascii="Calibri" w:cs="Calibri" w:eastAsia="Calibri" w:hAnsi="Calibri"/>
                <w:color w:val="14120F"/>
                <w:sz w:val="18"/>
                <w:szCs w:val="18"/>
              </w:rPr>
              <w:t xml:space="preserve">€2.113</w:t>
            </w:r>
          </w:p>
        </w:tc>
        <w:tc>
          <w:tcPr>
            <w:tcW w:type="dxa" w:w="2400"/>
          </w:tcPr>
          <w:p>
            <w:r>
              <w:rPr>
                <w:rFonts w:ascii="Calibri" w:cs="Calibri" w:eastAsia="Calibri" w:hAnsi="Calibri"/>
                <w:color w:val="14120F"/>
                <w:sz w:val="18"/>
                <w:szCs w:val="18"/>
              </w:rPr>
              <w:t xml:space="preserve">↓ -0.007 €/L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1BAF7A"/>
                <w:sz w:val="18"/>
                <w:szCs w:val="18"/>
              </w:rPr>
              <w:t xml:space="preserve">€2.134</w:t>
            </w:r>
          </w:p>
        </w:tc>
        <w:tc>
          <w:tcPr>
            <w:tcW w:type="dxa" w:w="2400"/>
          </w:tcPr>
          <w:p>
            <w:r>
              <w:rPr>
                <w:rFonts w:ascii="Calibri" w:cs="Calibri" w:eastAsia="Calibri" w:hAnsi="Calibri"/>
                <w:color w:val="14120F"/>
                <w:sz w:val="18"/>
                <w:szCs w:val="18"/>
              </w:rPr>
              <w:t xml:space="preserve">€2.141</w:t>
            </w:r>
          </w:p>
        </w:tc>
        <w:tc>
          <w:tcPr>
            <w:tcW w:type="dxa" w:w="2400"/>
          </w:tcPr>
          <w:p>
            <w:r>
              <w:rPr>
                <w:rFonts w:ascii="Calibri" w:cs="Calibri" w:eastAsia="Calibri" w:hAnsi="Calibri"/>
                <w:color w:val="14120F"/>
                <w:sz w:val="18"/>
                <w:szCs w:val="18"/>
              </w:rPr>
              <w:t xml:space="preserve">↓ -0.007 €/L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1BAF7A"/>
                <w:sz w:val="18"/>
                <w:szCs w:val="18"/>
              </w:rPr>
              <w:t xml:space="preserve">€2.154</w:t>
            </w:r>
          </w:p>
        </w:tc>
        <w:tc>
          <w:tcPr>
            <w:tcW w:type="dxa" w:w="2400"/>
          </w:tcPr>
          <w:p>
            <w:r>
              <w:rPr>
                <w:rFonts w:ascii="Calibri" w:cs="Calibri" w:eastAsia="Calibri" w:hAnsi="Calibri"/>
                <w:color w:val="14120F"/>
                <w:sz w:val="18"/>
                <w:szCs w:val="18"/>
              </w:rPr>
              <w:t xml:space="preserve">€2.162</w:t>
            </w:r>
          </w:p>
        </w:tc>
        <w:tc>
          <w:tcPr>
            <w:tcW w:type="dxa" w:w="2400"/>
          </w:tcPr>
          <w:p>
            <w:r>
              <w:rPr>
                <w:rFonts w:ascii="Calibri" w:cs="Calibri" w:eastAsia="Calibri" w:hAnsi="Calibri"/>
                <w:color w:val="14120F"/>
                <w:sz w:val="18"/>
                <w:szCs w:val="18"/>
              </w:rPr>
              <w:t xml:space="preserve">↓ -0.008 €/L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1BAF7A"/>
                <w:sz w:val="18"/>
                <w:szCs w:val="18"/>
              </w:rPr>
              <w:t xml:space="preserve">€2.159</w:t>
            </w:r>
          </w:p>
        </w:tc>
        <w:tc>
          <w:tcPr>
            <w:tcW w:type="dxa" w:w="2400"/>
          </w:tcPr>
          <w:p>
            <w:r>
              <w:rPr>
                <w:rFonts w:ascii="Calibri" w:cs="Calibri" w:eastAsia="Calibri" w:hAnsi="Calibri"/>
                <w:color w:val="14120F"/>
                <w:sz w:val="18"/>
                <w:szCs w:val="18"/>
              </w:rPr>
              <w:t xml:space="preserve">€2.166</w:t>
            </w:r>
          </w:p>
        </w:tc>
        <w:tc>
          <w:tcPr>
            <w:tcW w:type="dxa" w:w="2400"/>
          </w:tcPr>
          <w:p>
            <w:r>
              <w:rPr>
                <w:rFonts w:ascii="Calibri" w:cs="Calibri" w:eastAsia="Calibri" w:hAnsi="Calibri"/>
                <w:color w:val="14120F"/>
                <w:sz w:val="18"/>
                <w:szCs w:val="18"/>
              </w:rPr>
              <w:t xml:space="preserve">↓ -0.006 €/L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1BAF7A"/>
                <w:sz w:val="18"/>
                <w:szCs w:val="18"/>
              </w:rPr>
              <w:t xml:space="preserve">€2.202</w:t>
            </w:r>
          </w:p>
        </w:tc>
        <w:tc>
          <w:tcPr>
            <w:tcW w:type="dxa" w:w="2400"/>
          </w:tcPr>
          <w:p>
            <w:r>
              <w:rPr>
                <w:rFonts w:ascii="Calibri" w:cs="Calibri" w:eastAsia="Calibri" w:hAnsi="Calibri"/>
                <w:color w:val="14120F"/>
                <w:sz w:val="18"/>
                <w:szCs w:val="18"/>
              </w:rPr>
              <w:t xml:space="preserve">€2.207</w:t>
            </w:r>
          </w:p>
        </w:tc>
        <w:tc>
          <w:tcPr>
            <w:tcW w:type="dxa" w:w="2400"/>
          </w:tcPr>
          <w:p>
            <w:r>
              <w:rPr>
                <w:rFonts w:ascii="Calibri" w:cs="Calibri" w:eastAsia="Calibri" w:hAnsi="Calibri"/>
                <w:color w:val="14120F"/>
                <w:sz w:val="18"/>
                <w:szCs w:val="18"/>
              </w:rPr>
              <w:t xml:space="preserve">↓ -0.005 €/L</w:t>
            </w:r>
          </w:p>
        </w:tc>
      </w:tr>
    </w:tbl>
    <w:p>
      <w:r>
        <w:br w:type="page"/>
      </w:r>
    </w:p>
    <w:p>
      <w:pPr>
        <w:spacing w:after="80"/>
      </w:pPr>
      <w:r>
        <w:rPr>
          <w:rFonts w:ascii="Calibri" w:cs="Calibri" w:eastAsia="Calibri" w:hAnsi="Calibri"/>
          <w:b/>
          <w:bCs/>
          <w:color w:val="B9790A"/>
          <w:sz w:val="18"/>
          <w:szCs w:val="18"/>
        </w:rPr>
        <w:t xml:space="preserve">FUEL SPOTLIGHT · GPL (LPG)</w:t>
      </w:r>
    </w:p>
    <w:p>
      <w:pPr>
        <w:spacing w:after="180" w:before="0"/>
      </w:pPr>
      <w:r>
        <w:rPr>
          <w:rFonts w:ascii="Cambria" w:cs="Cambria" w:eastAsia="Cambria" w:hAnsi="Cambria"/>
          <w:b/>
          <w:bCs/>
          <w:color w:val="C98500"/>
          <w:sz w:val="34"/>
          <w:szCs w:val="34"/>
        </w:rPr>
        <w:t xml:space="preserve">GPL: the one fuel getting cheaper</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€0.702</w:t>
            </w:r>
          </w:p>
          <w:p>
            <w:pPr>
              <w:spacing w:before="40"/>
            </w:pPr>
            <w:r>
              <w:rPr>
                <w:rFonts w:ascii="Calibri" w:cs="Calibri" w:eastAsia="Calibri" w:hAnsi="Calibri"/>
                <w:color w:val="5B564C"/>
                <w:sz w:val="17"/>
                <w:szCs w:val="17"/>
              </w:rPr>
              <w:t xml:space="preserve">Sep 11</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0.000 €/L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-1.5%</w:t>
            </w:r>
          </w:p>
          <w:p>
            <w:pPr>
              <w:spacing w:before="40"/>
            </w:pPr>
            <w:r>
              <w:rPr>
                <w:rFonts w:ascii="Calibri" w:cs="Calibri" w:eastAsia="Calibri" w:hAnsi="Calibri"/>
                <w:color w:val="5B564C"/>
                <w:sz w:val="17"/>
                <w:szCs w:val="17"/>
              </w:rPr>
              <w:t xml:space="preserve">Piemonte,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-0.5%</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At €0.7018 self-service, Piemonte's GPL is essentially flat day-over-day (+€0.0003) but stands out for a very different reason: it's meaningfully cheaper than the national self-service average of €0.7556 — a gap of over 5 cents per litre that has held consistently across the whole tracking period.</w:t>
      </w:r>
    </w:p>
    <w:p>
      <w:pPr>
        <w:spacing w:after="200"/>
      </w:pPr>
      <w:r>
        <w:rPr>
          <w:rFonts w:ascii="Calibri" w:cs="Calibri" w:eastAsia="Calibri" w:hAnsi="Calibri"/>
          <w:b w:val="false"/>
          <w:bCs w:val="false"/>
          <w:i w:val="false"/>
          <w:iCs w:val="false"/>
          <w:color w:val="14120F"/>
          <w:sz w:val="22"/>
          <w:szCs w:val="22"/>
        </w:rPr>
        <w:t xml:space="preserve">Piemonte's GPL has actually declined 1.51% since the week of July 20, compared to a much smaller 0.51% national dip — making this region one of the few places in Italy where LPG buyers have genuinely caught a break this quarter, not just seen prices hold steady.</w:t>
      </w:r>
    </w:p>
    <w:p>
      <w:pPr>
        <w:spacing w:after="120"/>
      </w:pPr>
      <w:r>
        <w:rPr>
          <w:rFonts w:ascii="Calibri" w:cs="Calibri" w:eastAsia="Calibri" w:hAnsi="Calibri"/>
          <w:b/>
          <w:bCs/>
          <w:i w:val="false"/>
          <w:iCs w:val="false"/>
          <w:color w:val="5B564C"/>
          <w:sz w:val="18"/>
          <w:szCs w:val="18"/>
        </w:rPr>
        <w:t xml:space="preserve">Weekly self-service average, Piemonte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GPL — Region</w:t>
            </w:r>
          </w:p>
        </w:tc>
        <w:tc>
          <w:tcPr>
            <w:tcW w:type="dxa" w:w="2400"/>
            <w:shd w:fill="F0EDE6" w:val="clear"/>
          </w:tcPr>
          <w:p>
            <w:r>
              <w:rPr>
                <w:rFonts w:ascii="Calibri" w:cs="Calibri" w:eastAsia="Calibri" w:hAnsi="Calibri"/>
                <w:b/>
                <w:bCs/>
                <w:sz w:val="18"/>
                <w:szCs w:val="18"/>
              </w:rPr>
              <w:t xml:space="preserve">GPL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C98500"/>
                <w:sz w:val="18"/>
                <w:szCs w:val="18"/>
              </w:rPr>
              <w:t xml:space="preserve">€0.713</w:t>
            </w:r>
          </w:p>
        </w:tc>
        <w:tc>
          <w:tcPr>
            <w:tcW w:type="dxa" w:w="2400"/>
          </w:tcPr>
          <w:p>
            <w:r>
              <w:rPr>
                <w:rFonts w:ascii="Calibri" w:cs="Calibri" w:eastAsia="Calibri" w:hAnsi="Calibri"/>
                <w:color w:val="14120F"/>
                <w:sz w:val="18"/>
                <w:szCs w:val="18"/>
              </w:rPr>
              <w:t xml:space="preserve">€0.759</w:t>
            </w:r>
          </w:p>
        </w:tc>
        <w:tc>
          <w:tcPr>
            <w:tcW w:type="dxa" w:w="2400"/>
          </w:tcPr>
          <w:p>
            <w:r>
              <w:rPr>
                <w:rFonts w:ascii="Calibri" w:cs="Calibri" w:eastAsia="Calibri" w:hAnsi="Calibri"/>
                <w:color w:val="14120F"/>
                <w:sz w:val="18"/>
                <w:szCs w:val="18"/>
              </w:rPr>
              <w:t xml:space="preserve">↓ -0.046 €/L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C98500"/>
                <w:sz w:val="18"/>
                <w:szCs w:val="18"/>
              </w:rPr>
              <w:t xml:space="preserve">€0.712</w:t>
            </w:r>
          </w:p>
        </w:tc>
        <w:tc>
          <w:tcPr>
            <w:tcW w:type="dxa" w:w="2400"/>
          </w:tcPr>
          <w:p>
            <w:r>
              <w:rPr>
                <w:rFonts w:ascii="Calibri" w:cs="Calibri" w:eastAsia="Calibri" w:hAnsi="Calibri"/>
                <w:color w:val="14120F"/>
                <w:sz w:val="18"/>
                <w:szCs w:val="18"/>
              </w:rPr>
              <w:t xml:space="preserve">€0.757</w:t>
            </w:r>
          </w:p>
        </w:tc>
        <w:tc>
          <w:tcPr>
            <w:tcW w:type="dxa" w:w="2400"/>
          </w:tcPr>
          <w:p>
            <w:r>
              <w:rPr>
                <w:rFonts w:ascii="Calibri" w:cs="Calibri" w:eastAsia="Calibri" w:hAnsi="Calibri"/>
                <w:color w:val="14120F"/>
                <w:sz w:val="18"/>
                <w:szCs w:val="18"/>
              </w:rPr>
              <w:t xml:space="preserve">↓ -0.045 €/L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C98500"/>
                <w:sz w:val="18"/>
                <w:szCs w:val="18"/>
              </w:rPr>
              <w:t xml:space="preserve">€0.711</w:t>
            </w:r>
          </w:p>
        </w:tc>
        <w:tc>
          <w:tcPr>
            <w:tcW w:type="dxa" w:w="2400"/>
          </w:tcPr>
          <w:p>
            <w:r>
              <w:rPr>
                <w:rFonts w:ascii="Calibri" w:cs="Calibri" w:eastAsia="Calibri" w:hAnsi="Calibri"/>
                <w:color w:val="14120F"/>
                <w:sz w:val="18"/>
                <w:szCs w:val="18"/>
              </w:rPr>
              <w:t xml:space="preserve">€0.756</w:t>
            </w:r>
          </w:p>
        </w:tc>
        <w:tc>
          <w:tcPr>
            <w:tcW w:type="dxa" w:w="2400"/>
          </w:tcPr>
          <w:p>
            <w:r>
              <w:rPr>
                <w:rFonts w:ascii="Calibri" w:cs="Calibri" w:eastAsia="Calibri" w:hAnsi="Calibri"/>
                <w:color w:val="14120F"/>
                <w:sz w:val="18"/>
                <w:szCs w:val="18"/>
              </w:rPr>
              <w:t xml:space="preserve">↓ -0.045 €/L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C98500"/>
                <w:sz w:val="18"/>
                <w:szCs w:val="18"/>
              </w:rPr>
              <w:t xml:space="preserve">€0.708</w:t>
            </w:r>
          </w:p>
        </w:tc>
        <w:tc>
          <w:tcPr>
            <w:tcW w:type="dxa" w:w="2400"/>
          </w:tcPr>
          <w:p>
            <w:r>
              <w:rPr>
                <w:rFonts w:ascii="Calibri" w:cs="Calibri" w:eastAsia="Calibri" w:hAnsi="Calibri"/>
                <w:color w:val="14120F"/>
                <w:sz w:val="18"/>
                <w:szCs w:val="18"/>
              </w:rPr>
              <w:t xml:space="preserve">€0.757</w:t>
            </w:r>
          </w:p>
        </w:tc>
        <w:tc>
          <w:tcPr>
            <w:tcW w:type="dxa" w:w="2400"/>
          </w:tcPr>
          <w:p>
            <w:r>
              <w:rPr>
                <w:rFonts w:ascii="Calibri" w:cs="Calibri" w:eastAsia="Calibri" w:hAnsi="Calibri"/>
                <w:color w:val="14120F"/>
                <w:sz w:val="18"/>
                <w:szCs w:val="18"/>
              </w:rPr>
              <w:t xml:space="preserve">↓ -0.048 €/L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C98500"/>
                <w:sz w:val="18"/>
                <w:szCs w:val="18"/>
              </w:rPr>
              <w:t xml:space="preserve">€0.705</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-0.050 €/L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C98500"/>
                <w:sz w:val="18"/>
                <w:szCs w:val="18"/>
              </w:rPr>
              <w:t xml:space="preserve">€0.704</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-0.050 €/L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C98500"/>
                <w:sz w:val="18"/>
                <w:szCs w:val="18"/>
              </w:rPr>
              <w:t xml:space="preserve">€0.705</w:t>
            </w:r>
          </w:p>
        </w:tc>
        <w:tc>
          <w:tcPr>
            <w:tcW w:type="dxa" w:w="2400"/>
          </w:tcPr>
          <w:p>
            <w:r>
              <w:rPr>
                <w:rFonts w:ascii="Calibri" w:cs="Calibri" w:eastAsia="Calibri" w:hAnsi="Calibri"/>
                <w:color w:val="14120F"/>
                <w:sz w:val="18"/>
                <w:szCs w:val="18"/>
              </w:rPr>
              <w:t xml:space="preserve">€0.754</w:t>
            </w:r>
          </w:p>
        </w:tc>
        <w:tc>
          <w:tcPr>
            <w:tcW w:type="dxa" w:w="2400"/>
          </w:tcPr>
          <w:p>
            <w:r>
              <w:rPr>
                <w:rFonts w:ascii="Calibri" w:cs="Calibri" w:eastAsia="Calibri" w:hAnsi="Calibri"/>
                <w:color w:val="14120F"/>
                <w:sz w:val="18"/>
                <w:szCs w:val="18"/>
              </w:rPr>
              <w:t xml:space="preserve">↓ -0.049 €/L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C98500"/>
                <w:sz w:val="18"/>
                <w:szCs w:val="18"/>
              </w:rPr>
              <w:t xml:space="preserve">€0.702</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-0.053 €/L</w:t>
            </w:r>
          </w:p>
        </w:tc>
      </w:tr>
    </w:tbl>
    <w:p>
      <w:r>
        <w:br w:type="page"/>
      </w:r>
    </w:p>
    <w:p>
      <w:pPr>
        <w:spacing w:after="80"/>
      </w:pPr>
      <w:r>
        <w:rPr>
          <w:rFonts w:ascii="Calibri" w:cs="Calibri" w:eastAsia="Calibri" w:hAnsi="Calibri"/>
          <w:b/>
          <w:bCs/>
          <w:color w:val="B9790A"/>
          <w:sz w:val="18"/>
          <w:szCs w:val="18"/>
        </w:rPr>
        <w:t xml:space="preserve">FUEL SPOTLIGHT · METANO (CNG)</w:t>
      </w:r>
    </w:p>
    <w:p>
      <w:pPr>
        <w:spacing w:after="180" w:before="0"/>
      </w:pPr>
      <w:r>
        <w:rPr>
          <w:rFonts w:ascii="Cambria" w:cs="Cambria" w:eastAsia="Cambria" w:hAnsi="Cambria"/>
          <w:b/>
          <w:bCs/>
          <w:color w:val="1F9C1F"/>
          <w:sz w:val="34"/>
          <w:szCs w:val="34"/>
        </w:rPr>
        <w:t xml:space="preserve">Metano: the fastest mover of the quarter</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€1.700</w:t>
            </w:r>
          </w:p>
          <w:p>
            <w:pPr>
              <w:spacing w:before="40"/>
            </w:pPr>
            <w:r>
              <w:rPr>
                <w:rFonts w:ascii="Calibri" w:cs="Calibri" w:eastAsia="Calibri" w:hAnsi="Calibri"/>
                <w:color w:val="5B564C"/>
                <w:sz w:val="17"/>
                <w:szCs w:val="17"/>
              </w:rPr>
              <w:t xml:space="preserve">Sep 11</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0.000 €/L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+14.9%</w:t>
            </w:r>
          </w:p>
          <w:p>
            <w:pPr>
              <w:spacing w:before="40"/>
            </w:pPr>
            <w:r>
              <w:rPr>
                <w:rFonts w:ascii="Calibri" w:cs="Calibri" w:eastAsia="Calibri" w:hAnsi="Calibri"/>
                <w:color w:val="5B564C"/>
                <w:sz w:val="17"/>
                <w:szCs w:val="17"/>
              </w:rPr>
              <w:t xml:space="preserve">Piemonte,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+12.8%</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Metano is unchanged day-over-day at €1.7001 self-service — but that single-day calm masks the biggest move of any fuel tracked in this report. Over the eight weeks since July 20, Piemonte's Metano price has climbed 14.95%, from €1.4651 to €1.6841, outpacing even the national increase of 12.77% over the same span.</w:t>
      </w:r>
    </w:p>
    <w:p>
      <w:pPr>
        <w:spacing w:after="200"/>
      </w:pPr>
      <w:r>
        <w:rPr>
          <w:rFonts w:ascii="Calibri" w:cs="Calibri" w:eastAsia="Calibri" w:hAnsi="Calibri"/>
          <w:b w:val="false"/>
          <w:bCs w:val="false"/>
          <w:i w:val="false"/>
          <w:iCs w:val="false"/>
          <w:color w:val="14120F"/>
          <w:sz w:val="22"/>
          <w:szCs w:val="22"/>
        </w:rPr>
        <w:t xml:space="preserve">That gap matters: it means CNG buyers in Piemonte have seen a steeper cost increase than the average Italian driver, even though Metano is usually marketed as the budget alternative to Benzina and Gasolio. It's exactly the kind of regional divergence that a single national headline price would hide entirely.</w:t>
      </w:r>
    </w:p>
    <w:p>
      <w:pPr>
        <w:spacing w:after="120"/>
      </w:pPr>
      <w:r>
        <w:rPr>
          <w:rFonts w:ascii="Calibri" w:cs="Calibri" w:eastAsia="Calibri" w:hAnsi="Calibri"/>
          <w:b/>
          <w:bCs/>
          <w:i w:val="false"/>
          <w:iCs w:val="false"/>
          <w:color w:val="5B564C"/>
          <w:sz w:val="18"/>
          <w:szCs w:val="18"/>
        </w:rPr>
        <w:t xml:space="preserve">Weekly self-service average, Piemonte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Metano — Region</w:t>
            </w:r>
          </w:p>
        </w:tc>
        <w:tc>
          <w:tcPr>
            <w:tcW w:type="dxa" w:w="2400"/>
            <w:shd w:fill="F0EDE6" w:val="clear"/>
          </w:tcPr>
          <w:p>
            <w:r>
              <w:rPr>
                <w:rFonts w:ascii="Calibri" w:cs="Calibri" w:eastAsia="Calibri" w:hAnsi="Calibri"/>
                <w:b/>
                <w:bCs/>
                <w:sz w:val="18"/>
                <w:szCs w:val="18"/>
              </w:rPr>
              <w:t xml:space="preserve">Metano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1F9C1F"/>
                <w:sz w:val="18"/>
                <w:szCs w:val="18"/>
              </w:rPr>
              <w:t xml:space="preserve">€1.465</w:t>
            </w:r>
          </w:p>
        </w:tc>
        <w:tc>
          <w:tcPr>
            <w:tcW w:type="dxa" w:w="2400"/>
          </w:tcPr>
          <w:p>
            <w:r>
              <w:rPr>
                <w:rFonts w:ascii="Calibri" w:cs="Calibri" w:eastAsia="Calibri" w:hAnsi="Calibri"/>
                <w:color w:val="14120F"/>
                <w:sz w:val="18"/>
                <w:szCs w:val="18"/>
              </w:rPr>
              <w:t xml:space="preserve">€1.500</w:t>
            </w:r>
          </w:p>
        </w:tc>
        <w:tc>
          <w:tcPr>
            <w:tcW w:type="dxa" w:w="2400"/>
          </w:tcPr>
          <w:p>
            <w:r>
              <w:rPr>
                <w:rFonts w:ascii="Calibri" w:cs="Calibri" w:eastAsia="Calibri" w:hAnsi="Calibri"/>
                <w:color w:val="14120F"/>
                <w:sz w:val="18"/>
                <w:szCs w:val="18"/>
              </w:rPr>
              <w:t xml:space="preserve">↓ -0.035 €/L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1F9C1F"/>
                <w:sz w:val="18"/>
                <w:szCs w:val="18"/>
              </w:rPr>
              <w:t xml:space="preserve">€1.482</w:t>
            </w:r>
          </w:p>
        </w:tc>
        <w:tc>
          <w:tcPr>
            <w:tcW w:type="dxa" w:w="2400"/>
          </w:tcPr>
          <w:p>
            <w:r>
              <w:rPr>
                <w:rFonts w:ascii="Calibri" w:cs="Calibri" w:eastAsia="Calibri" w:hAnsi="Calibri"/>
                <w:color w:val="14120F"/>
                <w:sz w:val="18"/>
                <w:szCs w:val="18"/>
              </w:rPr>
              <w:t xml:space="preserve">€1.518</w:t>
            </w:r>
          </w:p>
        </w:tc>
        <w:tc>
          <w:tcPr>
            <w:tcW w:type="dxa" w:w="2400"/>
          </w:tcPr>
          <w:p>
            <w:r>
              <w:rPr>
                <w:rFonts w:ascii="Calibri" w:cs="Calibri" w:eastAsia="Calibri" w:hAnsi="Calibri"/>
                <w:color w:val="14120F"/>
                <w:sz w:val="18"/>
                <w:szCs w:val="18"/>
              </w:rPr>
              <w:t xml:space="preserve">↓ -0.036 €/L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1F9C1F"/>
                <w:sz w:val="18"/>
                <w:szCs w:val="18"/>
              </w:rPr>
              <w:t xml:space="preserve">€1.539</w:t>
            </w:r>
          </w:p>
        </w:tc>
        <w:tc>
          <w:tcPr>
            <w:tcW w:type="dxa" w:w="2400"/>
          </w:tcPr>
          <w:p>
            <w:r>
              <w:rPr>
                <w:rFonts w:ascii="Calibri" w:cs="Calibri" w:eastAsia="Calibri" w:hAnsi="Calibri"/>
                <w:color w:val="14120F"/>
                <w:sz w:val="18"/>
                <w:szCs w:val="18"/>
              </w:rPr>
              <w:t xml:space="preserve">€1.551</w:t>
            </w:r>
          </w:p>
        </w:tc>
        <w:tc>
          <w:tcPr>
            <w:tcW w:type="dxa" w:w="2400"/>
          </w:tcPr>
          <w:p>
            <w:r>
              <w:rPr>
                <w:rFonts w:ascii="Calibri" w:cs="Calibri" w:eastAsia="Calibri" w:hAnsi="Calibri"/>
                <w:color w:val="14120F"/>
                <w:sz w:val="18"/>
                <w:szCs w:val="18"/>
              </w:rPr>
              <w:t xml:space="preserve">↓ -0.012 €/L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1F9C1F"/>
                <w:sz w:val="18"/>
                <w:szCs w:val="18"/>
              </w:rPr>
              <w:t xml:space="preserve">€1.550</w:t>
            </w:r>
          </w:p>
        </w:tc>
        <w:tc>
          <w:tcPr>
            <w:tcW w:type="dxa" w:w="2400"/>
          </w:tcPr>
          <w:p>
            <w:r>
              <w:rPr>
                <w:rFonts w:ascii="Calibri" w:cs="Calibri" w:eastAsia="Calibri" w:hAnsi="Calibri"/>
                <w:color w:val="14120F"/>
                <w:sz w:val="18"/>
                <w:szCs w:val="18"/>
              </w:rPr>
              <w:t xml:space="preserve">€1.570</w:t>
            </w:r>
          </w:p>
        </w:tc>
        <w:tc>
          <w:tcPr>
            <w:tcW w:type="dxa" w:w="2400"/>
          </w:tcPr>
          <w:p>
            <w:r>
              <w:rPr>
                <w:rFonts w:ascii="Calibri" w:cs="Calibri" w:eastAsia="Calibri" w:hAnsi="Calibri"/>
                <w:color w:val="14120F"/>
                <w:sz w:val="18"/>
                <w:szCs w:val="18"/>
              </w:rPr>
              <w:t xml:space="preserve">↓ -0.021 €/L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1F9C1F"/>
                <w:sz w:val="18"/>
                <w:szCs w:val="18"/>
              </w:rPr>
              <w:t xml:space="preserve">€1.561</w:t>
            </w:r>
          </w:p>
        </w:tc>
        <w:tc>
          <w:tcPr>
            <w:tcW w:type="dxa" w:w="2400"/>
          </w:tcPr>
          <w:p>
            <w:r>
              <w:rPr>
                <w:rFonts w:ascii="Calibri" w:cs="Calibri" w:eastAsia="Calibri" w:hAnsi="Calibri"/>
                <w:color w:val="14120F"/>
                <w:sz w:val="18"/>
                <w:szCs w:val="18"/>
              </w:rPr>
              <w:t xml:space="preserve">€1.581</w:t>
            </w:r>
          </w:p>
        </w:tc>
        <w:tc>
          <w:tcPr>
            <w:tcW w:type="dxa" w:w="2400"/>
          </w:tcPr>
          <w:p>
            <w:r>
              <w:rPr>
                <w:rFonts w:ascii="Calibri" w:cs="Calibri" w:eastAsia="Calibri" w:hAnsi="Calibri"/>
                <w:color w:val="14120F"/>
                <w:sz w:val="18"/>
                <w:szCs w:val="18"/>
              </w:rPr>
              <w:t xml:space="preserve">↓ -0.020 €/L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1F9C1F"/>
                <w:sz w:val="18"/>
                <w:szCs w:val="18"/>
              </w:rPr>
              <w:t xml:space="preserve">€1.568</w:t>
            </w:r>
          </w:p>
        </w:tc>
        <w:tc>
          <w:tcPr>
            <w:tcW w:type="dxa" w:w="2400"/>
          </w:tcPr>
          <w:p>
            <w:r>
              <w:rPr>
                <w:rFonts w:ascii="Calibri" w:cs="Calibri" w:eastAsia="Calibri" w:hAnsi="Calibri"/>
                <w:color w:val="14120F"/>
                <w:sz w:val="18"/>
                <w:szCs w:val="18"/>
              </w:rPr>
              <w:t xml:space="preserve">€1.589</w:t>
            </w:r>
          </w:p>
        </w:tc>
        <w:tc>
          <w:tcPr>
            <w:tcW w:type="dxa" w:w="2400"/>
          </w:tcPr>
          <w:p>
            <w:r>
              <w:rPr>
                <w:rFonts w:ascii="Calibri" w:cs="Calibri" w:eastAsia="Calibri" w:hAnsi="Calibri"/>
                <w:color w:val="14120F"/>
                <w:sz w:val="18"/>
                <w:szCs w:val="18"/>
              </w:rPr>
              <w:t xml:space="preserve">↓ -0.021 €/L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1F9C1F"/>
                <w:sz w:val="18"/>
                <w:szCs w:val="18"/>
              </w:rPr>
              <w:t xml:space="preserve">€1.606</w:t>
            </w:r>
          </w:p>
        </w:tc>
        <w:tc>
          <w:tcPr>
            <w:tcW w:type="dxa" w:w="2400"/>
          </w:tcPr>
          <w:p>
            <w:r>
              <w:rPr>
                <w:rFonts w:ascii="Calibri" w:cs="Calibri" w:eastAsia="Calibri" w:hAnsi="Calibri"/>
                <w:color w:val="14120F"/>
                <w:sz w:val="18"/>
                <w:szCs w:val="18"/>
              </w:rPr>
              <w:t xml:space="preserve">€1.616</w:t>
            </w:r>
          </w:p>
        </w:tc>
        <w:tc>
          <w:tcPr>
            <w:tcW w:type="dxa" w:w="2400"/>
          </w:tcPr>
          <w:p>
            <w:r>
              <w:rPr>
                <w:rFonts w:ascii="Calibri" w:cs="Calibri" w:eastAsia="Calibri" w:hAnsi="Calibri"/>
                <w:color w:val="14120F"/>
                <w:sz w:val="18"/>
                <w:szCs w:val="18"/>
              </w:rPr>
              <w:t xml:space="preserve">↓ -0.009 €/L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1F9C1F"/>
                <w:sz w:val="18"/>
                <w:szCs w:val="18"/>
              </w:rPr>
              <w:t xml:space="preserve">€1.684</w:t>
            </w:r>
          </w:p>
        </w:tc>
        <w:tc>
          <w:tcPr>
            <w:tcW w:type="dxa" w:w="2400"/>
          </w:tcPr>
          <w:p>
            <w:r>
              <w:rPr>
                <w:rFonts w:ascii="Calibri" w:cs="Calibri" w:eastAsia="Calibri" w:hAnsi="Calibri"/>
                <w:color w:val="14120F"/>
                <w:sz w:val="18"/>
                <w:szCs w:val="18"/>
              </w:rPr>
              <w:t xml:space="preserve">€1.691</w:t>
            </w:r>
          </w:p>
        </w:tc>
        <w:tc>
          <w:tcPr>
            <w:tcW w:type="dxa" w:w="2400"/>
          </w:tcPr>
          <w:p>
            <w:r>
              <w:rPr>
                <w:rFonts w:ascii="Calibri" w:cs="Calibri" w:eastAsia="Calibri" w:hAnsi="Calibri"/>
                <w:color w:val="14120F"/>
                <w:sz w:val="18"/>
                <w:szCs w:val="18"/>
              </w:rPr>
              <w:t xml:space="preserve">↓ -0.007 €/L</w:t>
            </w:r>
          </w:p>
        </w:tc>
      </w:tr>
    </w:tbl>
    <w:p>
      <w:r>
        <w:br w:type="page"/>
      </w:r>
    </w:p>
    <w:p>
      <w:pPr>
        <w:spacing w:after="80"/>
      </w:pPr>
      <w:r>
        <w:rPr>
          <w:rFonts w:ascii="Calibri" w:cs="Calibri" w:eastAsia="Calibri" w:hAnsi="Calibri"/>
          <w:b/>
          <w:bCs/>
          <w:color w:val="B9790A"/>
          <w:sz w:val="18"/>
          <w:szCs w:val="18"/>
        </w:rPr>
        <w:t xml:space="preserve">STATION NETWORK</w:t>
      </w:r>
    </w:p>
    <w:p>
      <w:pPr>
        <w:spacing w:after="180" w:before="0"/>
      </w:pPr>
      <w:r>
        <w:rPr>
          <w:rFonts w:ascii="Cambria" w:cs="Cambria" w:eastAsia="Cambria" w:hAnsi="Cambria"/>
          <w:b/>
          <w:bCs/>
          <w:color w:val="14120F"/>
          <w:sz w:val="34"/>
          <w:szCs w:val="34"/>
        </w:rPr>
        <w:t xml:space="preserve">A stable, well-reporting network</w:t>
      </w:r>
    </w:p>
    <w:p>
      <w:pPr>
        <w:spacing w:after="200"/>
      </w:pPr>
      <w:r>
        <w:rPr>
          <w:rFonts w:ascii="Calibri" w:cs="Calibri" w:eastAsia="Calibri" w:hAnsi="Calibri"/>
          <w:b w:val="false"/>
          <w:bCs w:val="false"/>
          <w:i w:val="false"/>
          <w:iCs w:val="false"/>
          <w:color w:val="14120F"/>
          <w:sz w:val="22"/>
          <w:szCs w:val="22"/>
        </w:rPr>
        <w:t xml:space="preserve">Piemonte's station network held essentially flat this week: 1,849 registered stations as of September 11, down marginally from 1,850 the day before — the kind of small, ordinary churn (a station closing, one dropping off the registry) that's normal in a network this size.</w:t>
      </w:r>
    </w:p>
    <w:p>
      <w:pPr>
        <w:spacing w:after="200"/>
      </w:pPr>
      <w:r>
        <w:rPr>
          <w:rFonts w:ascii="Calibri" w:cs="Calibri" w:eastAsia="Calibri" w:hAnsi="Calibri"/>
          <w:b w:val="false"/>
          <w:bCs w:val="false"/>
          <w:i w:val="false"/>
          <w:iCs w:val="false"/>
          <w:color w:val="14120F"/>
          <w:sz w:val="22"/>
          <w:szCs w:val="22"/>
        </w:rPr>
        <w:t xml:space="preserve">1,679 of those stations — about 91% — actively reported a price today, consistent with the reporting rate seen across the region's recent history. A high, stable reporting rate is itself useful information: it means the price averages in this report reflect the overwhelming majority of the region's actual pumps, not a thin or unrepresentative slice of them.</w:t>
      </w:r>
    </w:p>
    <w:p>
      <w:r>
        <w:br w:type="page"/>
      </w:r>
    </w:p>
    <w:p>
      <w:pPr>
        <w:spacing w:after="80"/>
      </w:pPr>
      <w:r>
        <w:rPr>
          <w:rFonts w:ascii="Calibri" w:cs="Calibri" w:eastAsia="Calibri" w:hAnsi="Calibri"/>
          <w:b/>
          <w:bCs/>
          <w:color w:val="B9790A"/>
          <w:sz w:val="18"/>
          <w:szCs w:val="18"/>
        </w:rPr>
        <w:t xml:space="preserve">HOW THIS REPORT IS BUILT</w:t>
      </w:r>
    </w:p>
    <w:p>
      <w:pPr>
        <w:spacing w:after="180" w:before="0"/>
      </w:pPr>
      <w:r>
        <w:rPr>
          <w:rFonts w:ascii="Cambria" w:cs="Cambria" w:eastAsia="Cambria" w:hAnsi="Cambria"/>
          <w:b/>
          <w:bCs/>
          <w:color w:val="14120F"/>
          <w:sz w:val="34"/>
          <w:szCs w:val="34"/>
        </w:rPr>
        <w:t xml:space="preserve">Built to update itself, not to be updated by hand</w:t>
      </w:r>
    </w:p>
    <w:p>
      <w:pPr>
        <w:spacing w:after="200"/>
      </w:pPr>
      <w:r>
        <w:rPr>
          <w:rFonts w:ascii="Calibri" w:cs="Calibri" w:eastAsia="Calibri" w:hAnsi="Calibri"/>
          <w:b w:val="false"/>
          <w:bCs w:val="false"/>
          <w:i w:val="false"/>
          <w:iCs w:val="false"/>
          <w:color w:val="14120F"/>
          <w:sz w:val="22"/>
          <w:szCs w:val="22"/>
        </w:rPr>
        <w:t xml:space="preserve">Every figure in this report — the daily prices, the eight-week trend for four separate fuels, the station counts, the region-vs-national comparisons — comes from a pipeline that runs automatically, once a day, with no manual data entry. It pulls Italy's official MIMIT fuel-price feed, joins it against the national station registry, recomputes national and regional (and provincial, comune-level, and gestore-level) averages, and rotates to a new region for this exact kind of deep-dive report.</w:t>
      </w:r>
    </w:p>
    <w:p>
      <w:pPr>
        <w:spacing w:after="200"/>
      </w:pPr>
      <w:r>
        <w:rPr>
          <w:rFonts w:ascii="Calibri" w:cs="Calibri" w:eastAsia="Calibri" w:hAnsi="Calibri"/>
          <w:b w:val="false"/>
          <w:bCs w:val="false"/>
          <w:i w:val="false"/>
          <w:iCs w:val="false"/>
          <w:color w:val="14120F"/>
          <w:sz w:val="22"/>
          <w:szCs w:val="22"/>
        </w:rPr>
        <w:t xml:space="preserve">That's a meaningfully different way of working than the spreadsheet most fuel-price tracking still runs on: one person downloading a CSV, pasting it into Excel, and manually refreshing a chart — a process that works until the person forgets, or the file format changes, or nobody has time that week. This entire report, including the analysis you just read, was generated by Claude Code as part of that same daily, unattended pipeline.</w:t>
      </w:r>
    </w:p>
    <w:p>
      <w:r>
        <w:br w:type="page"/>
      </w:r>
    </w:p>
    <w:p>
      <w:pPr>
        <w:spacing w:after="80"/>
      </w:pPr>
      <w:r>
        <w:rPr>
          <w:rFonts w:ascii="Calibri" w:cs="Calibri" w:eastAsia="Calibri" w:hAnsi="Calibri"/>
          <w:b/>
          <w:bCs/>
          <w:color w:val="B9790A"/>
          <w:sz w:val="18"/>
          <w:szCs w:val="18"/>
        </w:rPr>
        <w:t xml:space="preserve">VISIT THE DASHBOARD</w:t>
      </w:r>
    </w:p>
    <w:p>
      <w:pPr>
        <w:spacing w:after="180" w:before="0"/>
      </w:pPr>
      <w:r>
        <w:rPr>
          <w:rFonts w:ascii="Cambria" w:cs="Cambria" w:eastAsia="Cambria" w:hAnsi="Cambria"/>
          <w:b/>
          <w:bCs/>
          <w:color w:val="14120F"/>
          <w:sz w:val="34"/>
          <w:szCs w:val="34"/>
        </w:rPr>
        <w:t xml:space="preserve">See every region, not just Piemonte</w:t>
      </w:r>
    </w:p>
    <w:p>
      <w:pPr>
        <w:spacing w:after="200"/>
      </w:pPr>
      <w:r>
        <w:rPr>
          <w:rFonts w:ascii="Calibri" w:cs="Calibri" w:eastAsia="Calibri" w:hAnsi="Calibri"/>
          <w:b w:val="false"/>
          <w:bCs w:val="false"/>
          <w:i w:val="false"/>
          <w:iCs w:val="false"/>
          <w:color w:val="14120F"/>
          <w:sz w:val="22"/>
          <w:szCs w:val="22"/>
        </w:rPr>
        <w:t xml:space="preserve">This is one region on one day. Fuel Dashboard tracks all 20 Italian regions, every province, comune and gestore, refreshed daily, viewable by day, week or month, in English, Italiano, Français, Русский and 中文 — with live counts of how many stations are registered and how many are actually reporting prices right now.</w:t>
      </w:r>
    </w:p>
    <w:p>
      <w:pPr>
        <w:spacing w:after="320"/>
      </w:pPr>
      <w:r>
        <w:rPr>
          <w:rFonts w:ascii="Calibri" w:cs="Calibri" w:eastAsia="Calibri" w:hAnsi="Calibri"/>
          <w:b/>
          <w:bCs/>
          <w:i w:val="false"/>
          <w:iCs w:val="false"/>
          <w:color w:val="B9790A"/>
          <w:sz w:val="24"/>
          <w:szCs w:val="24"/>
        </w:rPr>
        <w:t xml:space="preserve">https://adeo-blip.github.io/fuel-price-italy/</w:t>
      </w:r>
    </w:p>
    <w:p>
      <w:pPr>
        <w:pBdr>
          <w:top w:val="single" w:color="E6E2D8" w:sz="6" w:space="8"/>
        </w:pBdr>
        <w:spacing w:before="200"/>
      </w:pPr>
      <w:r>
        <w:rPr>
          <w:rFonts w:ascii="Calibri" w:cs="Calibri" w:eastAsia="Calibri" w:hAnsi="Calibri"/>
          <w:b/>
          <w:bCs/>
          <w:color w:val="14120F"/>
          <w:sz w:val="20"/>
          <w:szCs w:val="20"/>
        </w:rPr>
        <w:t xml:space="preserve">Adeo Patapo</w:t>
      </w:r>
    </w:p>
    <w:p>
      <w:pPr>
        <w:spacing w:after="0"/>
      </w:pPr>
      <w:r>
        <w:rPr>
          <w:rFonts w:ascii="Calibri" w:cs="Calibri" w:eastAsia="Calibri" w:hAnsi="Calibri"/>
          <w:b w:val="false"/>
          <w:bCs w:val="false"/>
          <w:i w:val="false"/>
          <w:iCs w:val="false"/>
          <w:color w:val="5B564C"/>
          <w:sz w:val="18"/>
          <w:szCs w:val="18"/>
        </w:rPr>
        <w:t xml:space="preserve">adeopatapo@gmail.com · +39 366 378 6189</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2026-09-12T10:01:31.945Z</dcterms:created>
  <dcterms:modified xsi:type="dcterms:W3CDTF">2026-09-12T10:01:31.945Z</dcterms:modified>
</cp:coreProperties>
</file>

<file path=docProps/custom.xml><?xml version="1.0" encoding="utf-8"?>
<Properties xmlns="http://schemas.openxmlformats.org/officeDocument/2006/custom-properties" xmlns:vt="http://schemas.openxmlformats.org/officeDocument/2006/docPropsVTypes"/>
</file>