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Basilicata pumps Italy's oil — and still pays above the national average</w:t>
      </w:r>
    </w:p>
    <w:p>
      <w:pPr>
        <w:spacing w:after="240"/>
      </w:pPr>
      <w:r>
        <w:rPr>
          <w:rFonts w:ascii="Calibri" w:cs="Calibri" w:eastAsia="Calibri" w:hAnsi="Calibri"/>
          <w:i/>
          <w:iCs/>
          <w:color w:val="5B564C"/>
          <w:sz w:val="24"/>
          <w:szCs w:val="24"/>
        </w:rPr>
        <w:t xml:space="preserve">The region that hosts Italy's largest onshore oilfield is charging 1.4 cents more than the country for a litre of self-service petrol, and its week-long price slide just reversed.</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€2.012</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€2.118</w:t>
            </w:r>
          </w:p>
          <w:p>
            <w:pPr>
              <w:spacing w:before="40"/>
            </w:pPr>
            <w:r>
              <w:rPr>
                <w:rFonts w:ascii="Calibri" w:cs="Calibri" w:eastAsia="Calibri" w:hAnsi="Calibri"/>
                <w:color w:val="5B564C"/>
                <w:sz w:val="18"/>
                <w:szCs w:val="18"/>
              </w:rPr>
              <w:t xml:space="preserve">↑ +0.003 €/L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267</w:t>
            </w:r>
          </w:p>
          <w:p>
            <w:pPr>
              <w:spacing w:before="40"/>
            </w:pPr>
            <w:r>
              <w:rPr>
                <w:rFonts w:ascii="Calibri" w:cs="Calibri" w:eastAsia="Calibri" w:hAnsi="Calibri"/>
                <w:color w:val="5B564C"/>
                <w:sz w:val="18"/>
                <w:szCs w:val="18"/>
              </w:rPr>
              <w:t xml:space="preserve">Basilicata</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238</w:t>
            </w:r>
          </w:p>
          <w:p>
            <w:pPr>
              <w:spacing w:before="40"/>
            </w:pPr>
            <w:r>
              <w:rPr>
                <w:rFonts w:ascii="Calibri" w:cs="Calibri" w:eastAsia="Calibri" w:hAnsi="Calibri"/>
                <w:color w:val="5B564C"/>
                <w:sz w:val="18"/>
                <w:szCs w:val="18"/>
              </w:rPr>
              <w:t xml:space="preserve">Aug 12</w:t>
            </w:r>
          </w:p>
        </w:tc>
      </w:tr>
    </w:tbl>
    <w:p>
      <w:pPr>
        <w:spacing w:before="320"/>
      </w:pPr>
    </w:p>
    <w:p>
      <w:pPr>
        <w:spacing w:after="200"/>
      </w:pPr>
      <w:r>
        <w:rPr>
          <w:rFonts w:ascii="Calibri" w:cs="Calibri" w:eastAsia="Calibri" w:hAnsi="Calibri"/>
          <w:color w:val="14120F"/>
          <w:sz w:val="22"/>
          <w:szCs w:val="22"/>
        </w:rPr>
        <w:t xml:space="preserve">On 12 August, self-service petrol in Basilicata averaged €2.0116 per litre against a national self-service average of €1.9977 — a premium of about 1.4 cents. Diesel tells the same story: €2.1180 locally versus €2.1063 nationally, roughly 1.2 cents above the country. It is a small gap in absolute terms, but a persistent one, and it sits oddly with the fact that the Val d'Agri fields beneath these hills produce more crude than anywhere else on Italian soil. Basilicata's LPG figure is the outlier in the other direction and then some: €0.8140 self-service against €0.7567 nationally, nearly 6 cents dearer, and pinned to that exact value in every single one of the 23 days the dashboard has tracked.</w:t>
      </w:r>
    </w:p>
    <w:p>
      <w:pPr>
        <w:spacing w:after="200"/>
      </w:pPr>
      <w:r>
        <w:rPr>
          <w:rFonts w:ascii="Calibri" w:cs="Calibri" w:eastAsia="Calibri" w:hAnsi="Calibri"/>
          <w:color w:val="14120F"/>
          <w:sz w:val="22"/>
          <w:szCs w:val="22"/>
        </w:rPr>
        <w:t xml:space="preserve">The more interesting movement is the turn. Petrol in Basilicata peaked at €2.0242 on 4 August and then fell for seven consecutive days to €2.0102 on 11 August; diesel did the same from €2.1419 on 5 August down to €2.1151. On 12 August both reversed — petrol up 0.14 cents, diesel up 0.29 cents — ending the slide on the same day. Behind those averages is a small and very stable network: 267 registered stations in the region, 238 of them reporting a price yesterday. That 89% participation rate has not budged in over three weeks, and it runs just under the national figure of 21,679 reporting out of 23,957 registered.</w:t>
      </w:r>
    </w:p>
    <w:p>
      <w:pPr>
        <w:spacing w:after="200"/>
      </w:pPr>
      <w:r>
        <w:rPr>
          <w:rFonts w:ascii="Calibri" w:cs="Calibri" w:eastAsia="Calibri" w:hAnsi="Calibri"/>
          <w:color w:val="14120F"/>
          <w:sz w:val="22"/>
          <w:szCs w:val="22"/>
        </w:rPr>
        <w:t xml:space="preserve">Noticing that a seven-day decline broke on a particular Wednesday, in one region of 267 stations, is not the sort of thing anyone does by hand. It only works because the whole pipeline reruns itself every morning: pull the MIMIT export, reprocess roughly 93,000 price rows across nearly 24,000 stations, recompute the regional aggregates, rotate to the next region, and rebuild the site. Fuel Dashboard was built with Claude Code precisely so that step is automatic — a spreadsheet updated by hand gets abandoned by week three, whereas this one is on day 23 and has never missed.</w:t>
      </w:r>
    </w:p>
    <w:p>
      <w:pPr>
        <w:spacing w:after="240" w:before="120"/>
        <w:jc w:val="center"/>
      </w:pPr>
      <w:r>
        <w:rPr>
          <w:rFonts w:ascii="Cambria" w:cs="Cambria" w:eastAsia="Cambria" w:hAnsi="Cambria"/>
          <w:b/>
          <w:bCs/>
          <w:i/>
          <w:iCs/>
          <w:color w:val="B9790A"/>
          <w:sz w:val="30"/>
          <w:szCs w:val="30"/>
        </w:rPr>
        <w:t xml:space="preserve">Seven straight days of falling prices in Basilicata ended yesterday — petrol and diesel both turned upward on the same day.</w:t>
      </w:r>
    </w:p>
    <w:p>
      <w:pPr>
        <w:spacing w:after="120" w:before="120"/>
      </w:pPr>
      <w:r>
        <w:rPr>
          <w:rFonts w:ascii="Calibri" w:cs="Calibri" w:eastAsia="Calibri" w:hAnsi="Calibri"/>
          <w:b/>
          <w:bCs/>
          <w:color w:val="5B564C"/>
          <w:sz w:val="18"/>
          <w:szCs w:val="18"/>
        </w:rPr>
        <w:t xml:space="preserve">Last 7 tracked days in Basilicata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6</w:t>
            </w:r>
          </w:p>
        </w:tc>
        <w:tc>
          <w:tcPr>
            <w:tcW w:type="dxa" w:w="2000"/>
          </w:tcPr>
          <w:p>
            <w:r>
              <w:rPr>
                <w:rFonts w:ascii="Calibri" w:cs="Calibri" w:eastAsia="Calibri" w:hAnsi="Calibri"/>
                <w:color w:val="2A78D6"/>
                <w:sz w:val="20"/>
                <w:szCs w:val="20"/>
              </w:rPr>
              <w:t xml:space="preserve">€2.021</w:t>
            </w:r>
          </w:p>
        </w:tc>
        <w:tc>
          <w:tcPr>
            <w:tcW w:type="dxa" w:w="2000"/>
          </w:tcPr>
          <w:p>
            <w:r>
              <w:rPr>
                <w:rFonts w:ascii="Calibri" w:cs="Calibri" w:eastAsia="Calibri" w:hAnsi="Calibri"/>
                <w:color w:val="1BAF7A"/>
                <w:sz w:val="20"/>
                <w:szCs w:val="20"/>
              </w:rPr>
              <w:t xml:space="preserve">€2.135</w:t>
            </w:r>
          </w:p>
        </w:tc>
      </w:tr>
      <w:tr>
        <w:tc>
          <w:tcPr>
            <w:tcW w:type="dxa" w:w="2000"/>
          </w:tcPr>
          <w:p>
            <w:r>
              <w:rPr>
                <w:rFonts w:ascii="Calibri" w:cs="Calibri" w:eastAsia="Calibri" w:hAnsi="Calibri"/>
                <w:sz w:val="20"/>
                <w:szCs w:val="20"/>
              </w:rPr>
              <w:t xml:space="preserve">Aug 7</w:t>
            </w:r>
          </w:p>
        </w:tc>
        <w:tc>
          <w:tcPr>
            <w:tcW w:type="dxa" w:w="2000"/>
          </w:tcPr>
          <w:p>
            <w:r>
              <w:rPr>
                <w:rFonts w:ascii="Calibri" w:cs="Calibri" w:eastAsia="Calibri" w:hAnsi="Calibri"/>
                <w:color w:val="2A78D6"/>
                <w:sz w:val="20"/>
                <w:szCs w:val="20"/>
              </w:rPr>
              <w:t xml:space="preserve">€2.017</w:t>
            </w:r>
          </w:p>
        </w:tc>
        <w:tc>
          <w:tcPr>
            <w:tcW w:type="dxa" w:w="2000"/>
          </w:tcPr>
          <w:p>
            <w:r>
              <w:rPr>
                <w:rFonts w:ascii="Calibri" w:cs="Calibri" w:eastAsia="Calibri" w:hAnsi="Calibri"/>
                <w:color w:val="1BAF7A"/>
                <w:sz w:val="20"/>
                <w:szCs w:val="20"/>
              </w:rPr>
              <w:t xml:space="preserve">€2.129</w:t>
            </w:r>
          </w:p>
        </w:tc>
      </w:tr>
      <w:tr>
        <w:tc>
          <w:tcPr>
            <w:tcW w:type="dxa" w:w="2000"/>
          </w:tcPr>
          <w:p>
            <w:r>
              <w:rPr>
                <w:rFonts w:ascii="Calibri" w:cs="Calibri" w:eastAsia="Calibri" w:hAnsi="Calibri"/>
                <w:sz w:val="20"/>
                <w:szCs w:val="20"/>
              </w:rPr>
              <w:t xml:space="preserve">Aug 8</w:t>
            </w:r>
          </w:p>
        </w:tc>
        <w:tc>
          <w:tcPr>
            <w:tcW w:type="dxa" w:w="2000"/>
          </w:tcPr>
          <w:p>
            <w:r>
              <w:rPr>
                <w:rFonts w:ascii="Calibri" w:cs="Calibri" w:eastAsia="Calibri" w:hAnsi="Calibri"/>
                <w:color w:val="2A78D6"/>
                <w:sz w:val="20"/>
                <w:szCs w:val="20"/>
              </w:rPr>
              <w:t xml:space="preserve">€2.014</w:t>
            </w:r>
          </w:p>
        </w:tc>
        <w:tc>
          <w:tcPr>
            <w:tcW w:type="dxa" w:w="2000"/>
          </w:tcPr>
          <w:p>
            <w:r>
              <w:rPr>
                <w:rFonts w:ascii="Calibri" w:cs="Calibri" w:eastAsia="Calibri" w:hAnsi="Calibri"/>
                <w:color w:val="1BAF7A"/>
                <w:sz w:val="20"/>
                <w:szCs w:val="20"/>
              </w:rPr>
              <w:t xml:space="preserve">€2.120</w:t>
            </w:r>
          </w:p>
        </w:tc>
      </w:tr>
      <w:tr>
        <w:tc>
          <w:tcPr>
            <w:tcW w:type="dxa" w:w="2000"/>
          </w:tcPr>
          <w:p>
            <w:r>
              <w:rPr>
                <w:rFonts w:ascii="Calibri" w:cs="Calibri" w:eastAsia="Calibri" w:hAnsi="Calibri"/>
                <w:sz w:val="20"/>
                <w:szCs w:val="20"/>
              </w:rPr>
              <w:t xml:space="preserve">Aug 9</w:t>
            </w:r>
          </w:p>
        </w:tc>
        <w:tc>
          <w:tcPr>
            <w:tcW w:type="dxa" w:w="2000"/>
          </w:tcPr>
          <w:p>
            <w:r>
              <w:rPr>
                <w:rFonts w:ascii="Calibri" w:cs="Calibri" w:eastAsia="Calibri" w:hAnsi="Calibri"/>
                <w:color w:val="2A78D6"/>
                <w:sz w:val="20"/>
                <w:szCs w:val="20"/>
              </w:rPr>
              <w:t xml:space="preserve">€2.013</w:t>
            </w:r>
          </w:p>
        </w:tc>
        <w:tc>
          <w:tcPr>
            <w:tcW w:type="dxa" w:w="2000"/>
          </w:tcPr>
          <w:p>
            <w:r>
              <w:rPr>
                <w:rFonts w:ascii="Calibri" w:cs="Calibri" w:eastAsia="Calibri" w:hAnsi="Calibri"/>
                <w:color w:val="1BAF7A"/>
                <w:sz w:val="20"/>
                <w:szCs w:val="20"/>
              </w:rPr>
              <w:t xml:space="preserve">€2.119</w:t>
            </w:r>
          </w:p>
        </w:tc>
      </w:tr>
      <w:tr>
        <w:tc>
          <w:tcPr>
            <w:tcW w:type="dxa" w:w="2000"/>
          </w:tcPr>
          <w:p>
            <w:r>
              <w:rPr>
                <w:rFonts w:ascii="Calibri" w:cs="Calibri" w:eastAsia="Calibri" w:hAnsi="Calibri"/>
                <w:sz w:val="20"/>
                <w:szCs w:val="20"/>
              </w:rPr>
              <w:t xml:space="preserve">Aug 10</w:t>
            </w:r>
          </w:p>
        </w:tc>
        <w:tc>
          <w:tcPr>
            <w:tcW w:type="dxa" w:w="2000"/>
          </w:tcPr>
          <w:p>
            <w:r>
              <w:rPr>
                <w:rFonts w:ascii="Calibri" w:cs="Calibri" w:eastAsia="Calibri" w:hAnsi="Calibri"/>
                <w:color w:val="2A78D6"/>
                <w:sz w:val="20"/>
                <w:szCs w:val="20"/>
              </w:rPr>
              <w:t xml:space="preserve">€2.011</w:t>
            </w:r>
          </w:p>
        </w:tc>
        <w:tc>
          <w:tcPr>
            <w:tcW w:type="dxa" w:w="2000"/>
          </w:tcPr>
          <w:p>
            <w:r>
              <w:rPr>
                <w:rFonts w:ascii="Calibri" w:cs="Calibri" w:eastAsia="Calibri" w:hAnsi="Calibri"/>
                <w:color w:val="1BAF7A"/>
                <w:sz w:val="20"/>
                <w:szCs w:val="20"/>
              </w:rPr>
              <w:t xml:space="preserve">€2.118</w:t>
            </w:r>
          </w:p>
        </w:tc>
      </w:tr>
      <w:tr>
        <w:tc>
          <w:tcPr>
            <w:tcW w:type="dxa" w:w="2000"/>
          </w:tcPr>
          <w:p>
            <w:r>
              <w:rPr>
                <w:rFonts w:ascii="Calibri" w:cs="Calibri" w:eastAsia="Calibri" w:hAnsi="Calibri"/>
                <w:sz w:val="20"/>
                <w:szCs w:val="20"/>
              </w:rPr>
              <w:t xml:space="preserve">Aug 11</w:t>
            </w:r>
          </w:p>
        </w:tc>
        <w:tc>
          <w:tcPr>
            <w:tcW w:type="dxa" w:w="2000"/>
          </w:tcPr>
          <w:p>
            <w:r>
              <w:rPr>
                <w:rFonts w:ascii="Calibri" w:cs="Calibri" w:eastAsia="Calibri" w:hAnsi="Calibri"/>
                <w:color w:val="2A78D6"/>
                <w:sz w:val="20"/>
                <w:szCs w:val="20"/>
              </w:rPr>
              <w:t xml:space="preserve">€2.010</w:t>
            </w:r>
          </w:p>
        </w:tc>
        <w:tc>
          <w:tcPr>
            <w:tcW w:type="dxa" w:w="2000"/>
          </w:tcPr>
          <w:p>
            <w:r>
              <w:rPr>
                <w:rFonts w:ascii="Calibri" w:cs="Calibri" w:eastAsia="Calibri" w:hAnsi="Calibri"/>
                <w:color w:val="1BAF7A"/>
                <w:sz w:val="20"/>
                <w:szCs w:val="20"/>
              </w:rPr>
              <w:t xml:space="preserve">€2.115</w:t>
            </w:r>
          </w:p>
        </w:tc>
      </w:tr>
      <w:tr>
        <w:tc>
          <w:tcPr>
            <w:tcW w:type="dxa" w:w="2000"/>
          </w:tcPr>
          <w:p>
            <w:r>
              <w:rPr>
                <w:rFonts w:ascii="Calibri" w:cs="Calibri" w:eastAsia="Calibri" w:hAnsi="Calibri"/>
                <w:sz w:val="20"/>
                <w:szCs w:val="20"/>
              </w:rPr>
              <w:t xml:space="preserve">Aug 12</w:t>
            </w:r>
          </w:p>
        </w:tc>
        <w:tc>
          <w:tcPr>
            <w:tcW w:type="dxa" w:w="2000"/>
          </w:tcPr>
          <w:p>
            <w:r>
              <w:rPr>
                <w:rFonts w:ascii="Calibri" w:cs="Calibri" w:eastAsia="Calibri" w:hAnsi="Calibri"/>
                <w:color w:val="2A78D6"/>
                <w:sz w:val="20"/>
                <w:szCs w:val="20"/>
              </w:rPr>
              <w:t xml:space="preserve">€2.012</w:t>
            </w:r>
          </w:p>
        </w:tc>
        <w:tc>
          <w:tcPr>
            <w:tcW w:type="dxa" w:w="2000"/>
          </w:tcPr>
          <w:p>
            <w:r>
              <w:rPr>
                <w:rFonts w:ascii="Calibri" w:cs="Calibri" w:eastAsia="Calibri" w:hAnsi="Calibri"/>
                <w:color w:val="1BAF7A"/>
                <w:sz w:val="20"/>
                <w:szCs w:val="20"/>
              </w:rPr>
              <w:t xml:space="preserve">€2.118</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2026-08-13T09:43:55.943Z</dcterms:created>
  <dcterms:modified xsi:type="dcterms:W3CDTF">2026-08-13T09:43:55.953Z</dcterms:modified>
</cp:coreProperties>
</file>

<file path=docProps/custom.xml><?xml version="1.0" encoding="utf-8"?>
<Properties xmlns="http://schemas.openxmlformats.org/officeDocument/2006/custom-properties" xmlns:vt="http://schemas.openxmlformats.org/officeDocument/2006/docPropsVTypes"/>
</file>