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alibri" w:cs="Calibri" w:eastAsia="Calibri" w:hAnsi="Calibri"/>
          <w:b/>
          <w:bCs/>
          <w:color w:val="B9790A"/>
          <w:sz w:val="18"/>
          <w:szCs w:val="18"/>
        </w:rPr>
        <w:t xml:space="preserve">FUEL DASHBOARD · REGIONE SPOTLIGHT</w:t>
      </w:r>
    </w:p>
    <w:p>
      <w:pPr>
        <w:spacing w:after="80" w:before="120"/>
      </w:pPr>
      <w:r>
        <w:rPr>
          <w:rFonts w:ascii="Cambria" w:cs="Cambria" w:eastAsia="Cambria" w:hAnsi="Cambria"/>
          <w:b/>
          <w:bCs/>
          <w:color w:val="14120F"/>
          <w:sz w:val="56"/>
          <w:szCs w:val="56"/>
        </w:rPr>
        <w:t xml:space="preserve">Marche Undercuts the National Average as Diesel Prices Swing Sharply</w:t>
      </w:r>
    </w:p>
    <w:p>
      <w:pPr>
        <w:spacing w:after="240"/>
      </w:pPr>
      <w:r>
        <w:rPr>
          <w:rFonts w:ascii="Calibri" w:cs="Calibri" w:eastAsia="Calibri" w:hAnsi="Calibri"/>
          <w:i/>
          <w:iCs/>
          <w:color w:val="5B564C"/>
          <w:sz w:val="24"/>
          <w:szCs w:val="24"/>
        </w:rPr>
        <w:t xml:space="preserve">Fresh MIMIT data for July 31 shows Marche drivers paying less than the rest of Italy at the pump, with self-service diesel down nearly 5% in a single day before a modest rebound.</w:t>
      </w:r>
    </w:p>
    <w:tbl>
      <w:tblPr>
        <w:tblW w:type="dxa" w:w="10000"/>
        <w:tblBorders>
          <w:top w:val="none" w:color="FFFFFF" w:sz="0"/>
          <w:left w:val="none" w:color="FFFFFF" w:sz="0"/>
          <w:bottom w:val="none" w:color="FFFFFF" w:sz="0"/>
          <w:right w:val="none" w:color="FFFFFF" w:sz="0"/>
          <w:insideH w:val="none" w:color="FFFFFF" w:sz="0"/>
          <w:insideV w:val="none" w:color="FFFFFF" w:sz="0"/>
        </w:tblBorders>
      </w:tblPr>
      <w:tblGrid>
        <w:gridCol w:w="2500"/>
        <w:gridCol w:w="2500"/>
        <w:gridCol w:w="2500"/>
        <w:gridCol w:w="2500"/>
      </w:tblGrid>
      <w:tr>
        <w:tc>
          <w:tcPr>
            <w:tcW w:type="dxa" w:w="2500"/>
            <w:shd w:fill="F7EEDD" w:val="clear"/>
            <w:tcMar>
              <w:top w:type="dxa" w:w="160"/>
              <w:left w:type="dxa" w:w="180"/>
              <w:bottom w:type="dxa" w:w="160"/>
              <w:right w:type="dxa" w:w="180"/>
            </w:tcMar>
          </w:tcPr>
          <w:p>
            <w:r>
              <w:rPr>
                <w:rFonts w:ascii="Calibri" w:cs="Calibri" w:eastAsia="Calibri" w:hAnsi="Calibri"/>
                <w:b/>
                <w:bCs/>
                <w:color w:val="5B564C"/>
                <w:sz w:val="16"/>
                <w:szCs w:val="16"/>
              </w:rPr>
              <w:t xml:space="preserve">BENZINA</w:t>
            </w:r>
          </w:p>
          <w:p>
            <w:pPr>
              <w:spacing w:before="60"/>
            </w:pPr>
            <w:r>
              <w:rPr>
                <w:rFonts w:ascii="Calibri" w:cs="Calibri" w:eastAsia="Calibri" w:hAnsi="Calibri"/>
                <w:b/>
                <w:bCs/>
                <w:color w:val="14120F"/>
                <w:sz w:val="32"/>
                <w:szCs w:val="32"/>
              </w:rPr>
              <w:t xml:space="preserve">€1.988</w:t>
            </w:r>
          </w:p>
          <w:p>
            <w:pPr>
              <w:spacing w:before="40"/>
            </w:pPr>
            <w:r>
              <w:rPr>
                <w:rFonts w:ascii="Calibri" w:cs="Calibri" w:eastAsia="Calibri" w:hAnsi="Calibri"/>
                <w:color w:val="5B564C"/>
                <w:sz w:val="18"/>
                <w:szCs w:val="18"/>
              </w:rPr>
              <w:t xml:space="preserve">↑ +0.005 €/L</w:t>
            </w:r>
          </w:p>
        </w:tc>
        <w:tc>
          <w:tcPr>
            <w:tcW w:type="dxa" w:w="2500"/>
            <w:shd w:fill="F7EEDD" w:val="clear"/>
            <w:tcMar>
              <w:top w:type="dxa" w:w="160"/>
              <w:left w:type="dxa" w:w="180"/>
              <w:bottom w:type="dxa" w:w="160"/>
              <w:right w:type="dxa" w:w="180"/>
            </w:tcMar>
          </w:tcPr>
          <w:p>
            <w:r>
              <w:rPr>
                <w:rFonts w:ascii="Calibri" w:cs="Calibri" w:eastAsia="Calibri" w:hAnsi="Calibri"/>
                <w:b/>
                <w:bCs/>
                <w:color w:val="5B564C"/>
                <w:sz w:val="16"/>
                <w:szCs w:val="16"/>
              </w:rPr>
              <w:t xml:space="preserve">GASOLIO</w:t>
            </w:r>
          </w:p>
          <w:p>
            <w:pPr>
              <w:spacing w:before="60"/>
            </w:pPr>
            <w:r>
              <w:rPr>
                <w:rFonts w:ascii="Calibri" w:cs="Calibri" w:eastAsia="Calibri" w:hAnsi="Calibri"/>
                <w:b/>
                <w:bCs/>
                <w:color w:val="14120F"/>
                <w:sz w:val="32"/>
                <w:szCs w:val="32"/>
              </w:rPr>
              <w:t xml:space="preserve">€2.086</w:t>
            </w:r>
          </w:p>
          <w:p>
            <w:pPr>
              <w:spacing w:before="40"/>
            </w:pPr>
            <w:r>
              <w:rPr>
                <w:rFonts w:ascii="Calibri" w:cs="Calibri" w:eastAsia="Calibri" w:hAnsi="Calibri"/>
                <w:color w:val="5B564C"/>
                <w:sz w:val="18"/>
                <w:szCs w:val="18"/>
              </w:rPr>
              <w:t xml:space="preserve">↑ +0.017 €/L</w:t>
            </w:r>
          </w:p>
        </w:tc>
        <w:tc>
          <w:tcPr>
            <w:tcW w:type="dxa" w:w="2500"/>
            <w:shd w:fill="F7EEDD" w:val="clear"/>
            <w:tcMar>
              <w:top w:type="dxa" w:w="160"/>
              <w:left w:type="dxa" w:w="180"/>
              <w:bottom w:type="dxa" w:w="160"/>
              <w:right w:type="dxa" w:w="180"/>
            </w:tcMar>
          </w:tcPr>
          <w:p>
            <w:r>
              <w:rPr>
                <w:rFonts w:ascii="Calibri" w:cs="Calibri" w:eastAsia="Calibri" w:hAnsi="Calibri"/>
                <w:b/>
                <w:bCs/>
                <w:color w:val="5B564C"/>
                <w:sz w:val="16"/>
                <w:szCs w:val="16"/>
              </w:rPr>
              <w:t xml:space="preserve">REGISTERED STATIONS</w:t>
            </w:r>
          </w:p>
          <w:p>
            <w:pPr>
              <w:spacing w:before="60"/>
            </w:pPr>
            <w:r>
              <w:rPr>
                <w:rFonts w:ascii="Calibri" w:cs="Calibri" w:eastAsia="Calibri" w:hAnsi="Calibri"/>
                <w:b/>
                <w:bCs/>
                <w:color w:val="14120F"/>
                <w:sz w:val="32"/>
                <w:szCs w:val="32"/>
              </w:rPr>
              <w:t xml:space="preserve">776</w:t>
            </w:r>
          </w:p>
          <w:p>
            <w:pPr>
              <w:spacing w:before="40"/>
            </w:pPr>
            <w:r>
              <w:rPr>
                <w:rFonts w:ascii="Calibri" w:cs="Calibri" w:eastAsia="Calibri" w:hAnsi="Calibri"/>
                <w:color w:val="5B564C"/>
                <w:sz w:val="18"/>
                <w:szCs w:val="18"/>
              </w:rPr>
              <w:t xml:space="preserve">Marche</w:t>
            </w:r>
          </w:p>
        </w:tc>
        <w:tc>
          <w:tcPr>
            <w:tcW w:type="dxa" w:w="2500"/>
            <w:shd w:fill="F7EEDD" w:val="clear"/>
            <w:tcMar>
              <w:top w:type="dxa" w:w="160"/>
              <w:left w:type="dxa" w:w="180"/>
              <w:bottom w:type="dxa" w:w="160"/>
              <w:right w:type="dxa" w:w="180"/>
            </w:tcMar>
          </w:tcPr>
          <w:p>
            <w:r>
              <w:rPr>
                <w:rFonts w:ascii="Calibri" w:cs="Calibri" w:eastAsia="Calibri" w:hAnsi="Calibri"/>
                <w:b/>
                <w:bCs/>
                <w:color w:val="5B564C"/>
                <w:sz w:val="16"/>
                <w:szCs w:val="16"/>
              </w:rPr>
              <w:t xml:space="preserve">REPORTING TODAY</w:t>
            </w:r>
          </w:p>
          <w:p>
            <w:pPr>
              <w:spacing w:before="60"/>
            </w:pPr>
            <w:r>
              <w:rPr>
                <w:rFonts w:ascii="Calibri" w:cs="Calibri" w:eastAsia="Calibri" w:hAnsi="Calibri"/>
                <w:b/>
                <w:bCs/>
                <w:color w:val="14120F"/>
                <w:sz w:val="32"/>
                <w:szCs w:val="32"/>
              </w:rPr>
              <w:t xml:space="preserve">735</w:t>
            </w:r>
          </w:p>
          <w:p>
            <w:pPr>
              <w:spacing w:before="40"/>
            </w:pPr>
            <w:r>
              <w:rPr>
                <w:rFonts w:ascii="Calibri" w:cs="Calibri" w:eastAsia="Calibri" w:hAnsi="Calibri"/>
                <w:color w:val="5B564C"/>
                <w:sz w:val="18"/>
                <w:szCs w:val="18"/>
              </w:rPr>
              <w:t xml:space="preserve">Jul 31</w:t>
            </w:r>
          </w:p>
        </w:tc>
      </w:tr>
    </w:tbl>
    <w:p>
      <w:pPr>
        <w:spacing w:before="320"/>
      </w:pPr>
    </w:p>
    <w:p>
      <w:pPr>
        <w:spacing w:after="200"/>
      </w:pPr>
      <w:r>
        <w:rPr>
          <w:rFonts w:ascii="Calibri" w:cs="Calibri" w:eastAsia="Calibri" w:hAnsi="Calibri"/>
          <w:color w:val="14120F"/>
          <w:sz w:val="22"/>
          <w:szCs w:val="22"/>
        </w:rPr>
        <w:t xml:space="preserve">In Marche, self-service Benzina is averaging €1.9885 per liter and self-service Gasolio €2.0857, as of July 31, 2026. Both sit below the national self-service averages of €2.0074 for Benzina and €2.1079 for Gasolio — Marche drivers are paying roughly a cent less per liter on petrol and just over two cents less on diesel than the country as a whole.</w:t>
      </w:r>
    </w:p>
    <w:p>
      <w:pPr>
        <w:spacing w:after="200"/>
      </w:pPr>
      <w:r>
        <w:rPr>
          <w:rFonts w:ascii="Calibri" w:cs="Calibri" w:eastAsia="Calibri" w:hAnsi="Calibri"/>
          <w:color w:val="14120F"/>
          <w:sz w:val="22"/>
          <w:szCs w:val="22"/>
        </w:rPr>
        <w:t xml:space="preserve">The past week tells two different stories. Benzina in Marche crept steadily upward, from €1.9711 on July 25 to €1.9885 on July 31 — a slow, unbroken climb. Gasolio moved the opposite way: after holding near €2.18-2.19 through most of the week, it plunged nearly 5% overnight on July 29 to €2.0672, and has only partially recovered since, closing the week down 4.4% from where it started. Behind those numbers, 735 of the region's 776 registered stations reported prices on the 31st — a 94.7% reporting rate that points to an active, well-monitored local network.</w:t>
      </w:r>
    </w:p>
    <w:p>
      <w:pPr>
        <w:spacing w:after="200"/>
      </w:pPr>
      <w:r>
        <w:rPr>
          <w:rFonts w:ascii="Calibri" w:cs="Calibri" w:eastAsia="Calibri" w:hAnsi="Calibri"/>
          <w:color w:val="14120F"/>
          <w:sz w:val="22"/>
          <w:szCs w:val="22"/>
        </w:rPr>
        <w:t xml:space="preserve">Catching a single-day 5% swing in one region among Italy's 20 is only possible because this level of detail is generated automatically every day, not assembled by hand. The Fuel Dashboard rebuilds itself each morning from the latest MIMIT feed — pulling in tens of thousands of price rows, recalculating regional and national averages, and rotating through every region for a fresh spotlight — all built and maintained with Claude Code instead of a manually updated spreadsheet.</w:t>
      </w:r>
    </w:p>
    <w:p>
      <w:pPr>
        <w:spacing w:after="240" w:before="120"/>
        <w:jc w:val="center"/>
      </w:pPr>
      <w:r>
        <w:rPr>
          <w:rFonts w:ascii="Cambria" w:cs="Cambria" w:eastAsia="Cambria" w:hAnsi="Cambria"/>
          <w:b/>
          <w:bCs/>
          <w:i/>
          <w:iCs/>
          <w:color w:val="B9790A"/>
          <w:sz w:val="30"/>
          <w:szCs w:val="30"/>
        </w:rPr>
        <w:t xml:space="preserve">Diesel in Marche dropped nearly 5% in a single day — then only half-recovered.</w:t>
      </w:r>
    </w:p>
    <w:p>
      <w:pPr>
        <w:spacing w:after="120" w:before="120"/>
      </w:pPr>
      <w:r>
        <w:rPr>
          <w:rFonts w:ascii="Calibri" w:cs="Calibri" w:eastAsia="Calibri" w:hAnsi="Calibri"/>
          <w:b/>
          <w:bCs/>
          <w:color w:val="5B564C"/>
          <w:sz w:val="18"/>
          <w:szCs w:val="18"/>
        </w:rPr>
        <w:t xml:space="preserve">Last 7 tracked days in Marche — self-service average</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tblGrid>
      <w:tr>
        <w:tc>
          <w:tcPr>
            <w:tcW w:type="dxa" w:w="2000"/>
            <w:shd w:fill="F0EDE6" w:val="clear"/>
          </w:tcPr>
          <w:p>
            <w:r>
              <w:rPr>
                <w:rFonts w:ascii="Calibri" w:cs="Calibri" w:eastAsia="Calibri" w:hAnsi="Calibri"/>
                <w:b/>
                <w:bCs/>
                <w:sz w:val="20"/>
                <w:szCs w:val="20"/>
              </w:rPr>
              <w:t xml:space="preserve">Date</w:t>
            </w:r>
          </w:p>
        </w:tc>
        <w:tc>
          <w:tcPr>
            <w:tcW w:type="dxa" w:w="2000"/>
            <w:shd w:fill="F0EDE6" w:val="clear"/>
          </w:tcPr>
          <w:p>
            <w:r>
              <w:rPr>
                <w:rFonts w:ascii="Calibri" w:cs="Calibri" w:eastAsia="Calibri" w:hAnsi="Calibri"/>
                <w:b/>
                <w:bCs/>
                <w:sz w:val="20"/>
                <w:szCs w:val="20"/>
              </w:rPr>
              <w:t xml:space="preserve">Benzina</w:t>
            </w:r>
          </w:p>
        </w:tc>
        <w:tc>
          <w:tcPr>
            <w:tcW w:type="dxa" w:w="2000"/>
            <w:shd w:fill="F0EDE6" w:val="clear"/>
          </w:tcPr>
          <w:p>
            <w:r>
              <w:rPr>
                <w:rFonts w:ascii="Calibri" w:cs="Calibri" w:eastAsia="Calibri" w:hAnsi="Calibri"/>
                <w:b/>
                <w:bCs/>
                <w:sz w:val="20"/>
                <w:szCs w:val="20"/>
              </w:rPr>
              <w:t xml:space="preserve">Gasolio</w:t>
            </w:r>
          </w:p>
        </w:tc>
      </w:tr>
      <w:tr>
        <w:tc>
          <w:tcPr>
            <w:tcW w:type="dxa" w:w="2000"/>
          </w:tcPr>
          <w:p>
            <w:r>
              <w:rPr>
                <w:rFonts w:ascii="Calibri" w:cs="Calibri" w:eastAsia="Calibri" w:hAnsi="Calibri"/>
                <w:sz w:val="20"/>
                <w:szCs w:val="20"/>
              </w:rPr>
              <w:t xml:space="preserve">Jul 25</w:t>
            </w:r>
          </w:p>
        </w:tc>
        <w:tc>
          <w:tcPr>
            <w:tcW w:type="dxa" w:w="2000"/>
          </w:tcPr>
          <w:p>
            <w:r>
              <w:rPr>
                <w:rFonts w:ascii="Calibri" w:cs="Calibri" w:eastAsia="Calibri" w:hAnsi="Calibri"/>
                <w:color w:val="2A78D6"/>
                <w:sz w:val="20"/>
                <w:szCs w:val="20"/>
              </w:rPr>
              <w:t xml:space="preserve">€1.971</w:t>
            </w:r>
          </w:p>
        </w:tc>
        <w:tc>
          <w:tcPr>
            <w:tcW w:type="dxa" w:w="2000"/>
          </w:tcPr>
          <w:p>
            <w:r>
              <w:rPr>
                <w:rFonts w:ascii="Calibri" w:cs="Calibri" w:eastAsia="Calibri" w:hAnsi="Calibri"/>
                <w:color w:val="1BAF7A"/>
                <w:sz w:val="20"/>
                <w:szCs w:val="20"/>
              </w:rPr>
              <w:t xml:space="preserve">€2.183</w:t>
            </w:r>
          </w:p>
        </w:tc>
      </w:tr>
      <w:tr>
        <w:tc>
          <w:tcPr>
            <w:tcW w:type="dxa" w:w="2000"/>
          </w:tcPr>
          <w:p>
            <w:r>
              <w:rPr>
                <w:rFonts w:ascii="Calibri" w:cs="Calibri" w:eastAsia="Calibri" w:hAnsi="Calibri"/>
                <w:sz w:val="20"/>
                <w:szCs w:val="20"/>
              </w:rPr>
              <w:t xml:space="preserve">Jul 26</w:t>
            </w:r>
          </w:p>
        </w:tc>
        <w:tc>
          <w:tcPr>
            <w:tcW w:type="dxa" w:w="2000"/>
          </w:tcPr>
          <w:p>
            <w:r>
              <w:rPr>
                <w:rFonts w:ascii="Calibri" w:cs="Calibri" w:eastAsia="Calibri" w:hAnsi="Calibri"/>
                <w:color w:val="2A78D6"/>
                <w:sz w:val="20"/>
                <w:szCs w:val="20"/>
              </w:rPr>
              <w:t xml:space="preserve">€1.975</w:t>
            </w:r>
          </w:p>
        </w:tc>
        <w:tc>
          <w:tcPr>
            <w:tcW w:type="dxa" w:w="2000"/>
          </w:tcPr>
          <w:p>
            <w:r>
              <w:rPr>
                <w:rFonts w:ascii="Calibri" w:cs="Calibri" w:eastAsia="Calibri" w:hAnsi="Calibri"/>
                <w:color w:val="1BAF7A"/>
                <w:sz w:val="20"/>
                <w:szCs w:val="20"/>
              </w:rPr>
              <w:t xml:space="preserve">€2.188</w:t>
            </w:r>
          </w:p>
        </w:tc>
      </w:tr>
      <w:tr>
        <w:tc>
          <w:tcPr>
            <w:tcW w:type="dxa" w:w="2000"/>
          </w:tcPr>
          <w:p>
            <w:r>
              <w:rPr>
                <w:rFonts w:ascii="Calibri" w:cs="Calibri" w:eastAsia="Calibri" w:hAnsi="Calibri"/>
                <w:sz w:val="20"/>
                <w:szCs w:val="20"/>
              </w:rPr>
              <w:t xml:space="preserve">Jul 27</w:t>
            </w:r>
          </w:p>
        </w:tc>
        <w:tc>
          <w:tcPr>
            <w:tcW w:type="dxa" w:w="2000"/>
          </w:tcPr>
          <w:p>
            <w:r>
              <w:rPr>
                <w:rFonts w:ascii="Calibri" w:cs="Calibri" w:eastAsia="Calibri" w:hAnsi="Calibri"/>
                <w:color w:val="2A78D6"/>
                <w:sz w:val="20"/>
                <w:szCs w:val="20"/>
              </w:rPr>
              <w:t xml:space="preserve">€1.976</w:t>
            </w:r>
          </w:p>
        </w:tc>
        <w:tc>
          <w:tcPr>
            <w:tcW w:type="dxa" w:w="2000"/>
          </w:tcPr>
          <w:p>
            <w:r>
              <w:rPr>
                <w:rFonts w:ascii="Calibri" w:cs="Calibri" w:eastAsia="Calibri" w:hAnsi="Calibri"/>
                <w:color w:val="1BAF7A"/>
                <w:sz w:val="20"/>
                <w:szCs w:val="20"/>
              </w:rPr>
              <w:t xml:space="preserve">€2.190</w:t>
            </w:r>
          </w:p>
        </w:tc>
      </w:tr>
      <w:tr>
        <w:tc>
          <w:tcPr>
            <w:tcW w:type="dxa" w:w="2000"/>
          </w:tcPr>
          <w:p>
            <w:r>
              <w:rPr>
                <w:rFonts w:ascii="Calibri" w:cs="Calibri" w:eastAsia="Calibri" w:hAnsi="Calibri"/>
                <w:sz w:val="20"/>
                <w:szCs w:val="20"/>
              </w:rPr>
              <w:t xml:space="preserve">Jul 28</w:t>
            </w:r>
          </w:p>
        </w:tc>
        <w:tc>
          <w:tcPr>
            <w:tcW w:type="dxa" w:w="2000"/>
          </w:tcPr>
          <w:p>
            <w:r>
              <w:rPr>
                <w:rFonts w:ascii="Calibri" w:cs="Calibri" w:eastAsia="Calibri" w:hAnsi="Calibri"/>
                <w:color w:val="2A78D6"/>
                <w:sz w:val="20"/>
                <w:szCs w:val="20"/>
              </w:rPr>
              <w:t xml:space="preserve">€1.978</w:t>
            </w:r>
          </w:p>
        </w:tc>
        <w:tc>
          <w:tcPr>
            <w:tcW w:type="dxa" w:w="2000"/>
          </w:tcPr>
          <w:p>
            <w:r>
              <w:rPr>
                <w:rFonts w:ascii="Calibri" w:cs="Calibri" w:eastAsia="Calibri" w:hAnsi="Calibri"/>
                <w:color w:val="1BAF7A"/>
                <w:sz w:val="20"/>
                <w:szCs w:val="20"/>
              </w:rPr>
              <w:t xml:space="preserve">€2.178</w:t>
            </w:r>
          </w:p>
        </w:tc>
      </w:tr>
      <w:tr>
        <w:tc>
          <w:tcPr>
            <w:tcW w:type="dxa" w:w="2000"/>
          </w:tcPr>
          <w:p>
            <w:r>
              <w:rPr>
                <w:rFonts w:ascii="Calibri" w:cs="Calibri" w:eastAsia="Calibri" w:hAnsi="Calibri"/>
                <w:sz w:val="20"/>
                <w:szCs w:val="20"/>
              </w:rPr>
              <w:t xml:space="preserve">Jul 29</w:t>
            </w:r>
          </w:p>
        </w:tc>
        <w:tc>
          <w:tcPr>
            <w:tcW w:type="dxa" w:w="2000"/>
          </w:tcPr>
          <w:p>
            <w:r>
              <w:rPr>
                <w:rFonts w:ascii="Calibri" w:cs="Calibri" w:eastAsia="Calibri" w:hAnsi="Calibri"/>
                <w:color w:val="2A78D6"/>
                <w:sz w:val="20"/>
                <w:szCs w:val="20"/>
              </w:rPr>
              <w:t xml:space="preserve">€1.981</w:t>
            </w:r>
          </w:p>
        </w:tc>
        <w:tc>
          <w:tcPr>
            <w:tcW w:type="dxa" w:w="2000"/>
          </w:tcPr>
          <w:p>
            <w:r>
              <w:rPr>
                <w:rFonts w:ascii="Calibri" w:cs="Calibri" w:eastAsia="Calibri" w:hAnsi="Calibri"/>
                <w:color w:val="1BAF7A"/>
                <w:sz w:val="20"/>
                <w:szCs w:val="20"/>
              </w:rPr>
              <w:t xml:space="preserve">€2.067</w:t>
            </w:r>
          </w:p>
        </w:tc>
      </w:tr>
      <w:tr>
        <w:tc>
          <w:tcPr>
            <w:tcW w:type="dxa" w:w="2000"/>
          </w:tcPr>
          <w:p>
            <w:r>
              <w:rPr>
                <w:rFonts w:ascii="Calibri" w:cs="Calibri" w:eastAsia="Calibri" w:hAnsi="Calibri"/>
                <w:sz w:val="20"/>
                <w:szCs w:val="20"/>
              </w:rPr>
              <w:t xml:space="preserve">Jul 30</w:t>
            </w:r>
          </w:p>
        </w:tc>
        <w:tc>
          <w:tcPr>
            <w:tcW w:type="dxa" w:w="2000"/>
          </w:tcPr>
          <w:p>
            <w:r>
              <w:rPr>
                <w:rFonts w:ascii="Calibri" w:cs="Calibri" w:eastAsia="Calibri" w:hAnsi="Calibri"/>
                <w:color w:val="2A78D6"/>
                <w:sz w:val="20"/>
                <w:szCs w:val="20"/>
              </w:rPr>
              <w:t xml:space="preserve">€1.983</w:t>
            </w:r>
          </w:p>
        </w:tc>
        <w:tc>
          <w:tcPr>
            <w:tcW w:type="dxa" w:w="2000"/>
          </w:tcPr>
          <w:p>
            <w:r>
              <w:rPr>
                <w:rFonts w:ascii="Calibri" w:cs="Calibri" w:eastAsia="Calibri" w:hAnsi="Calibri"/>
                <w:color w:val="1BAF7A"/>
                <w:sz w:val="20"/>
                <w:szCs w:val="20"/>
              </w:rPr>
              <w:t xml:space="preserve">€2.069</w:t>
            </w:r>
          </w:p>
        </w:tc>
      </w:tr>
      <w:tr>
        <w:tc>
          <w:tcPr>
            <w:tcW w:type="dxa" w:w="2000"/>
          </w:tcPr>
          <w:p>
            <w:r>
              <w:rPr>
                <w:rFonts w:ascii="Calibri" w:cs="Calibri" w:eastAsia="Calibri" w:hAnsi="Calibri"/>
                <w:sz w:val="20"/>
                <w:szCs w:val="20"/>
              </w:rPr>
              <w:t xml:space="preserve">Jul 31</w:t>
            </w:r>
          </w:p>
        </w:tc>
        <w:tc>
          <w:tcPr>
            <w:tcW w:type="dxa" w:w="2000"/>
          </w:tcPr>
          <w:p>
            <w:r>
              <w:rPr>
                <w:rFonts w:ascii="Calibri" w:cs="Calibri" w:eastAsia="Calibri" w:hAnsi="Calibri"/>
                <w:color w:val="2A78D6"/>
                <w:sz w:val="20"/>
                <w:szCs w:val="20"/>
              </w:rPr>
              <w:t xml:space="preserve">€1.988</w:t>
            </w:r>
          </w:p>
        </w:tc>
        <w:tc>
          <w:tcPr>
            <w:tcW w:type="dxa" w:w="2000"/>
          </w:tcPr>
          <w:p>
            <w:r>
              <w:rPr>
                <w:rFonts w:ascii="Calibri" w:cs="Calibri" w:eastAsia="Calibri" w:hAnsi="Calibri"/>
                <w:color w:val="1BAF7A"/>
                <w:sz w:val="20"/>
                <w:szCs w:val="20"/>
              </w:rPr>
              <w:t xml:space="preserve">€2.086</w:t>
            </w:r>
          </w:p>
        </w:tc>
      </w:tr>
    </w:tbl>
    <w:p>
      <w:r>
        <w:br w:type="page"/>
      </w:r>
    </w:p>
    <w:p>
      <w:pPr>
        <w:spacing w:after="160"/>
      </w:pPr>
      <w:r>
        <w:rPr>
          <w:rFonts w:ascii="Cambria" w:cs="Cambria" w:eastAsia="Cambria" w:hAnsi="Cambria"/>
          <w:b/>
          <w:bCs/>
          <w:color w:val="14120F"/>
          <w:sz w:val="30"/>
          <w:szCs w:val="30"/>
        </w:rPr>
        <w:t xml:space="preserve">See the full trend — daily, weekly, monthly</w:t>
      </w:r>
    </w:p>
    <w:p>
      <w:pPr>
        <w:spacing w:after="200"/>
      </w:pPr>
      <w:r>
        <w:rPr>
          <w:rFonts w:ascii="Calibri" w:cs="Calibri" w:eastAsia="Calibri" w:hAnsi="Calibri"/>
          <w:color w:val="14120F"/>
          <w:sz w:val="22"/>
          <w:szCs w:val="22"/>
        </w:rPr>
        <w:t xml:space="preserve">Fuel Dashboard tracks Italy's pump prices nationally and down to any Regione, Provincia, Comune or Gestore, with live counts of registered vs. actively reporting stations — free to browse in English, Italiano, Français, Русский or 中文.</w:t>
      </w:r>
    </w:p>
    <w:p>
      <w:pPr>
        <w:spacing w:after="320"/>
      </w:pPr>
      <w:r>
        <w:rPr>
          <w:rFonts w:ascii="Calibri" w:cs="Calibri" w:eastAsia="Calibri" w:hAnsi="Calibri"/>
          <w:b/>
          <w:bCs/>
          <w:color w:val="B9790A"/>
          <w:sz w:val="24"/>
          <w:szCs w:val="24"/>
        </w:rPr>
        <w:t xml:space="preserve">https://adeo-blip.github.io/fuel-price-italy/</w:t>
      </w:r>
    </w:p>
    <w:p>
      <w:pPr>
        <w:pBdr>
          <w:top w:val="single" w:color="E6E2D8" w:sz="6" w:space="8"/>
        </w:pBdr>
        <w:spacing w:before="200"/>
      </w:pPr>
      <w:r>
        <w:rPr>
          <w:rFonts w:ascii="Calibri" w:cs="Calibri" w:eastAsia="Calibri" w:hAnsi="Calibri"/>
          <w:b/>
          <w:bCs/>
          <w:color w:val="14120F"/>
          <w:sz w:val="20"/>
          <w:szCs w:val="20"/>
        </w:rPr>
        <w:t xml:space="preserve">Adeo Patapo</w:t>
      </w:r>
    </w:p>
    <w:p>
      <w:r>
        <w:rPr>
          <w:rFonts w:ascii="Calibri" w:cs="Calibri" w:eastAsia="Calibri" w:hAnsi="Calibri"/>
          <w:color w:val="5B564C"/>
          <w:sz w:val="18"/>
          <w:szCs w:val="18"/>
        </w:rPr>
        <w:t xml:space="preserve">adeopatapo@gmail.com · +39 366 378 6189</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2026-08-01T15:05:28.454Z</dcterms:created>
  <dcterms:modified xsi:type="dcterms:W3CDTF">2026-08-01T15:05:28.456Z</dcterms:modified>
</cp:coreProperties>
</file>

<file path=docProps/custom.xml><?xml version="1.0" encoding="utf-8"?>
<Properties xmlns="http://schemas.openxmlformats.org/officeDocument/2006/custom-properties" xmlns:vt="http://schemas.openxmlformats.org/officeDocument/2006/docPropsVTypes"/>
</file>