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Szkolny klub gier</w:t>
      </w:r>
    </w:p>
    <w:p>
      <w:r>
        <w:t>Dokument roboczy zespołu uczniowskiego. Przekształć go w czytelny informator klubu. Tytuły działów i podrozdziałów mają teraz styl Normalny. Dodaj style, nagłówek i stopkę w aplikacji Word na komputerze.</w:t>
      </w:r>
    </w:p>
    <w:p>
      <w:pPr>
        <w:pStyle w:val="Heading1"/>
      </w:pPr>
      <w:r>
        <w:rPr/>
        <w:t>Po co zakładamy klub</w:t>
      </w:r>
    </w:p>
    <w:p>
      <w:r>
        <w:t>Klub jest miejscem wspólnego poznawania gier planszowych i logicznych. Uczestnicy ćwiczą wyjaśnianie zasad, planowanie działań oraz uczciwe rozwiązywanie sporów. Nie trzeba mieć własnej gry ani doświadczenia.</w:t>
      </w:r>
    </w:p>
    <w:p>
      <w:r>
        <w:t>Spotkania odbywają się w szkolnej sali po lekcjach. Przed każdym spotkaniem zespół wybiera grę odpowiednią do dostępnego czasu i liczby osób. Organizator sprawdza kompletność elementów.</w:t>
      </w:r>
    </w:p>
    <w:p>
      <w:pPr>
        <w:pStyle w:val="Heading2"/>
      </w:pPr>
      <w:r>
        <w:rPr/>
        <w:t>Pierwsze spotkanie</w:t>
      </w:r>
    </w:p>
    <w:p>
      <w:r>
        <w:t>Najpierw uczestnicy przedstawiają swoje oczekiwania. Następnie poznają krótką grę i rozgrywają rundę próbną. Po próbie można jeszcze raz wyjaśnić trudniejsze reguły.</w:t>
      </w:r>
    </w:p>
    <w:p>
      <w:pPr>
        <w:pStyle w:val="Heading2"/>
      </w:pPr>
      <w:r>
        <w:rPr/>
        <w:t>Role w zespole</w:t>
      </w:r>
    </w:p>
    <w:p>
      <w:r>
        <w:t>Osoba prowadząca tłumaczy zasady. Opiekun materiałów wydaje pudełka i sprawdza ich zawartość. Reporter zapisuje wnioski, a gospodarz sali pilnuje czasu i porządku. Role zmieniamy co spotkanie.</w:t>
      </w:r>
    </w:p>
    <w:p>
      <w:r>
        <w:br w:type="page"/>
      </w:r>
    </w:p>
    <w:p>
      <w:pPr>
        <w:pStyle w:val="Heading1"/>
      </w:pPr>
      <w:r>
        <w:rPr/>
        <w:t>Zasady współpracy</w:t>
      </w:r>
    </w:p>
    <w:p>
      <w:r>
        <w:t>Pozwalamy innym dokończyć wypowiedź. Spór o regułę rozwiązujemy przez sprawdzenie instrukcji. Nie zmieniamy zasad w połowie partii bez zgody wszystkich uczestników.</w:t>
      </w:r>
    </w:p>
    <w:p>
      <w:r>
        <w:t>Wygrana nie jest jedynym celem. Po rozgrywce każdy wskazuje jedną decyzję, z której jest zadowolony, i jedną rzecz, którą następnym razem zrobi inaczej.</w:t>
      </w:r>
    </w:p>
    <w:p>
      <w:pPr>
        <w:pStyle w:val="Heading2"/>
      </w:pPr>
      <w:r>
        <w:rPr/>
        <w:t>Co przygotować</w:t>
      </w:r>
    </w:p>
    <w:p>
      <w:r>
        <w:t>Potrzebujemy dwóch kompletnych gier, zegara, arkusza zapisów i miejsca na odłożenie plecaków. Materiały przechowujemy w opisanych pudełkach. Nie zapisujemy danych osobowych uczestników w ogólnodostępnym pliku.</w:t>
      </w:r>
    </w:p>
    <w:p>
      <w:r>
        <w:br w:type="page"/>
      </w:r>
    </w:p>
    <w:p>
      <w:pPr>
        <w:pStyle w:val="Heading1"/>
      </w:pPr>
      <w:r>
        <w:rPr/>
        <w:t>Jak sprawdzimy efekty</w:t>
      </w:r>
    </w:p>
    <w:p>
      <w:r>
        <w:t>Na koniec spotkania zbieramy krótkie odpowiedzi: co było zrozumiałe, co wymaga wyjaśnienia i którą grę warto poznać następnym razem. Na ich podstawie zespół planuje następne zajęcia.</w:t>
      </w:r>
    </w:p>
    <w:p>
      <w:r>
        <w:t>Reporter zapisuje trzy najczęściej pojawiające się uwagi. Każda powinna dotyczyć zachowania lub rozwiązania organizacyjnego, a nie cech konkretnej osoby. Zamiast pisać, że ktoś był słaby, opisujemy moment, w którym instrukcja okazała się niejasna.</w:t>
      </w:r>
    </w:p>
    <w:p>
      <w:r>
        <w:t>Na kolejnym spotkaniu wracamy do wybranego wniosku. Jeśli poprzednio brakowało czasu na rundę próbną, planujemy krótsze powitanie. Po zmianie sprawdzamy, czy uczestnicy lepiej rozumieją reguły.</w:t>
      </w:r>
    </w:p>
    <w:p>
      <w:r>
        <w:t>Informator klubu aktualizujemy po wspólnej decyzji zespołu. W nagłówku umieść krótką nazwę klubu, a w stopce automatyczny numer strony. Po zmianie stylu Normalny sprawdź cały dokument i upewnij się, że nadal jest czytelny.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Poradnik | strona </w:t>
    </w:r>
    <w:r>
      <w:t xml:space="preserve">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Szkolny klub gier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Szkolny klub gier</dc:title>
  <dc:subject/>
  <dc:creator>Pracownia informatyczna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