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Organizacja szkolnego turnieju</w:t>
      </w:r>
    </w:p>
    <w:p>
      <w:r>
        <w:t>Tekst do ćwiczenia automatycznego spisu treści. Główne działy mają styl Nagłówek 1, podrozdziały Nagłówek 2. Wstaw automatyczny spis pod tym wstępem, a następnie przetestuj jego aktualizację.</w:t>
      </w:r>
    </w:p>
    <w:sdt>
      <w:sdtPr>
        <w:id w:val="114"/>
        <w:docPartObj>
          <w:docPartGallery w:val="Table of Contents"/>
          <w:docPartUnique/>
        </w:docPartObj>
      </w:sdtPr>
      <w:sdtEndPr/>
      <w:sdtContent>
        <w:p>
          <w:pPr>
            <w:pStyle w:val="TOCHeading"/>
          </w:pPr>
          <w:r>
            <w:t xml:space="preserve">Spis treści</w:t>
          </w:r>
        </w:p>
        <w:p>
          <w:pPr>
            <w:pStyle w:val="TOC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0004" w:history="1">
            <w:r>
              <w:rPr>
                <w:rStyle w:val="Hyperlink"/>
                <w:noProof/>
              </w:rPr>
              <w:t xml:space="preserve">Cel wydarzenia — wersja szkolna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06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09" w:history="1">
            <w:r>
              <w:rPr>
                <w:rStyle w:val="Hyperlink"/>
                <w:noProof/>
              </w:rPr>
              <w:t xml:space="preserve">Przygotowanie sali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11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13" w:history="1">
            <w:r>
              <w:rPr>
                <w:rStyle w:val="Hyperlink"/>
                <w:noProof/>
              </w:rPr>
              <w:t xml:space="preserve">Podział zadań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15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18" w:history="1">
            <w:r>
              <w:rPr>
                <w:rStyle w:val="Hyperlink"/>
                <w:noProof/>
              </w:rPr>
              <w:t xml:space="preserve">Przebieg turnieju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20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22" w:history="1">
            <w:r>
              <w:rPr>
                <w:rStyle w:val="Hyperlink"/>
                <w:noProof/>
              </w:rPr>
              <w:t xml:space="preserve">Zasady punktacji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24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26" w:history="1">
            <w:r>
              <w:rPr>
                <w:rStyle w:val="Hyperlink"/>
                <w:noProof/>
              </w:rPr>
              <w:t xml:space="preserve">Podsumowanie i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_Toc2000028" w:history="1">
            <w:r>
              <w:rPr>
                <w:rStyle w:val="Hyperlink"/>
                <w:noProof/>
              </w:rPr>
              <w:t xml:space="preserve">Zadanie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_Toc2000028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_Toc2000030" w:history="1">
            <w:r>
              <w:rPr>
                <w:rStyle w:val="Hyperlink"/>
                <w:noProof/>
              </w:rPr>
              <w:t xml:space="preserve">Kontakt do organizatora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_Toc2000030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rPr>
              <w:b/>
              <w:noProof/>
            </w:rP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01" w:name="_Toc2000004"/>
      <w:r>
        <w:t>Cel wydarzenia — wersja szkolna</w:t>
      </w:r>
      <w:bookmarkEnd w:id="101"/>
    </w:p>
    <w:p>
      <w:r>
        <w:t>Turniej ma umożliwić uczniom poznanie nowych osób i sprawdzenie różnych strategii gry. Wybieramy krótkie rozgrywki, aby każdy mógł uczestniczyć w kilku rundach.</w:t>
      </w:r>
    </w:p>
    <w:p>
      <w:pPr>
        <w:pStyle w:val="Heading2"/>
      </w:pPr>
      <w:bookmarkStart w:id="102" w:name="_Toc2000006"/>
      <w:r>
        <w:t>Zadanie zespołu</w:t>
      </w:r>
      <w:bookmarkEnd w:id="102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r>
        <w:br w:type="page"/>
      </w:r>
    </w:p>
    <w:p>
      <w:pPr>
        <w:pStyle w:val="Heading1"/>
      </w:pPr>
      <w:bookmarkStart w:id="103" w:name="_Toc2000009"/>
      <w:r>
        <w:t>Przygotowanie sali</w:t>
      </w:r>
      <w:bookmarkEnd w:id="103"/>
    </w:p>
    <w:p>
      <w:r>
        <w:t>Stoły ustawiamy tak, aby pomiędzy nimi było swobodne przejście. Każde stanowisko otrzymuje numer. Osobny stolik służy do zapisów i przekazywania wyników.</w:t>
      </w:r>
    </w:p>
    <w:p>
      <w:pPr>
        <w:pStyle w:val="Heading2"/>
      </w:pPr>
      <w:bookmarkStart w:id="104" w:name="_Toc2000011"/>
      <w:r>
        <w:t>Zadanie zespołu</w:t>
      </w:r>
      <w:bookmarkEnd w:id="104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bookmarkStart w:id="105" w:name="_Toc2000013"/>
      <w:r>
        <w:t>Podział zadań</w:t>
      </w:r>
      <w:bookmarkEnd w:id="105"/>
    </w:p>
    <w:p>
      <w:r>
        <w:t>Koordynator zbiera zgłoszenia, sędzia wyjaśnia reguły, a opiekun sprzętu przygotowuje materiały. Każdy zna osobę, do której zgłasza problem.</w:t>
      </w:r>
    </w:p>
    <w:p>
      <w:pPr>
        <w:pStyle w:val="Heading2"/>
      </w:pPr>
      <w:bookmarkStart w:id="106" w:name="_Toc2000015"/>
      <w:r>
        <w:t>Zadanie zespołu</w:t>
      </w:r>
      <w:bookmarkEnd w:id="106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r>
        <w:br w:type="page"/>
      </w:r>
    </w:p>
    <w:p>
      <w:pPr>
        <w:pStyle w:val="Heading1"/>
      </w:pPr>
      <w:bookmarkStart w:id="107" w:name="_Toc2000018"/>
      <w:r>
        <w:t>Przebieg turnieju</w:t>
      </w:r>
      <w:bookmarkEnd w:id="107"/>
    </w:p>
    <w:p>
      <w:r>
        <w:t>Po powitaniu przedstawiamy harmonogram i zasady. Runda próbna pozwala zauważyć niejasności. Wyniki zapisujemy po każdej rundzie, a uczestnicy potwierdzają ich poprawność.</w:t>
      </w:r>
    </w:p>
    <w:p>
      <w:pPr>
        <w:pStyle w:val="Heading2"/>
      </w:pPr>
      <w:bookmarkStart w:id="108" w:name="_Toc2000020"/>
      <w:r>
        <w:t>Zadanie zespołu</w:t>
      </w:r>
      <w:bookmarkEnd w:id="108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bookmarkStart w:id="109" w:name="_Toc2000022"/>
      <w:r>
        <w:t>Zasady punktacji</w:t>
      </w:r>
      <w:bookmarkEnd w:id="109"/>
    </w:p>
    <w:p>
      <w:r>
        <w:t>Za zwycięstwo przyznajemy trzy punkty, za remis jeden, a za przegraną zero. W razie równej liczby punktów stosujemy wcześniej ogłoszoną zasadę rozstrzygnięcia.</w:t>
      </w:r>
    </w:p>
    <w:p>
      <w:pPr>
        <w:pStyle w:val="Heading2"/>
      </w:pPr>
      <w:bookmarkStart w:id="110" w:name="_Toc2000024"/>
      <w:r>
        <w:t>Zadanie zespołu</w:t>
      </w:r>
      <w:bookmarkEnd w:id="110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bookmarkStart w:id="111" w:name="_Toc2000026"/>
      <w:r>
        <w:t>Podsumowanie i wnioski</w:t>
      </w:r>
      <w:bookmarkEnd w:id="111"/>
    </w:p>
    <w:p>
      <w:r>
        <w:t>Zbieramy opinie o długości rund i czytelności zasad. Wyniki omawiamy bez oceniania osób. Kolejna edycja korzysta z pomysłów zapisanych w podsumowaniu.</w:t>
      </w:r>
    </w:p>
    <w:p>
      <w:pPr>
        <w:pStyle w:val="Heading2"/>
      </w:pPr>
      <w:bookmarkStart w:id="112" w:name="_Toc2000028"/>
      <w:r>
        <w:t>Zadanie zespołu</w:t>
      </w:r>
      <w:bookmarkEnd w:id="112"/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bookmarkStart w:id="113" w:name="_Toc2000030"/>
      <w:r>
        <w:t>Kontakt do organizatora</w:t>
      </w:r>
      <w:bookmarkEnd w:id="113"/>
    </w:p>
    <w:p>
      <w:r>
        <w:t>Pytania dotyczące turnieju zgłaszamy opiekunowi klubu w szkole.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unhideWhenUsed/>
    <w:pPr>
      <w:spacing w:after="100"/>
    </w:pPr>
  </w:style>
  <w:style w:type="paragraph" w:styleId="TOC2">
    <w:name w:val="toc 2"/>
    <w:basedOn w:val="Normal"/>
    <w:uiPriority w:val="39"/>
    <w:unhideWhenUsed/>
    <w:pPr>
      <w:spacing w:after="100"/>
      <w:ind w:left="220"/>
    </w:pPr>
  </w:style>
  <w:style w:type="paragraph" w:styleId="TableofFigures">
    <w:name w:val="table of figures"/>
    <w:basedOn w:val="Normal"/>
    <w:uiPriority w:val="39"/>
    <w:unhideWhenUsed/>
    <w:pPr>
      <w:spacing w:after="0"/>
    </w:pPr>
  </w:style>
  <w:style w:type="character" w:styleId="Hyperlink">
    <w:name w:val="Hyperlink"/>
    <w:basedOn w:val="DefaultParagraphFont"/>
    <w:uiPriority w:val="39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Organizacja szkolnego turnieju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