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Training material – fictional data</w:t>
      </w:r>
    </w:p>
    <w:p>
      <w:r>
        <w:rPr>
          <w:i/>
        </w:rPr>
        <w:t>This document has been prepared for training purposes only. It does not contain real personal data or actual information about students, teachers, institutions or projects.</w:t>
      </w:r>
    </w:p>
    <w:p>
      <w:pPr>
        <w:pStyle w:val="Heading1"/>
      </w:pPr>
      <w:r>
        <w:rPr>
          <w:b w:val="0"/>
          <w:i w:val="0"/>
        </w:rPr>
        <w:t>Variant 1: Humanities (Ethics and Culture)</w:t>
      </w:r>
    </w:p>
    <w:p>
      <w:r>
        <w:rPr>
          <w:b/>
          <w:i w:val="0"/>
        </w:rPr>
        <w:t>EXAMPLE 1</w:t>
      </w:r>
    </w:p>
    <w:p>
      <w:r>
        <w:rPr>
          <w:b/>
          <w:i w:val="0"/>
        </w:rPr>
        <w:t>TOPIC: Fluid identity in the age of postmodernity</w:t>
      </w:r>
    </w:p>
    <w:p>
      <w:r>
        <w:rPr>
          <w:b w:val="0"/>
          <w:i w:val="0"/>
        </w:rPr>
        <w:t>Contemporary reflection on the anthropological condition of human beings in late modernity requires questions about the durability of the foundations on which individuals construct their identity. The traditional model of self-creation, based on stable class, national or religious affiliations, has eroded rapidly in recent decades. It has given way to the paradigm of “fluid” identity, marked by constant renegotiation of the self depending on changing market and social contexts.</w:t>
      </w:r>
    </w:p>
    <w:p>
      <w:r>
        <w:rPr>
          <w:b w:val="0"/>
          <w:i w:val="0"/>
        </w:rPr>
        <w:t>When analysing cultural consumerism, one must note that the postmodern individual is under constant pressure to create the self. The choice of lifestyle becomes an imperative, not only an aesthetic preference. This alienation from stable values leads to a specific atomisation of society. Human relationships lose their original communal character and become instruments for achieving individual goals. The convergence of the private and public spheres, intensified by social media, turns intimacy into an object and a commodity governed by supply and demand in the digital panopticon of modernity.</w:t>
      </w:r>
    </w:p>
    <w:p>
      <w:r>
        <w:rPr>
          <w:b w:val="0"/>
          <w:i w:val="0"/>
        </w:rPr>
        <w:t>A key axiological challenge for the young generation is therefore to find a stable point of reference in a world that promotes immediacy and constant exchange of social roles. This phenomenon, described by researchers as the precarisation of bonds, produces fear of exclusion and a sense of ontological uncertainty. In a world without authorities and stable structures, the burden of defining truth and goodness is shifted entirely onto the individual, who often lacks the tools for reliable self-diagnosis of spiritual needs.</w:t>
      </w:r>
    </w:p>
    <w:p>
      <w:r>
        <w:rPr>
          <w:b/>
          <w:i w:val="0"/>
        </w:rPr>
        <w:t>EXAMPLE 2</w:t>
      </w:r>
    </w:p>
    <w:p>
      <w:r>
        <w:rPr>
          <w:b/>
          <w:i w:val="0"/>
        </w:rPr>
        <w:t>TOPIC: Neurobiological conditions of mnemonic processes in teaching</w:t>
      </w:r>
    </w:p>
    <w:p>
      <w:r>
        <w:rPr>
          <w:b w:val="0"/>
          <w:i w:val="0"/>
        </w:rPr>
        <w:t>The effectiveness of transferring information from working memory to long-term memory resources is directly correlated with the intensity of memory-trace consolidation processes taking place in the hippocampus under the influence of varied sensory stimuli. From the perspective of neurodidactics, a key aspect of optimising the teaching process is avoiding proactive interference, which inhibits the acquisition of new knowledge through previously formed structures. In school practice this often appears as reduced perception during monological forms of content delivery.</w:t>
      </w:r>
    </w:p>
    <w:p>
      <w:r>
        <w:rPr>
          <w:b w:val="0"/>
          <w:i w:val="0"/>
        </w:rPr>
        <w:t>When analysing the paradigm of emotion-based learning, it should be stated that neuroplasticity, understood as the brain’s ability to form new synaptic connections, is stimulated by neurotransmitters released during exposure to novelty and cognitive challenges of moderate difficulty. Interdisciplinary strategies that build associations between declarative and procedural knowledge allow new concepts to be anchored permanently in the student’s semantic network. As a result, the call to replace transmission methods with cognitive activation is supported by research on NMDA receptor density, which forms the molecular basis of long-term synaptic strengthening needed for knowledge retention over time.</w:t>
      </w:r>
    </w:p>
    <w:p>
      <w:pPr>
        <w:pStyle w:val="Heading1"/>
      </w:pPr>
      <w:r>
        <w:rPr>
          <w:b w:val="0"/>
          <w:i w:val="0"/>
        </w:rPr>
        <w:t>Variant 2: Vocational / Technical</w:t>
      </w:r>
    </w:p>
    <w:p>
      <w:r>
        <w:rPr>
          <w:b/>
          <w:i w:val="0"/>
        </w:rPr>
        <w:t>EXAMPLE 1</w:t>
      </w:r>
    </w:p>
    <w:p>
      <w:r>
        <w:rPr>
          <w:b/>
          <w:i w:val="0"/>
        </w:rPr>
        <w:t>TOPIC: Mechatronics and control systems in Industry 4.0</w:t>
      </w:r>
    </w:p>
    <w:p>
      <w:r>
        <w:rPr>
          <w:b w:val="0"/>
          <w:i w:val="0"/>
        </w:rPr>
        <w:t>The implementation of modern control systems in robotic production lines is based on integrating advanced mechatronic systems that use feedback signals to regulate process parameters precisely in real time. A key aspect of such structures is component interoperability, achieved through communication protocols that determine the speed and reliability of data transmission between the central unit and actuators.</w:t>
      </w:r>
    </w:p>
    <w:p>
      <w:r>
        <w:rPr>
          <w:b w:val="0"/>
          <w:i w:val="0"/>
        </w:rPr>
        <w:t>The parameterisation of PLC logic controllers requires the operator not only to be fluent in structured programming languages, but above all to analyse network topology in depth and understand hysteresis in temperature or pressure control systems. Incorrect calibration of measuring transducers or ignoring the inertia of controlled objects may destabilise the error loop and, in extreme cases, cause failure of the machine’s entire kinematic chain. In the Industry 4.0 paradigm, particular emphasis is placed on predictive diagnostics, which uses intelligent sensors to detect vibration or temperature anomalies before physical damage occurs. Optimisation algorithms reduce energy losses while maximising cycle efficiency, which supports the competitiveness of modern manufacturing companies using advanced process automation.</w:t>
      </w:r>
    </w:p>
    <w:p>
      <w:r>
        <w:rPr>
          <w:b/>
          <w:i w:val="0"/>
        </w:rPr>
        <w:t>EXAMPLE 2</w:t>
      </w:r>
    </w:p>
    <w:p>
      <w:r>
        <w:rPr>
          <w:b/>
          <w:i w:val="0"/>
        </w:rPr>
        <w:t>TOPIC: Implementing the Industry 4.0 paradigm</w:t>
      </w:r>
    </w:p>
    <w:p>
      <w:r>
        <w:rPr>
          <w:b w:val="0"/>
          <w:i/>
        </w:rPr>
        <w:t>Source and inspiration: Text prepared on the basis of curriculum assumptions for technical professions, including mechatronics technician and automation technician.</w:t>
      </w:r>
    </w:p>
    <w:p>
      <w:r>
        <w:rPr>
          <w:b w:val="0"/>
          <w:i w:val="0"/>
        </w:rPr>
        <w:t>The current phase of technological transformation, commonly called the fourth industrial revolution, is based on the full integration of cyber-physical systems with manufacturing processes. This leads to intelligent factories capable of autonomous resource optimisation. A key factor determining the success of these solutions is the interoperability of individual execution components, achieved through advanced communication protocols that enable smooth real-time data exchange between different hardware architectures.</w:t>
      </w:r>
    </w:p>
    <w:p>
      <w:r>
        <w:rPr>
          <w:b w:val="0"/>
          <w:i w:val="0"/>
        </w:rPr>
        <w:t>When analysing the structure of a modern production plant, particular attention should be paid to predictive diagnostics. By using IoT sensors and machine-learning algorithms, it enables precise forecasting of potential failures before they actually occur, reducing technological downtime. This process is closely connected with processing huge datasets known as Big Data. Their analysis helps remove bottlenecks in the supply chain and dynamically adjust machining parameters to current quality requirements.</w:t>
      </w:r>
    </w:p>
    <w:p>
      <w:r>
        <w:rPr>
          <w:b w:val="0"/>
          <w:i w:val="0"/>
        </w:rPr>
        <w:t>The implementation of the Industry 4.0 paradigm requires engineering staff to redefine existing methods of machine-park management. Traditional hierarchical control models give way to distributed structures in which each kinematic element can self-diagnose and report control deviations. The convergence of information and operational technologies creates cybersecurity challenges, because opening production networks to external cloud infrastructure generates new threat vectors. Without proper encryption and authentication procedures, these threats may destabilise business continuity.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