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pPr>
        <w:pStyle w:val="Title"/>
      </w:pPr>
      <w:r>
        <w:t>Project plan for risk analysis</w:t>
      </w:r>
    </w:p>
    <w:p>
      <w:r>
        <w:rPr>
          <w:i/>
        </w:rPr>
        <w:t>Input material for an AI-supported exercise</w:t>
      </w:r>
    </w:p>
    <w:tbl>
      <w:tblPr>
        <w:tblStyle w:val="TableGrid"/>
        <w:tblW w:type="auto" w:w="0"/>
        <w:jc w:val="center"/>
        <w:tblLook w:firstColumn="1" w:firstRow="1" w:lastColumn="0" w:lastRow="0" w:noHBand="0" w:noVBand="1" w:val="04A0"/>
      </w:tblPr>
      <w:tblGrid>
        <w:gridCol w:w="10080"/>
      </w:tblGrid>
      <w:tr>
        <w:tc>
          <w:tcPr>
            <w:tcW w:type="dxa" w:w="10080"/>
            <w:vAlign w:val="top"/>
          </w:tcPr>
          <w:p>
            <w:r>
              <w:rPr>
                <w:sz w:val="20"/>
              </w:rPr>
            </w:r>
            <w:r>
              <w:rPr>
                <w:b w:val="0"/>
                <w:sz w:val="20"/>
              </w:rPr>
              <w:t>Document type: fictional, realistic school activity plan prepared specifically for risk analysis. The document deliberately contains underdefined elements, organisational dependencies and points that require checking.</w:t>
            </w:r>
          </w:p>
        </w:tc>
      </w:tr>
    </w:tbl>
    <w:p>
      <w:pPr>
        <w:pStyle w:val="Heading1"/>
      </w:pPr>
      <w:r>
        <w:rPr>
          <w:b w:val="0"/>
          <w:i w:val="0"/>
        </w:rPr>
        <w:t>1. Project name</w:t>
      </w:r>
    </w:p>
    <w:p>
      <w:r>
        <w:rPr>
          <w:b w:val="0"/>
          <w:i w:val="0"/>
        </w:rPr>
        <w:t>“Professions in Practice – a school meeting with vocational education and the local labour market”</w:t>
      </w:r>
    </w:p>
    <w:p>
      <w:pPr>
        <w:pStyle w:val="Heading1"/>
      </w:pPr>
      <w:r>
        <w:rPr>
          <w:b w:val="0"/>
          <w:i w:val="0"/>
        </w:rPr>
        <w:t>2. Project goal</w:t>
      </w:r>
    </w:p>
    <w:p>
      <w:r>
        <w:rPr>
          <w:b w:val="0"/>
          <w:i w:val="0"/>
        </w:rPr>
        <w:t>The goal of the project is to prepare a one-day event promoting vocational education among students, parents and local partners. The event should show that choosing a vocational pathway can be practical, modern and connected with real labour-market needs.</w:t>
      </w:r>
    </w:p>
    <w:p>
      <w:pPr>
        <w:pStyle w:val="ListBullet"/>
      </w:pPr>
      <w:r>
        <w:rPr>
          <w:b w:val="0"/>
          <w:i w:val="0"/>
        </w:rPr>
        <w:t>presenting selected professions through short demonstrations and practical stands;</w:t>
      </w:r>
    </w:p>
    <w:p>
      <w:pPr>
        <w:pStyle w:val="ListBullet"/>
      </w:pPr>
      <w:r>
        <w:rPr>
          <w:b w:val="0"/>
          <w:i w:val="0"/>
        </w:rPr>
        <w:t>showing the school’s cooperation with employers, educational institutions and organisations supporting career guidance;</w:t>
      </w:r>
    </w:p>
    <w:p>
      <w:pPr>
        <w:pStyle w:val="ListBullet"/>
      </w:pPr>
      <w:r>
        <w:rPr>
          <w:b w:val="0"/>
          <w:i w:val="0"/>
        </w:rPr>
        <w:t>encouraging students to learn about different professions, tools and possible development paths;</w:t>
      </w:r>
    </w:p>
    <w:p>
      <w:pPr>
        <w:pStyle w:val="ListBullet"/>
      </w:pPr>
      <w:r>
        <w:rPr>
          <w:b w:val="0"/>
          <w:i w:val="0"/>
        </w:rPr>
        <w:t>preparing an open event for students, parents, teachers and invited partners.</w:t>
      </w:r>
    </w:p>
    <w:p>
      <w:pPr>
        <w:pStyle w:val="Heading1"/>
      </w:pPr>
      <w:r>
        <w:rPr>
          <w:b w:val="0"/>
          <w:i w:val="0"/>
        </w:rPr>
        <w:t>3. Target groups</w:t>
      </w:r>
    </w:p>
    <w:p>
      <w:r>
        <w:rPr>
          <w:b w:val="0"/>
          <w:i w:val="0"/>
        </w:rPr>
        <w:t>The planned event is addressed to several groups with different information and organisational needs:</w:t>
      </w:r>
    </w:p>
    <w:p>
      <w:pPr>
        <w:pStyle w:val="ListBullet"/>
      </w:pPr>
      <w:r>
        <w:rPr>
          <w:b w:val="0"/>
          <w:i w:val="0"/>
        </w:rPr>
        <w:t>students finishing primary school and younger upper secondary students interested in choosing a profession;</w:t>
      </w:r>
    </w:p>
    <w:p>
      <w:pPr>
        <w:pStyle w:val="ListBullet"/>
      </w:pPr>
      <w:r>
        <w:rPr>
          <w:b w:val="0"/>
          <w:i w:val="0"/>
        </w:rPr>
        <w:t>parents and guardians who want to learn about further education and practical vocational training;</w:t>
      </w:r>
    </w:p>
    <w:p>
      <w:pPr>
        <w:pStyle w:val="ListBullet"/>
      </w:pPr>
      <w:r>
        <w:rPr>
          <w:b w:val="0"/>
          <w:i w:val="0"/>
        </w:rPr>
        <w:t>teachers and class tutors supporting students in planning an educational path;</w:t>
      </w:r>
    </w:p>
    <w:p>
      <w:pPr>
        <w:pStyle w:val="ListBullet"/>
      </w:pPr>
      <w:r>
        <w:rPr>
          <w:b w:val="0"/>
          <w:i w:val="0"/>
        </w:rPr>
        <w:t>local employers who can present expectations toward future employees;</w:t>
      </w:r>
    </w:p>
    <w:p>
      <w:pPr>
        <w:pStyle w:val="ListBullet"/>
      </w:pPr>
      <w:r>
        <w:rPr>
          <w:b w:val="0"/>
          <w:i w:val="0"/>
        </w:rPr>
        <w:t>educational partners, career advisers and representatives of institutions supporting vocational education.</w:t>
      </w:r>
    </w:p>
    <w:p>
      <w:r>
        <w:rPr>
          <w:b w:val="0"/>
          <w:i w:val="0"/>
        </w:rPr>
        <w:t>At this stage there is no full participant list or final number of groups. Registrations are expected to be collected through an online form and directly by class tutors.</w:t>
      </w:r>
    </w:p>
    <w:p>
      <w:pPr>
        <w:pStyle w:val="Heading1"/>
      </w:pPr>
      <w:r>
        <w:rPr>
          <w:b w:val="0"/>
          <w:i w:val="0"/>
        </w:rPr>
        <w:t>4. Scope of activities</w:t>
      </w:r>
    </w:p>
    <w:p>
      <w:r>
        <w:rPr>
          <w:b w:val="0"/>
          <w:i w:val="0"/>
        </w:rPr>
        <w:t>The project includes the following activities:</w:t>
      </w:r>
    </w:p>
    <w:p>
      <w:pPr>
        <w:pStyle w:val="ListBullet"/>
      </w:pPr>
      <w:r>
        <w:rPr>
          <w:b w:val="0"/>
          <w:i w:val="0"/>
        </w:rPr>
        <w:t>preparing 8-10 vocational stands showing practical tasks, tools and sample duties in different sectors;</w:t>
      </w:r>
    </w:p>
    <w:p>
      <w:pPr>
        <w:pStyle w:val="ListBullet"/>
      </w:pPr>
      <w:r>
        <w:rPr>
          <w:b w:val="0"/>
          <w:i w:val="0"/>
        </w:rPr>
        <w:t>short presentations for students and parents about vocational learning, apprenticeships and cooperation with employers;</w:t>
      </w:r>
    </w:p>
    <w:p>
      <w:pPr>
        <w:pStyle w:val="ListBullet"/>
      </w:pPr>
      <w:r>
        <w:rPr>
          <w:b w:val="0"/>
          <w:i w:val="0"/>
        </w:rPr>
        <w:t>workshops led by teachers and invited partners, such as “try a vocational task”, “learn about work tools”, “ask an employer”;</w:t>
      </w:r>
    </w:p>
    <w:p>
      <w:pPr>
        <w:pStyle w:val="ListBullet"/>
      </w:pPr>
      <w:r>
        <w:rPr>
          <w:b w:val="0"/>
          <w:i w:val="0"/>
        </w:rPr>
        <w:t>meetings with local employers who present examples of jobs and skills important in a given sector;</w:t>
      </w:r>
    </w:p>
    <w:p>
      <w:pPr>
        <w:pStyle w:val="ListBullet"/>
      </w:pPr>
      <w:r>
        <w:rPr>
          <w:b w:val="0"/>
          <w:i w:val="0"/>
        </w:rPr>
        <w:t>preparing a poster, short invitation text, website information and social media posts;</w:t>
      </w:r>
    </w:p>
    <w:p>
      <w:pPr>
        <w:pStyle w:val="ListBullet"/>
      </w:pPr>
      <w:r>
        <w:rPr>
          <w:b w:val="0"/>
          <w:i w:val="0"/>
        </w:rPr>
        <w:t>preparing short photo documentation and a summary after the event.</w:t>
      </w:r>
    </w:p>
    <w:p>
      <w:r>
        <w:rPr>
          <w:b w:val="0"/>
          <w:i w:val="0"/>
        </w:rPr>
        <w:t>It has not yet been decided whether all stands will have the same duration. Some presenters declare readiness to prepare materials, but details are to be agreed closer to the event date.</w:t>
      </w:r>
    </w:p>
    <w:p>
      <w:pPr>
        <w:pStyle w:val="Heading1"/>
      </w:pPr>
      <w:r>
        <w:rPr>
          <w:b w:val="0"/>
          <w:i w:val="0"/>
        </w:rPr>
        <w:t>5. Project team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AF2F8"/>
          </w:tcPr>
          <w:p>
            <w:r>
              <w:rPr>
                <w:sz w:val="20"/>
              </w:rPr>
            </w:r>
            <w:r>
              <w:rPr>
                <w:b/>
                <w:sz w:val="20"/>
              </w:rPr>
              <w:t>Role</w:t>
            </w:r>
          </w:p>
        </w:tc>
        <w:tc>
          <w:tcPr>
            <w:tcW w:type="dxa" w:w="3360"/>
            <w:vAlign w:val="top"/>
            <w:shd w:fill="EAF2F8"/>
          </w:tcPr>
          <w:p>
            <w:r>
              <w:rPr>
                <w:sz w:val="20"/>
              </w:rPr>
            </w:r>
            <w:r>
              <w:rPr>
                <w:b/>
                <w:sz w:val="20"/>
              </w:rPr>
              <w:t>Scope of responsibility</w:t>
            </w:r>
          </w:p>
        </w:tc>
        <w:tc>
          <w:tcPr>
            <w:tcW w:type="dxa" w:w="3360"/>
            <w:vAlign w:val="top"/>
            <w:shd w:fill="EAF2F8"/>
          </w:tcPr>
          <w:p>
            <w:r>
              <w:rPr>
                <w:sz w:val="20"/>
              </w:rPr>
            </w:r>
            <w:r>
              <w:rPr>
                <w:b/>
                <w:sz w:val="20"/>
              </w:rPr>
              <w:t>Organisational notes</w:t>
            </w:r>
          </w:p>
        </w:tc>
      </w:tr>
      <w:tr>
        <w:tc>
          <w:tcPr>
            <w:tcW w:type="dxa" w:w="3360"/>
            <w:vAlign w:val="top"/>
          </w:tcPr>
          <w:p>
            <w:r>
              <w:rPr>
                <w:sz w:val="20"/>
              </w:rPr>
            </w:r>
            <w:r>
              <w:rPr>
                <w:b w:val="0"/>
                <w:sz w:val="20"/>
              </w:rPr>
              <w:t>Project coordinator</w:t>
            </w:r>
          </w:p>
        </w:tc>
        <w:tc>
          <w:tcPr>
            <w:tcW w:type="dxa" w:w="3360"/>
            <w:vAlign w:val="top"/>
          </w:tcPr>
          <w:p>
            <w:r>
              <w:rPr>
                <w:sz w:val="20"/>
              </w:rPr>
            </w:r>
            <w:r>
              <w:rPr>
                <w:b w:val="0"/>
                <w:sz w:val="20"/>
              </w:rPr>
              <w:t>supervision of event preparation, contact with school management, approval of the programme</w:t>
            </w:r>
          </w:p>
        </w:tc>
        <w:tc>
          <w:tcPr>
            <w:tcW w:type="dxa" w:w="3360"/>
            <w:vAlign w:val="top"/>
          </w:tcPr>
          <w:p>
            <w:r>
              <w:rPr>
                <w:sz w:val="20"/>
              </w:rPr>
            </w:r>
            <w:r>
              <w:rPr>
                <w:b w:val="0"/>
                <w:sz w:val="20"/>
              </w:rPr>
              <w:t>the coordinator also handles some partner contacts and approves promotional materials</w:t>
            </w:r>
          </w:p>
        </w:tc>
      </w:tr>
      <w:tr>
        <w:tc>
          <w:tcPr>
            <w:tcW w:type="dxa" w:w="3360"/>
            <w:vAlign w:val="top"/>
          </w:tcPr>
          <w:p>
            <w:r>
              <w:rPr>
                <w:sz w:val="20"/>
              </w:rPr>
            </w:r>
            <w:r>
              <w:rPr>
                <w:b w:val="0"/>
                <w:sz w:val="20"/>
              </w:rPr>
              <w:t>Partner contact person</w:t>
            </w:r>
          </w:p>
        </w:tc>
        <w:tc>
          <w:tcPr>
            <w:tcW w:type="dxa" w:w="3360"/>
            <w:vAlign w:val="top"/>
          </w:tcPr>
          <w:p>
            <w:r>
              <w:rPr>
                <w:sz w:val="20"/>
              </w:rPr>
            </w:r>
            <w:r>
              <w:rPr>
                <w:b w:val="0"/>
                <w:sz w:val="20"/>
              </w:rPr>
              <w:t>invitations, confirming participation, collecting stand descriptions</w:t>
            </w:r>
          </w:p>
        </w:tc>
        <w:tc>
          <w:tcPr>
            <w:tcW w:type="dxa" w:w="3360"/>
            <w:vAlign w:val="top"/>
          </w:tcPr>
          <w:p>
            <w:r>
              <w:rPr>
                <w:sz w:val="20"/>
              </w:rPr>
            </w:r>
            <w:r>
              <w:rPr>
                <w:b w:val="0"/>
                <w:sz w:val="20"/>
              </w:rPr>
              <w:t>no replacement person has been indicated in case of absence</w:t>
            </w:r>
          </w:p>
        </w:tc>
      </w:tr>
      <w:tr>
        <w:tc>
          <w:tcPr>
            <w:tcW w:type="dxa" w:w="3360"/>
            <w:vAlign w:val="top"/>
          </w:tcPr>
          <w:p>
            <w:r>
              <w:rPr>
                <w:sz w:val="20"/>
              </w:rPr>
            </w:r>
            <w:r>
              <w:rPr>
                <w:b w:val="0"/>
                <w:sz w:val="20"/>
              </w:rPr>
              <w:t>Promotion person</w:t>
            </w:r>
          </w:p>
        </w:tc>
        <w:tc>
          <w:tcPr>
            <w:tcW w:type="dxa" w:w="3360"/>
            <w:vAlign w:val="top"/>
          </w:tcPr>
          <w:p>
            <w:r>
              <w:rPr>
                <w:sz w:val="20"/>
              </w:rPr>
            </w:r>
            <w:r>
              <w:rPr>
                <w:b w:val="0"/>
                <w:sz w:val="20"/>
              </w:rPr>
              <w:t>poster, social media posts, short website information</w:t>
            </w:r>
          </w:p>
        </w:tc>
        <w:tc>
          <w:tcPr>
            <w:tcW w:type="dxa" w:w="3360"/>
            <w:vAlign w:val="top"/>
          </w:tcPr>
          <w:p>
            <w:r>
              <w:rPr>
                <w:sz w:val="20"/>
              </w:rPr>
            </w:r>
            <w:r>
              <w:rPr>
                <w:b w:val="0"/>
                <w:sz w:val="20"/>
              </w:rPr>
              <w:t>publication should start after programme approval</w:t>
            </w:r>
          </w:p>
        </w:tc>
      </w:tr>
      <w:tr>
        <w:tc>
          <w:tcPr>
            <w:tcW w:type="dxa" w:w="3360"/>
            <w:vAlign w:val="top"/>
          </w:tcPr>
          <w:p>
            <w:r>
              <w:rPr>
                <w:sz w:val="20"/>
              </w:rPr>
            </w:r>
            <w:r>
              <w:rPr>
                <w:b w:val="0"/>
                <w:sz w:val="20"/>
              </w:rPr>
              <w:t>Supporting teachers</w:t>
            </w:r>
          </w:p>
        </w:tc>
        <w:tc>
          <w:tcPr>
            <w:tcW w:type="dxa" w:w="3360"/>
            <w:vAlign w:val="top"/>
          </w:tcPr>
          <w:p>
            <w:r>
              <w:rPr>
                <w:sz w:val="20"/>
              </w:rPr>
            </w:r>
            <w:r>
              <w:rPr>
                <w:b w:val="0"/>
                <w:sz w:val="20"/>
              </w:rPr>
              <w:t>running stands, supporting workshops, supervising students</w:t>
            </w:r>
          </w:p>
        </w:tc>
        <w:tc>
          <w:tcPr>
            <w:tcW w:type="dxa" w:w="3360"/>
            <w:vAlign w:val="top"/>
          </w:tcPr>
          <w:p>
            <w:r>
              <w:rPr>
                <w:sz w:val="20"/>
              </w:rPr>
            </w:r>
            <w:r>
              <w:rPr>
                <w:b w:val="0"/>
                <w:sz w:val="20"/>
              </w:rPr>
              <w:t>exact room assignment will be prepared after confirming the number of stands</w:t>
            </w:r>
          </w:p>
        </w:tc>
      </w:tr>
      <w:tr>
        <w:tc>
          <w:tcPr>
            <w:tcW w:type="dxa" w:w="3360"/>
            <w:vAlign w:val="top"/>
          </w:tcPr>
          <w:p>
            <w:r>
              <w:rPr>
                <w:sz w:val="20"/>
              </w:rPr>
            </w:r>
            <w:r>
              <w:rPr>
                <w:b w:val="0"/>
                <w:sz w:val="20"/>
              </w:rPr>
              <w:t>Student volunteers</w:t>
            </w:r>
          </w:p>
        </w:tc>
        <w:tc>
          <w:tcPr>
            <w:tcW w:type="dxa" w:w="3360"/>
            <w:vAlign w:val="top"/>
          </w:tcPr>
          <w:p>
            <w:r>
              <w:rPr>
                <w:sz w:val="20"/>
              </w:rPr>
            </w:r>
            <w:r>
              <w:rPr>
                <w:b w:val="0"/>
                <w:sz w:val="20"/>
              </w:rPr>
              <w:t>help directing guests, registration support, stand support</w:t>
            </w:r>
          </w:p>
        </w:tc>
        <w:tc>
          <w:tcPr>
            <w:tcW w:type="dxa" w:w="3360"/>
            <w:vAlign w:val="top"/>
          </w:tcPr>
          <w:p>
            <w:r>
              <w:rPr>
                <w:sz w:val="20"/>
              </w:rPr>
            </w:r>
            <w:r>
              <w:rPr>
                <w:b w:val="0"/>
                <w:sz w:val="20"/>
              </w:rPr>
              <w:t>the volunteer list is initial and requires confirmation</w:t>
            </w:r>
          </w:p>
        </w:tc>
      </w:tr>
      <w:tr>
        <w:tc>
          <w:tcPr>
            <w:tcW w:type="dxa" w:w="3360"/>
            <w:vAlign w:val="top"/>
          </w:tcPr>
          <w:p>
            <w:r>
              <w:rPr>
                <w:sz w:val="20"/>
              </w:rPr>
            </w:r>
            <w:r>
              <w:rPr>
                <w:b w:val="0"/>
                <w:sz w:val="20"/>
              </w:rPr>
              <w:t>Logistics person</w:t>
            </w:r>
          </w:p>
        </w:tc>
        <w:tc>
          <w:tcPr>
            <w:tcW w:type="dxa" w:w="3360"/>
            <w:vAlign w:val="top"/>
          </w:tcPr>
          <w:p>
            <w:r>
              <w:rPr>
                <w:sz w:val="20"/>
              </w:rPr>
            </w:r>
            <w:r>
              <w:rPr>
                <w:b w:val="0"/>
                <w:sz w:val="20"/>
              </w:rPr>
              <w:t>rooms, table layout, equipment, direction signs, group entry schedule</w:t>
            </w:r>
          </w:p>
        </w:tc>
        <w:tc>
          <w:tcPr>
            <w:tcW w:type="dxa" w:w="3360"/>
            <w:vAlign w:val="top"/>
          </w:tcPr>
          <w:p>
            <w:r>
              <w:rPr>
                <w:sz w:val="20"/>
              </w:rPr>
            </w:r>
            <w:r>
              <w:rPr>
                <w:b w:val="0"/>
                <w:sz w:val="20"/>
              </w:rPr>
              <w:t>some logistics tasks depend on information from partners</w:t>
            </w:r>
          </w:p>
        </w:tc>
      </w:tr>
    </w:tbl>
    <w:p>
      <w:pPr>
        <w:pStyle w:val="Heading1"/>
      </w:pPr>
      <w:r>
        <w:rPr>
          <w:b w:val="0"/>
          <w:i w:val="0"/>
        </w:rPr>
        <w:t>6. Schedule</w:t>
      </w:r>
    </w:p>
    <w:p>
      <w:r>
        <w:rPr>
          <w:b w:val="0"/>
          <w:i w:val="0"/>
        </w:rPr>
        <w:t>Planned event date: Friday in the fourth week of preparation. The schedule covers four weeks of 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EAF2F8"/>
          </w:tcPr>
          <w:p>
            <w:r>
              <w:rPr>
                <w:sz w:val="20"/>
              </w:rPr>
            </w:r>
            <w:r>
              <w:rPr>
                <w:b/>
                <w:sz w:val="20"/>
              </w:rPr>
              <w:t>Week</w:t>
            </w:r>
          </w:p>
        </w:tc>
        <w:tc>
          <w:tcPr>
            <w:tcW w:type="dxa" w:w="2520"/>
            <w:vAlign w:val="top"/>
            <w:shd w:fill="EAF2F8"/>
          </w:tcPr>
          <w:p>
            <w:r>
              <w:rPr>
                <w:sz w:val="20"/>
              </w:rPr>
            </w:r>
            <w:r>
              <w:rPr>
                <w:b/>
                <w:sz w:val="20"/>
              </w:rPr>
              <w:t>Tasks</w:t>
            </w:r>
          </w:p>
        </w:tc>
        <w:tc>
          <w:tcPr>
            <w:tcW w:type="dxa" w:w="2520"/>
            <w:vAlign w:val="top"/>
            <w:shd w:fill="EAF2F8"/>
          </w:tcPr>
          <w:p>
            <w:r>
              <w:rPr>
                <w:sz w:val="20"/>
              </w:rPr>
            </w:r>
            <w:r>
              <w:rPr>
                <w:b/>
                <w:sz w:val="20"/>
              </w:rPr>
              <w:t>Responsibility</w:t>
            </w:r>
          </w:p>
        </w:tc>
        <w:tc>
          <w:tcPr>
            <w:tcW w:type="dxa" w:w="2520"/>
            <w:vAlign w:val="top"/>
            <w:shd w:fill="EAF2F8"/>
          </w:tcPr>
          <w:p>
            <w:r>
              <w:rPr>
                <w:sz w:val="20"/>
              </w:rPr>
            </w:r>
            <w:r>
              <w:rPr>
                <w:b/>
                <w:sz w:val="20"/>
              </w:rPr>
              <w:t>Notes</w:t>
            </w:r>
          </w:p>
        </w:tc>
      </w:tr>
      <w:tr>
        <w:tc>
          <w:tcPr>
            <w:tcW w:type="dxa" w:w="2520"/>
            <w:vAlign w:val="top"/>
          </w:tcPr>
          <w:p>
            <w:r>
              <w:rPr>
                <w:sz w:val="20"/>
              </w:rPr>
            </w:r>
            <w:r>
              <w:rPr>
                <w:b w:val="0"/>
                <w:sz w:val="20"/>
              </w:rPr>
              <w:t>Week 1</w:t>
            </w:r>
          </w:p>
        </w:tc>
        <w:tc>
          <w:tcPr>
            <w:tcW w:type="dxa" w:w="2520"/>
            <w:vAlign w:val="top"/>
          </w:tcPr>
          <w:p>
            <w:r>
              <w:rPr>
                <w:sz w:val="20"/>
              </w:rPr>
            </w:r>
            <w:r>
              <w:rPr>
                <w:b w:val="0"/>
                <w:sz w:val="20"/>
              </w:rPr>
              <w:t>agree the initial event concept; identify target groups; prepare a list of potential partners; select rooms initially</w:t>
            </w:r>
          </w:p>
        </w:tc>
        <w:tc>
          <w:tcPr>
            <w:tcW w:type="dxa" w:w="2520"/>
            <w:vAlign w:val="top"/>
          </w:tcPr>
          <w:p>
            <w:r>
              <w:rPr>
                <w:sz w:val="20"/>
              </w:rPr>
            </w:r>
            <w:r>
              <w:rPr>
                <w:b w:val="0"/>
                <w:sz w:val="20"/>
              </w:rPr>
              <w:t>coordinator, partner contact person, logistics</w:t>
            </w:r>
          </w:p>
        </w:tc>
        <w:tc>
          <w:tcPr>
            <w:tcW w:type="dxa" w:w="2520"/>
            <w:vAlign w:val="top"/>
          </w:tcPr>
          <w:p>
            <w:r>
              <w:rPr>
                <w:sz w:val="20"/>
              </w:rPr>
            </w:r>
            <w:r>
              <w:rPr>
                <w:b w:val="0"/>
                <w:sz w:val="20"/>
              </w:rPr>
              <w:t>the partner list is based on earlier contacts; the final participation confirmation deadline has not yet been defined</w:t>
            </w:r>
          </w:p>
        </w:tc>
      </w:tr>
      <w:tr>
        <w:tc>
          <w:tcPr>
            <w:tcW w:type="dxa" w:w="2520"/>
            <w:vAlign w:val="top"/>
          </w:tcPr>
          <w:p>
            <w:r>
              <w:rPr>
                <w:sz w:val="20"/>
              </w:rPr>
            </w:r>
            <w:r>
              <w:rPr>
                <w:b w:val="0"/>
                <w:sz w:val="20"/>
              </w:rPr>
              <w:t>Week 2</w:t>
            </w:r>
          </w:p>
        </w:tc>
        <w:tc>
          <w:tcPr>
            <w:tcW w:type="dxa" w:w="2520"/>
            <w:vAlign w:val="top"/>
          </w:tcPr>
          <w:p>
            <w:r>
              <w:rPr>
                <w:sz w:val="20"/>
              </w:rPr>
            </w:r>
            <w:r>
              <w:rPr>
                <w:b w:val="0"/>
                <w:sz w:val="20"/>
              </w:rPr>
              <w:t>send invitations to partners; collect stand proposals; prepare a poster draft; speak with teachers about availability</w:t>
            </w:r>
          </w:p>
        </w:tc>
        <w:tc>
          <w:tcPr>
            <w:tcW w:type="dxa" w:w="2520"/>
            <w:vAlign w:val="top"/>
          </w:tcPr>
          <w:p>
            <w:r>
              <w:rPr>
                <w:sz w:val="20"/>
              </w:rPr>
            </w:r>
            <w:r>
              <w:rPr>
                <w:b w:val="0"/>
                <w:sz w:val="20"/>
              </w:rPr>
              <w:t>partner contact person, promotion person, coordinator</w:t>
            </w:r>
          </w:p>
        </w:tc>
        <w:tc>
          <w:tcPr>
            <w:tcW w:type="dxa" w:w="2520"/>
            <w:vAlign w:val="top"/>
          </w:tcPr>
          <w:p>
            <w:r>
              <w:rPr>
                <w:sz w:val="20"/>
              </w:rPr>
            </w:r>
            <w:r>
              <w:rPr>
                <w:b w:val="0"/>
                <w:sz w:val="20"/>
              </w:rPr>
              <w:t>invitations are to be sent only at the end of the week; several decisions require coordinator approval</w:t>
            </w:r>
          </w:p>
        </w:tc>
      </w:tr>
      <w:tr>
        <w:tc>
          <w:tcPr>
            <w:tcW w:type="dxa" w:w="2520"/>
            <w:vAlign w:val="top"/>
          </w:tcPr>
          <w:p>
            <w:r>
              <w:rPr>
                <w:sz w:val="20"/>
              </w:rPr>
            </w:r>
            <w:r>
              <w:rPr>
                <w:b w:val="0"/>
                <w:sz w:val="20"/>
              </w:rPr>
              <w:t>Week 3</w:t>
            </w:r>
          </w:p>
        </w:tc>
        <w:tc>
          <w:tcPr>
            <w:tcW w:type="dxa" w:w="2520"/>
            <w:vAlign w:val="top"/>
          </w:tcPr>
          <w:p>
            <w:r>
              <w:rPr>
                <w:sz w:val="20"/>
              </w:rPr>
            </w:r>
            <w:r>
              <w:rPr>
                <w:b w:val="0"/>
                <w:sz w:val="20"/>
              </w:rPr>
              <w:t>develop the event programme; allocate rooms; publish social media information; determine the number of student volunteers</w:t>
            </w:r>
          </w:p>
        </w:tc>
        <w:tc>
          <w:tcPr>
            <w:tcW w:type="dxa" w:w="2520"/>
            <w:vAlign w:val="top"/>
          </w:tcPr>
          <w:p>
            <w:r>
              <w:rPr>
                <w:sz w:val="20"/>
              </w:rPr>
            </w:r>
            <w:r>
              <w:rPr>
                <w:b w:val="0"/>
                <w:sz w:val="20"/>
              </w:rPr>
              <w:t>coordinator, logistics, promotion</w:t>
            </w:r>
          </w:p>
        </w:tc>
        <w:tc>
          <w:tcPr>
            <w:tcW w:type="dxa" w:w="2520"/>
            <w:vAlign w:val="top"/>
          </w:tcPr>
          <w:p>
            <w:r>
              <w:rPr>
                <w:sz w:val="20"/>
              </w:rPr>
            </w:r>
            <w:r>
              <w:rPr>
                <w:b w:val="0"/>
                <w:sz w:val="20"/>
              </w:rPr>
              <w:t>the programme depends on partner responses; promotion starts after the poster and text are approved</w:t>
            </w:r>
          </w:p>
        </w:tc>
      </w:tr>
      <w:tr>
        <w:tc>
          <w:tcPr>
            <w:tcW w:type="dxa" w:w="2520"/>
            <w:vAlign w:val="top"/>
          </w:tcPr>
          <w:p>
            <w:r>
              <w:rPr>
                <w:sz w:val="20"/>
              </w:rPr>
            </w:r>
            <w:r>
              <w:rPr>
                <w:b w:val="0"/>
                <w:sz w:val="20"/>
              </w:rPr>
              <w:t>Week 4</w:t>
            </w:r>
          </w:p>
        </w:tc>
        <w:tc>
          <w:tcPr>
            <w:tcW w:type="dxa" w:w="2520"/>
            <w:vAlign w:val="top"/>
          </w:tcPr>
          <w:p>
            <w:r>
              <w:rPr>
                <w:sz w:val="20"/>
              </w:rPr>
            </w:r>
            <w:r>
              <w:rPr>
                <w:b w:val="0"/>
                <w:sz w:val="20"/>
              </w:rPr>
              <w:t>print materials; prepare rooms; confirm presenters’ attendance; pass information to teachers; run the event</w:t>
            </w:r>
          </w:p>
        </w:tc>
        <w:tc>
          <w:tcPr>
            <w:tcW w:type="dxa" w:w="2520"/>
            <w:vAlign w:val="top"/>
          </w:tcPr>
          <w:p>
            <w:r>
              <w:rPr>
                <w:sz w:val="20"/>
              </w:rPr>
            </w:r>
            <w:r>
              <w:rPr>
                <w:b w:val="0"/>
                <w:sz w:val="20"/>
              </w:rPr>
              <w:t>logistics, supporting teachers, coordinator</w:t>
            </w:r>
          </w:p>
        </w:tc>
        <w:tc>
          <w:tcPr>
            <w:tcW w:type="dxa" w:w="2520"/>
            <w:vAlign w:val="top"/>
          </w:tcPr>
          <w:p>
            <w:r>
              <w:rPr>
                <w:sz w:val="20"/>
              </w:rPr>
            </w:r>
            <w:r>
              <w:rPr>
                <w:b w:val="0"/>
                <w:sz w:val="20"/>
              </w:rPr>
              <w:t>confirmations should be collected in the first days of event week; no variant is described for a partner cancelling participation</w:t>
            </w:r>
          </w:p>
        </w:tc>
      </w:tr>
    </w:tbl>
    <w:p>
      <w:pPr>
        <w:pStyle w:val="Heading1"/>
      </w:pPr>
      <w:r>
        <w:rPr>
          <w:b w:val="0"/>
          <w:i w:val="0"/>
        </w:rPr>
        <w:t>7. Dependencies</w:t>
      </w:r>
    </w:p>
    <w:p>
      <w:r>
        <w:rPr>
          <w:b w:val="0"/>
          <w:i w:val="0"/>
        </w:rPr>
        <w:t>The final programme depends on confirmation from external partners and the stand descriptions they prepare.</w:t>
      </w:r>
    </w:p>
    <w:p>
      <w:r>
        <w:rPr>
          <w:b w:val="0"/>
          <w:i w:val="0"/>
        </w:rPr>
        <w:t>Publication of promotional information depends on the finished poster, approved programme and short invitation text.</w:t>
      </w:r>
    </w:p>
    <w:p>
      <w:r>
        <w:rPr>
          <w:b w:val="0"/>
          <w:i w:val="0"/>
        </w:rPr>
        <w:t>Room-use planning depends on the number of stands, number of partners and type of equipment needed at each stand.</w:t>
      </w:r>
    </w:p>
    <w:p>
      <w:r>
        <w:rPr>
          <w:b w:val="0"/>
          <w:i w:val="0"/>
        </w:rPr>
        <w:t>The group entry schedule depends on teacher availability, student numbers and the duration of individual presentations.</w:t>
      </w:r>
    </w:p>
    <w:p>
      <w:r>
        <w:rPr>
          <w:b w:val="0"/>
          <w:i w:val="0"/>
        </w:rPr>
        <w:t>Printing materials depends on the final version of the programme and the number of participants.</w:t>
      </w:r>
    </w:p>
    <w:p>
      <w:r>
        <w:rPr>
          <w:b w:val="0"/>
          <w:i w:val="0"/>
        </w:rPr>
        <w:t>Registration service and directing guests depend on the number of student volunteers, which must be confirmed in the week before the event.</w:t>
      </w:r>
    </w:p>
    <w:p>
      <w:r>
        <w:rPr>
          <w:b w:val="0"/>
          <w:i w:val="0"/>
        </w:rPr>
        <w:t>At this stage it is assumed that in case of changes, the programme will be adjusted by the coordinator and the logistics person as needed.</w:t>
      </w:r>
    </w:p>
    <w:p>
      <w:pPr>
        <w:pStyle w:val="Heading1"/>
      </w:pPr>
      <w:r>
        <w:rPr>
          <w:b w:val="0"/>
          <w:i w:val="0"/>
        </w:rPr>
        <w:t>8. Resources</w:t>
      </w:r>
    </w:p>
    <w:p>
      <w:r>
        <w:rPr>
          <w:b w:val="0"/>
          <w:i w:val="0"/>
        </w:rPr>
        <w:t>Classrooms and one larger shared space for the opening of the event.</w:t>
      </w:r>
    </w:p>
    <w:p>
      <w:r>
        <w:rPr>
          <w:b w:val="0"/>
          <w:i w:val="0"/>
        </w:rPr>
        <w:t>Tables, chairs, information boards and direction signs.</w:t>
      </w:r>
    </w:p>
    <w:p>
      <w:r>
        <w:rPr>
          <w:b w:val="0"/>
          <w:i w:val="0"/>
        </w:rPr>
        <w:t>Projector, screen, extension cords, portable speaker and two school laptops.</w:t>
      </w:r>
    </w:p>
    <w:p>
      <w:r>
        <w:rPr>
          <w:b w:val="0"/>
          <w:i w:val="0"/>
        </w:rPr>
        <w:t>Wireless internet access for presenters and partners.</w:t>
      </w:r>
    </w:p>
    <w:p>
      <w:r>
        <w:rPr>
          <w:b w:val="0"/>
          <w:i w:val="0"/>
        </w:rPr>
        <w:t>Printed materials: event programme, posters, short information cards about professions.</w:t>
      </w:r>
    </w:p>
    <w:p>
      <w:r>
        <w:rPr>
          <w:b w:val="0"/>
          <w:i w:val="0"/>
        </w:rPr>
        <w:t>Student-volunteer support at the entrance, in rooms and when directing groups.</w:t>
      </w:r>
    </w:p>
    <w:p>
      <w:r>
        <w:rPr>
          <w:b w:val="0"/>
          <w:i w:val="0"/>
        </w:rPr>
        <w:t>Teacher time needed to prepare stands, supervise students and summarise the event.</w:t>
      </w:r>
    </w:p>
    <w:p>
      <w:r>
        <w:rPr>
          <w:b w:val="0"/>
          <w:i w:val="0"/>
        </w:rPr>
        <w:t>It has not yet been decided whether external partners bring their own equipment or use school equipment. It is assumed that available equipment will be sufficient if the number of stands does not exceed ten.</w:t>
      </w:r>
    </w:p>
    <w:p>
      <w:pPr>
        <w:pStyle w:val="Heading1"/>
      </w:pPr>
      <w:r>
        <w:rPr>
          <w:b w:val="0"/>
          <w:i w:val="0"/>
        </w:rPr>
        <w:t>9. Constraints</w:t>
      </w:r>
    </w:p>
    <w:p>
      <w:r>
        <w:rPr>
          <w:b w:val="0"/>
          <w:i w:val="0"/>
        </w:rPr>
        <w:t>The budget is limited and mainly covers printing materials, small signs and basic workshop materials.</w:t>
      </w:r>
    </w:p>
    <w:p>
      <w:r>
        <w:rPr>
          <w:b w:val="0"/>
          <w:i w:val="0"/>
        </w:rPr>
        <w:t>Preparation time is four weeks, and some partner information may appear only in the second half of preparation.</w:t>
      </w:r>
    </w:p>
    <w:p>
      <w:r>
        <w:rPr>
          <w:b w:val="0"/>
          <w:i w:val="0"/>
        </w:rPr>
        <w:t>The event depends on external partners’ availability and their ability to arrive on the selected date.</w:t>
      </w:r>
    </w:p>
    <w:p>
      <w:r>
        <w:rPr>
          <w:b w:val="0"/>
          <w:i w:val="0"/>
        </w:rPr>
        <w:t>No backup person has been indicated for key project roles.</w:t>
      </w:r>
    </w:p>
    <w:p>
      <w:r>
        <w:rPr>
          <w:b w:val="0"/>
          <w:i w:val="0"/>
        </w:rPr>
        <w:t>The full participant list will be known only after collecting registrations from teachers and parents.</w:t>
      </w:r>
    </w:p>
    <w:p>
      <w:r>
        <w:rPr>
          <w:b w:val="0"/>
          <w:i w:val="0"/>
        </w:rPr>
        <w:t>Some teachers may have other duties at this time, so their availability must be confirmed.</w:t>
      </w:r>
    </w:p>
    <w:p>
      <w:r>
        <w:rPr>
          <w:b w:val="0"/>
          <w:i w:val="0"/>
        </w:rPr>
        <w:t>It has not yet been defined whether the event will be fully open or whether entry will follow previously registered groups.</w:t>
      </w:r>
    </w:p>
    <w:p>
      <w:pPr>
        <w:pStyle w:val="Heading1"/>
      </w:pPr>
      <w:r>
        <w:rPr>
          <w:b w:val="0"/>
          <w:i w:val="0"/>
        </w:rPr>
        <w:t>10. Hidden risks</w:t>
      </w:r>
    </w:p>
    <w:p>
      <w:r>
        <w:rPr>
          <w:b w:val="0"/>
          <w:i w:val="0"/>
        </w:rPr>
        <w:t>The following information should be treated as part of the organisational plan. Not all elements have been clarified.</w:t>
      </w:r>
    </w:p>
    <w:p>
      <w:r>
        <w:rPr>
          <w:b w:val="0"/>
          <w:i w:val="0"/>
        </w:rPr>
        <w:t>The event is to be documented with photos for a short summary and social media. The method for collecting image-publication consent and marking people who should not be photographed has not yet been described.</w:t>
      </w:r>
    </w:p>
    <w:p>
      <w:r>
        <w:rPr>
          <w:b w:val="0"/>
          <w:i w:val="0"/>
        </w:rPr>
        <w:t>Communication with parents is to be carried out by class tutors, but no common message or emergency contact procedure has been prepared.</w:t>
      </w:r>
    </w:p>
    <w:p>
      <w:r>
        <w:rPr>
          <w:b w:val="0"/>
          <w:i w:val="0"/>
        </w:rPr>
        <w:t>Teachers supervising students at a given time are responsible for general group safety. No single person has been appointed to oversee group flow and react to unusual situations.</w:t>
      </w:r>
    </w:p>
    <w:p>
      <w:r>
        <w:rPr>
          <w:b w:val="0"/>
          <w:i w:val="0"/>
        </w:rPr>
        <w:t>The plan assumes use of the internet and multimedia equipment. No backup equipment list or alternative presentation method without a projector or internet has been prepared.</w:t>
      </w:r>
    </w:p>
    <w:p>
      <w:r>
        <w:rPr>
          <w:b w:val="0"/>
          <w:i w:val="0"/>
        </w:rPr>
        <w:t>Partners are to provide short stand descriptions, but the description format has not yet been agreed. Promotional materials may need updating after partner information is received.</w:t>
      </w:r>
    </w:p>
    <w:p>
      <w:r>
        <w:rPr>
          <w:b w:val="0"/>
          <w:i w:val="0"/>
        </w:rPr>
        <w:t>The coordinator is to approve the programme, promotional content and some logistics decisions. In case of absence, decisions are to be agreed by phone.</w:t>
      </w:r>
    </w:p>
    <w:p>
      <w:r>
        <w:rPr>
          <w:b w:val="0"/>
          <w:i w:val="0"/>
        </w:rPr>
        <w:t>No maximum number of participants per room has been defined, and no method of directing larger groups between stands has been described.</w:t>
      </w:r>
    </w:p>
    <w:p>
      <w:r>
        <w:rPr>
          <w:b w:val="0"/>
          <w:i w:val="0"/>
        </w:rPr>
        <w:t>Student volunteers are expected to be trained on the day before the event. A short instruction for volunteers has not yet been prepared.</w:t>
      </w:r>
    </w:p>
    <w:p>
      <w:r>
        <w:rPr>
          <w:b w:val="0"/>
          <w:i w:val="0"/>
        </w:rPr>
        <w:t>After the event, a short summary is planned, but it has not been decided who will collect feedback from participants and partners.</w:t>
      </w:r>
    </w:p>
    <w:p>
      <w:pPr>
        <w:pStyle w:val="Heading1"/>
      </w:pPr>
      <w:r>
        <w:rPr>
          <w:b w:val="0"/>
          <w:i w:val="0"/>
        </w:rPr>
        <w:t>11. Participant task</w:t>
      </w:r>
    </w:p>
    <w:p>
      <w:r>
        <w:rPr>
          <w:b w:val="0"/>
          <w:i w:val="0"/>
        </w:rPr>
        <w:t>Analyse the plan with AI. Identify main risks, organisational gaps, questions requiring clarification and preventive actions.</w:t>
      </w:r>
    </w:p>
    <w:p>
      <w:r>
        <w:rPr>
          <w:b w:val="0"/>
          <w:i w:val="0"/>
        </w:rPr>
        <w:t>In your response you may prepare a table containing: project area, observed problem, possible consequences, question to the organiser and proposed preventive action.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