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Nagwek1"/>
        <w:jc w:val="left"/>
      </w:pPr>
      <w:r>
        <w:rPr>
          <w:b/>
          <w:sz w:val="24"/>
        </w:rPr>
        <w:t>Materiał ćwiczeniowy – dane fikcyjne</w:t>
      </w:r>
    </w:p>
    <w:p>
      <w:pPr>
        <w:spacing w:after="160"/>
      </w:pPr>
      <w:r>
        <w:t>Dokument został przygotowany wyłącznie na potrzeby ćwiczeń. Nie zawiera prawdziwych danych osobowych ani rzeczywistych informacji o uczniach, nauczycielach, instytucjach lub projektach.</w:t>
      </w:r>
    </w:p>
    <w:p>
      <w:pPr>
        <w:spacing w:after="80"/>
      </w:pPr>
    </w:p>
    <w:p w14:paraId="2F0C41C5" w14:textId="77777777" w:rsidR="00815F8A" w:rsidRDefault="00815F8A" w:rsidP="00CC29E0">
      <w:pPr>
        <w:jc w:val="center"/>
        <w:rPr>
          <w:rFonts w:ascii="Times New Roman" w:eastAsia="Times New Roman" w:hAnsi="Times New Roman" w:cs="Times New Roman"/>
          <w:b/>
          <w:bCs/>
          <w:kern w:val="0"/>
          <w:sz w:val="27"/>
          <w:szCs w:val="27"/>
          <w:lang w:eastAsia="pl-PL"/>
          <w14:ligatures w14:val="none"/>
        </w:rPr>
      </w:pPr>
      <w:r w:rsidRPr="00CC29E0">
        <w:rPr>
          <w:b/>
          <w:bCs/>
          <w:lang w:eastAsia="pl-PL"/>
        </w:rPr>
        <w:t>Wariant 1: Humanistyczny (Etyka i Kultura</w:t>
      </w:r>
      <w:r w:rsidRPr="00CC29E0">
        <w:rPr>
          <w:rFonts w:ascii="Times New Roman" w:eastAsia="Times New Roman" w:hAnsi="Times New Roman" w:cs="Times New Roman"/>
          <w:b/>
          <w:bCs/>
          <w:kern w:val="0"/>
          <w:sz w:val="27"/>
          <w:szCs w:val="27"/>
          <w:lang w:eastAsia="pl-PL"/>
          <w14:ligatures w14:val="none"/>
        </w:rPr>
        <w:t>)</w:t>
      </w:r>
    </w:p>
    <w:p w14:paraId="2B86FB91" w14:textId="77777777" w:rsidR="00CC29E0" w:rsidRDefault="00CC29E0" w:rsidP="00CC29E0">
      <w:pPr>
        <w:jc w:val="center"/>
        <w:rPr>
          <w:rFonts w:ascii="Times New Roman" w:eastAsia="Times New Roman" w:hAnsi="Times New Roman" w:cs="Times New Roman"/>
          <w:b/>
          <w:bCs/>
          <w:kern w:val="0"/>
          <w:sz w:val="27"/>
          <w:szCs w:val="27"/>
          <w:lang w:eastAsia="pl-PL"/>
          <w14:ligatures w14:val="none"/>
        </w:rPr>
      </w:pPr>
    </w:p>
    <w:p w14:paraId="2F96CBC9" w14:textId="3C246FDD" w:rsidR="00CC29E0" w:rsidRPr="00CC29E0" w:rsidRDefault="00CC29E0" w:rsidP="00CC29E0">
      <w:pPr>
        <w:rPr>
          <w:rFonts w:ascii="Times New Roman" w:eastAsia="Times New Roman" w:hAnsi="Times New Roman" w:cs="Times New Roman"/>
          <w:b/>
          <w:bCs/>
          <w:kern w:val="0"/>
          <w:sz w:val="27"/>
          <w:szCs w:val="27"/>
          <w:lang w:eastAsia="pl-PL"/>
          <w14:ligatures w14:val="none"/>
        </w:rPr>
      </w:pPr>
      <w:r>
        <w:rPr>
          <w:rFonts w:ascii="Times New Roman" w:eastAsia="Times New Roman" w:hAnsi="Times New Roman" w:cs="Times New Roman"/>
          <w:b/>
          <w:bCs/>
          <w:kern w:val="0"/>
          <w:sz w:val="27"/>
          <w:szCs w:val="27"/>
          <w:lang w:eastAsia="pl-PL"/>
          <w14:ligatures w14:val="none"/>
        </w:rPr>
        <w:t>PRZYKŁAD 1</w:t>
      </w:r>
    </w:p>
    <w:p w14:paraId="4946F97A" w14:textId="6239B57B" w:rsidR="00815F8A" w:rsidRPr="00CC29E0" w:rsidRDefault="00CC29E0" w:rsidP="00CC29E0">
      <w:pPr>
        <w:rPr>
          <w:b/>
          <w:bCs/>
          <w:lang w:eastAsia="pl-PL"/>
        </w:rPr>
      </w:pPr>
      <w:r>
        <w:rPr>
          <w:b/>
          <w:bCs/>
          <w:lang w:eastAsia="pl-PL"/>
        </w:rPr>
        <w:t>TEMAT</w:t>
      </w:r>
      <w:r w:rsidR="00815F8A" w:rsidRPr="00CC29E0">
        <w:rPr>
          <w:b/>
          <w:bCs/>
          <w:lang w:eastAsia="pl-PL"/>
        </w:rPr>
        <w:t>: Płynna tożsamość w dobie ponowoczesnośc</w:t>
      </w:r>
      <w:r w:rsidR="00815F8A" w:rsidRPr="00CC29E0">
        <w:rPr>
          <w:b/>
          <w:bCs/>
          <w:lang w:eastAsia="pl-PL"/>
        </w:rPr>
        <w:t>i</w:t>
      </w:r>
    </w:p>
    <w:p w14:paraId="42DD90B7" w14:textId="77777777" w:rsidR="00815F8A" w:rsidRP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kern w:val="0"/>
          <w:lang w:eastAsia="pl-PL"/>
          <w14:ligatures w14:val="none"/>
        </w:rPr>
        <w:t>Współczesna refleksja nad kondycją antropologiczną człowieka w warunkach późnej nowoczesności obliguje do postawienia pytań o trwałość fundamentów, na których jednostka konstruuje swoją tożsamość. Tradycyjny model autokreacji, oparty na stałych przynależnościach klasowych, narodowych czy religijnych, uległ w ostatnich dekadach gwałtownej erozji, ustępując miejsca paradygmatowi tożsamości „płynnej”, która charakteryzuje się permanentną renegocjacją własnego „ja” w zależności od zmiennych kontekstów rynkowych i społecznych.</w:t>
      </w:r>
    </w:p>
    <w:p w14:paraId="49059CB0" w14:textId="77777777" w:rsidR="00815F8A" w:rsidRP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kern w:val="0"/>
          <w:lang w:eastAsia="pl-PL"/>
          <w14:ligatures w14:val="none"/>
        </w:rPr>
        <w:t>Analizując zjawisko konsumpcjonizmu kulturowego, należy skonstatować, że jednostka ponowoczesna znajduje się pod bezustanną presją autokreacji, gdzie wybór stylu życia staje się imperatywem, a nie tylko kwestią estetycznej preferencji. Ten proces alienacji od trwałych wartości prowadzi do specyficznej atomizacji społeczeństwa, w którym relacje międzyludzkie tracą swój pierwotny, wspólnotowy charakter, stając się jedynie instrumentem do realizacji partykularnych celów jednostki. Konwergencja sfery prywatnej z publiczną, potęgowana przez ekspansję mediów społecznościowych, sprawia, że intymność ulega uprzedmiotowieniu, stając się towarem podlegającym prawom podaży i popytu w cyfrowym panoptykonie współczesności.</w:t>
      </w:r>
    </w:p>
    <w:p w14:paraId="7758EE77" w14:textId="77777777" w:rsid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kern w:val="0"/>
          <w:lang w:eastAsia="pl-PL"/>
          <w14:ligatures w14:val="none"/>
        </w:rPr>
        <w:t xml:space="preserve">Kluczowym wyzwaniem aksjologicznym dla młodego pokolenia staje się zatem odnalezienie stałego punktu odniesienia w świecie, który promuje kult natychmiastowości i nieustanną wymianę ról społecznych. Zjawisko to, definiowane przez badaczy jako </w:t>
      </w:r>
      <w:proofErr w:type="spellStart"/>
      <w:r w:rsidRPr="00815F8A">
        <w:rPr>
          <w:rFonts w:ascii="Times New Roman" w:eastAsia="Times New Roman" w:hAnsi="Times New Roman" w:cs="Times New Roman"/>
          <w:kern w:val="0"/>
          <w:lang w:eastAsia="pl-PL"/>
          <w14:ligatures w14:val="none"/>
        </w:rPr>
        <w:t>prekaryzacja</w:t>
      </w:r>
      <w:proofErr w:type="spellEnd"/>
      <w:r w:rsidRPr="00815F8A">
        <w:rPr>
          <w:rFonts w:ascii="Times New Roman" w:eastAsia="Times New Roman" w:hAnsi="Times New Roman" w:cs="Times New Roman"/>
          <w:kern w:val="0"/>
          <w:lang w:eastAsia="pl-PL"/>
          <w14:ligatures w14:val="none"/>
        </w:rPr>
        <w:t xml:space="preserve"> więzi, rodzi lęk przed wykluczeniem oraz poczucie ontologicznej niepewności, gdyż w świecie pozbawionym autorytetów i trwałych struktur, ciężar definiowania prawdy oraz dobra zostaje przeniesiony wyłącznie na barki jednostki, często nieposiadającej wystarczających narzędzi do przeprowadzenia rzetelnej autodiagnozy swoich potrzeb duchowych.</w:t>
      </w:r>
    </w:p>
    <w:p w14:paraId="3CE99E5F" w14:textId="77777777" w:rsidR="00CC29E0" w:rsidRDefault="00CC29E0"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3D39DB43" w14:textId="2C7AA12D" w:rsidR="00CC29E0" w:rsidRDefault="00CC29E0"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PRZYKŁAD 2</w:t>
      </w:r>
    </w:p>
    <w:p w14:paraId="17FC0666" w14:textId="761C2763" w:rsidR="00CC29E0" w:rsidRPr="00CC29E0" w:rsidRDefault="00CC29E0" w:rsidP="00CC29E0">
      <w:pPr>
        <w:spacing w:before="100" w:beforeAutospacing="1" w:after="100" w:afterAutospacing="1" w:line="240" w:lineRule="auto"/>
        <w:rPr>
          <w:rFonts w:ascii="Times New Roman" w:eastAsia="Times New Roman" w:hAnsi="Times New Roman" w:cs="Times New Roman"/>
          <w:b/>
          <w:bCs/>
          <w:kern w:val="0"/>
          <w:lang w:eastAsia="pl-PL"/>
          <w14:ligatures w14:val="none"/>
        </w:rPr>
      </w:pPr>
      <w:r>
        <w:rPr>
          <w:rFonts w:ascii="Times New Roman" w:eastAsia="Times New Roman" w:hAnsi="Times New Roman" w:cs="Times New Roman"/>
          <w:b/>
          <w:bCs/>
          <w:kern w:val="0"/>
          <w:lang w:eastAsia="pl-PL"/>
          <w14:ligatures w14:val="none"/>
        </w:rPr>
        <w:t>TEMAT</w:t>
      </w:r>
      <w:r w:rsidRPr="00CC29E0">
        <w:rPr>
          <w:rFonts w:ascii="Times New Roman" w:eastAsia="Times New Roman" w:hAnsi="Times New Roman" w:cs="Times New Roman"/>
          <w:b/>
          <w:bCs/>
          <w:kern w:val="0"/>
          <w:lang w:eastAsia="pl-PL"/>
          <w14:ligatures w14:val="none"/>
        </w:rPr>
        <w:t>: Neurobiologiczne uwarunkowania procesów mnemotechnicznych w dydaktyce</w:t>
      </w:r>
    </w:p>
    <w:p w14:paraId="7AD19746" w14:textId="77777777" w:rsidR="00CC29E0" w:rsidRPr="00CC29E0" w:rsidRDefault="00CC29E0" w:rsidP="00CC29E0">
      <w:pPr>
        <w:spacing w:before="100" w:beforeAutospacing="1" w:after="100" w:afterAutospacing="1" w:line="240" w:lineRule="auto"/>
        <w:rPr>
          <w:rFonts w:ascii="Times New Roman" w:eastAsia="Times New Roman" w:hAnsi="Times New Roman" w:cs="Times New Roman"/>
          <w:kern w:val="0"/>
          <w:lang w:eastAsia="pl-PL"/>
          <w14:ligatures w14:val="none"/>
        </w:rPr>
      </w:pPr>
      <w:r w:rsidRPr="00CC29E0">
        <w:rPr>
          <w:rFonts w:ascii="Times New Roman" w:eastAsia="Times New Roman" w:hAnsi="Times New Roman" w:cs="Times New Roman"/>
          <w:kern w:val="0"/>
          <w:lang w:eastAsia="pl-PL"/>
          <w14:ligatures w14:val="none"/>
        </w:rPr>
        <w:t xml:space="preserve">Efektywność transferu informacji z pamięci operacyjnej do zasobów pamięci długotrwałej jest bezpośrednio skorelowana z intensywnością procesów konsolidacji śladu pamięciowego, które zachodzą w strukturach hipokampa pod wpływem zróżnicowanych bodźców sensorycznych. Z perspektywy </w:t>
      </w:r>
      <w:proofErr w:type="spellStart"/>
      <w:r w:rsidRPr="00CC29E0">
        <w:rPr>
          <w:rFonts w:ascii="Times New Roman" w:eastAsia="Times New Roman" w:hAnsi="Times New Roman" w:cs="Times New Roman"/>
          <w:kern w:val="0"/>
          <w:lang w:eastAsia="pl-PL"/>
          <w14:ligatures w14:val="none"/>
        </w:rPr>
        <w:t>neurodydaktyki</w:t>
      </w:r>
      <w:proofErr w:type="spellEnd"/>
      <w:r w:rsidRPr="00CC29E0">
        <w:rPr>
          <w:rFonts w:ascii="Times New Roman" w:eastAsia="Times New Roman" w:hAnsi="Times New Roman" w:cs="Times New Roman"/>
          <w:kern w:val="0"/>
          <w:lang w:eastAsia="pl-PL"/>
          <w14:ligatures w14:val="none"/>
        </w:rPr>
        <w:t>, kluczowym aspektem optymalizacji procesu dydaktycznego jest unikanie zjawiska interferencji proaktywnej, polegającego na hamowaniu przyswajania nowej wiedzy przez struktury uprzednio uformowane, co w praktyce szkolnej często manifestuje się spadkiem percepcji w trakcie monologicznych form przekazu treści.</w:t>
      </w:r>
    </w:p>
    <w:p w14:paraId="692D7A8E" w14:textId="06D59BA1" w:rsidR="00CC29E0" w:rsidRDefault="00CC29E0"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CC29E0">
        <w:rPr>
          <w:rFonts w:ascii="Times New Roman" w:eastAsia="Times New Roman" w:hAnsi="Times New Roman" w:cs="Times New Roman"/>
          <w:kern w:val="0"/>
          <w:lang w:eastAsia="pl-PL"/>
          <w14:ligatures w14:val="none"/>
        </w:rPr>
        <w:t xml:space="preserve">Analizując paradygmat uczenia się opartego na emocjach, należy skonstatować, iż </w:t>
      </w:r>
      <w:proofErr w:type="spellStart"/>
      <w:r w:rsidRPr="00CC29E0">
        <w:rPr>
          <w:rFonts w:ascii="Times New Roman" w:eastAsia="Times New Roman" w:hAnsi="Times New Roman" w:cs="Times New Roman"/>
          <w:kern w:val="0"/>
          <w:lang w:eastAsia="pl-PL"/>
          <w14:ligatures w14:val="none"/>
        </w:rPr>
        <w:t>neuroplastyczność</w:t>
      </w:r>
      <w:proofErr w:type="spellEnd"/>
      <w:r w:rsidRPr="00CC29E0">
        <w:rPr>
          <w:rFonts w:ascii="Times New Roman" w:eastAsia="Times New Roman" w:hAnsi="Times New Roman" w:cs="Times New Roman"/>
          <w:kern w:val="0"/>
          <w:lang w:eastAsia="pl-PL"/>
          <w14:ligatures w14:val="none"/>
        </w:rPr>
        <w:t xml:space="preserve"> mózgu, rozumiana jako zdolność do formowania nowych połączeń synaptycznych, jest stymulowana poprzez wydzielanie neurotransmiterów w sytuacjach ekspozycji na nowość oraz wyzwania poznawcze o umiarkowanym stopniu trudności. </w:t>
      </w:r>
      <w:r w:rsidRPr="00CC29E0">
        <w:rPr>
          <w:rFonts w:ascii="Times New Roman" w:eastAsia="Times New Roman" w:hAnsi="Times New Roman" w:cs="Times New Roman"/>
          <w:kern w:val="0"/>
          <w:lang w:eastAsia="pl-PL"/>
          <w14:ligatures w14:val="none"/>
        </w:rPr>
        <w:lastRenderedPageBreak/>
        <w:t>Wdrożenie strategii interdyscyplinarnych, sprzyjających budowaniu asocjacji między wiedzą deklaratywną a proceduralną, pozwala na trwałe zakotwiczenie nowych pojęć w istniejącej sieci semantycznej ucznia. W konsekwencji, postulat rezygnacji z metod podawczych na rzecz aktywizacji poznawczej znajduje swoje naukowe uzasadnienie w badaniach nad gęstością receptorową receptorów NMDA, które stanowią molekularny fundament procesów długotrwałego wzmocnienia synaptycznego, niezbędnego dla retencji wiedzy w czasie.</w:t>
      </w:r>
    </w:p>
    <w:p w14:paraId="24D5E212" w14:textId="77777777" w:rsidR="00CC29E0" w:rsidRDefault="00CC29E0"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3020CB1C" w14:textId="77777777" w:rsidR="00CC29E0" w:rsidRPr="00815F8A" w:rsidRDefault="00CC29E0"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505A1073" w14:textId="55307070" w:rsidR="00815F8A" w:rsidRDefault="00815F8A" w:rsidP="00815F8A">
      <w:pPr>
        <w:pBdr>
          <w:bottom w:val="single" w:sz="6" w:space="1" w:color="auto"/>
        </w:pBdr>
        <w:spacing w:line="240" w:lineRule="auto"/>
        <w:rPr>
          <w:rFonts w:ascii="Times New Roman" w:eastAsia="Times New Roman" w:hAnsi="Times New Roman" w:cs="Times New Roman"/>
          <w:kern w:val="0"/>
          <w:lang w:eastAsia="pl-PL"/>
          <w14:ligatures w14:val="none"/>
        </w:rPr>
      </w:pPr>
    </w:p>
    <w:p w14:paraId="5E418342" w14:textId="77777777" w:rsidR="00815F8A" w:rsidRPr="00815F8A" w:rsidRDefault="00815F8A" w:rsidP="00815F8A">
      <w:pPr>
        <w:spacing w:line="240" w:lineRule="auto"/>
        <w:rPr>
          <w:rFonts w:ascii="Times New Roman" w:eastAsia="Times New Roman" w:hAnsi="Times New Roman" w:cs="Times New Roman"/>
          <w:kern w:val="0"/>
          <w:lang w:eastAsia="pl-PL"/>
          <w14:ligatures w14:val="none"/>
        </w:rPr>
      </w:pPr>
    </w:p>
    <w:p w14:paraId="52DD07E2" w14:textId="77777777" w:rsidR="00815F8A" w:rsidRDefault="00815F8A" w:rsidP="00815F8A">
      <w:pPr>
        <w:rPr>
          <w:lang w:eastAsia="pl-PL"/>
        </w:rPr>
      </w:pPr>
    </w:p>
    <w:p w14:paraId="2A35F98D" w14:textId="209D6FF7" w:rsidR="00815F8A" w:rsidRPr="00CC29E0" w:rsidRDefault="00815F8A" w:rsidP="00815F8A">
      <w:pPr>
        <w:jc w:val="center"/>
        <w:rPr>
          <w:b/>
          <w:bCs/>
          <w:lang w:eastAsia="pl-PL"/>
        </w:rPr>
      </w:pPr>
      <w:r w:rsidRPr="00CC29E0">
        <w:rPr>
          <w:b/>
          <w:bCs/>
          <w:lang w:eastAsia="pl-PL"/>
        </w:rPr>
        <w:t>Wariant 2: Zawodowy / Techniczny</w:t>
      </w:r>
    </w:p>
    <w:p w14:paraId="18140973" w14:textId="59FED77B" w:rsidR="00815F8A" w:rsidRDefault="00815F8A" w:rsidP="00815F8A">
      <w:pPr>
        <w:spacing w:before="100" w:beforeAutospacing="1" w:after="100" w:afterAutospacing="1" w:line="240" w:lineRule="auto"/>
        <w:rPr>
          <w:rFonts w:ascii="Times New Roman" w:eastAsia="Times New Roman" w:hAnsi="Times New Roman" w:cs="Times New Roman"/>
          <w:b/>
          <w:bCs/>
          <w:kern w:val="0"/>
          <w:lang w:eastAsia="pl-PL"/>
          <w14:ligatures w14:val="none"/>
        </w:rPr>
      </w:pPr>
      <w:r>
        <w:rPr>
          <w:rFonts w:ascii="Times New Roman" w:eastAsia="Times New Roman" w:hAnsi="Times New Roman" w:cs="Times New Roman"/>
          <w:b/>
          <w:bCs/>
          <w:kern w:val="0"/>
          <w:lang w:eastAsia="pl-PL"/>
          <w14:ligatures w14:val="none"/>
        </w:rPr>
        <w:t>PRZYKŁAD 1</w:t>
      </w:r>
    </w:p>
    <w:p w14:paraId="540C2287" w14:textId="77777777" w:rsidR="00815F8A" w:rsidRDefault="00815F8A" w:rsidP="00815F8A">
      <w:pPr>
        <w:spacing w:before="100" w:beforeAutospacing="1" w:after="100" w:afterAutospacing="1" w:line="240" w:lineRule="auto"/>
        <w:rPr>
          <w:rFonts w:ascii="Times New Roman" w:eastAsia="Times New Roman" w:hAnsi="Times New Roman" w:cs="Times New Roman"/>
          <w:b/>
          <w:bCs/>
          <w:kern w:val="0"/>
          <w:lang w:eastAsia="pl-PL"/>
          <w14:ligatures w14:val="none"/>
        </w:rPr>
      </w:pPr>
    </w:p>
    <w:p w14:paraId="73B34DAB" w14:textId="0D55215E" w:rsidR="00815F8A" w:rsidRP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b/>
          <w:bCs/>
          <w:kern w:val="0"/>
          <w:lang w:eastAsia="pl-PL"/>
          <w14:ligatures w14:val="none"/>
        </w:rPr>
        <w:t>T</w:t>
      </w:r>
      <w:r w:rsidR="00CC29E0">
        <w:rPr>
          <w:rFonts w:ascii="Times New Roman" w:eastAsia="Times New Roman" w:hAnsi="Times New Roman" w:cs="Times New Roman"/>
          <w:b/>
          <w:bCs/>
          <w:kern w:val="0"/>
          <w:lang w:eastAsia="pl-PL"/>
          <w14:ligatures w14:val="none"/>
        </w:rPr>
        <w:t>EMAT</w:t>
      </w:r>
      <w:r w:rsidRPr="00815F8A">
        <w:rPr>
          <w:rFonts w:ascii="Times New Roman" w:eastAsia="Times New Roman" w:hAnsi="Times New Roman" w:cs="Times New Roman"/>
          <w:b/>
          <w:bCs/>
          <w:kern w:val="0"/>
          <w:lang w:eastAsia="pl-PL"/>
          <w14:ligatures w14:val="none"/>
        </w:rPr>
        <w:t xml:space="preserve">: Mechatronika i systemy sterowania w </w:t>
      </w:r>
      <w:r>
        <w:rPr>
          <w:rFonts w:ascii="Times New Roman" w:eastAsia="Times New Roman" w:hAnsi="Times New Roman" w:cs="Times New Roman"/>
          <w:b/>
          <w:bCs/>
          <w:kern w:val="0"/>
          <w:lang w:eastAsia="pl-PL"/>
          <w14:ligatures w14:val="none"/>
        </w:rPr>
        <w:t>P</w:t>
      </w:r>
      <w:r w:rsidRPr="00815F8A">
        <w:rPr>
          <w:rFonts w:ascii="Times New Roman" w:eastAsia="Times New Roman" w:hAnsi="Times New Roman" w:cs="Times New Roman"/>
          <w:b/>
          <w:bCs/>
          <w:kern w:val="0"/>
          <w:lang w:eastAsia="pl-PL"/>
          <w14:ligatures w14:val="none"/>
        </w:rPr>
        <w:t>rzemyśle 4.0</w:t>
      </w:r>
      <w:r w:rsidRPr="00815F8A">
        <w:rPr>
          <w:rFonts w:ascii="Times New Roman" w:eastAsia="Times New Roman" w:hAnsi="Times New Roman" w:cs="Times New Roman"/>
          <w:kern w:val="0"/>
          <w:lang w:eastAsia="pl-PL"/>
          <w14:ligatures w14:val="none"/>
        </w:rPr>
        <w:t xml:space="preserve"> </w:t>
      </w:r>
    </w:p>
    <w:p w14:paraId="40B782D8" w14:textId="77777777" w:rsidR="00815F8A" w:rsidRP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kern w:val="0"/>
          <w:lang w:eastAsia="pl-PL"/>
          <w14:ligatures w14:val="none"/>
        </w:rPr>
        <w:t xml:space="preserve">Implementacja nowoczesnych systemów sterowania w zrobotyzowanych liniach produkcyjnych opiera się na integracji zaawansowanych układów </w:t>
      </w:r>
      <w:proofErr w:type="spellStart"/>
      <w:r w:rsidRPr="00815F8A">
        <w:rPr>
          <w:rFonts w:ascii="Times New Roman" w:eastAsia="Times New Roman" w:hAnsi="Times New Roman" w:cs="Times New Roman"/>
          <w:kern w:val="0"/>
          <w:lang w:eastAsia="pl-PL"/>
          <w14:ligatures w14:val="none"/>
        </w:rPr>
        <w:t>mechatronicznych</w:t>
      </w:r>
      <w:proofErr w:type="spellEnd"/>
      <w:r w:rsidRPr="00815F8A">
        <w:rPr>
          <w:rFonts w:ascii="Times New Roman" w:eastAsia="Times New Roman" w:hAnsi="Times New Roman" w:cs="Times New Roman"/>
          <w:kern w:val="0"/>
          <w:lang w:eastAsia="pl-PL"/>
          <w14:ligatures w14:val="none"/>
        </w:rPr>
        <w:t>, które wykorzystują sygnały sprzężenia zwrotnego do precyzyjnej regulacji parametrów procesowych w czasie rzeczywistym. Kluczowym aspektem funkcjonowania takich struktur jest interoperacyjność poszczególnych komponentów, która realizowana jest poprzez protokoły komunikacyjne determinujące szybkość i niezawodność transmisji danych między jednostką centralną a elementami wykonawczymi.</w:t>
      </w:r>
    </w:p>
    <w:p w14:paraId="5B237DB2" w14:textId="77777777" w:rsidR="00815F8A" w:rsidRPr="00815F8A" w:rsidRDefault="00815F8A" w:rsidP="00815F8A">
      <w:pPr>
        <w:spacing w:before="100" w:beforeAutospacing="1" w:after="100" w:afterAutospacing="1" w:line="240" w:lineRule="auto"/>
        <w:rPr>
          <w:rFonts w:ascii="Times New Roman" w:eastAsia="Times New Roman" w:hAnsi="Times New Roman" w:cs="Times New Roman"/>
          <w:kern w:val="0"/>
          <w:lang w:eastAsia="pl-PL"/>
          <w14:ligatures w14:val="none"/>
        </w:rPr>
      </w:pPr>
      <w:r w:rsidRPr="00815F8A">
        <w:rPr>
          <w:rFonts w:ascii="Times New Roman" w:eastAsia="Times New Roman" w:hAnsi="Times New Roman" w:cs="Times New Roman"/>
          <w:kern w:val="0"/>
          <w:lang w:eastAsia="pl-PL"/>
          <w14:ligatures w14:val="none"/>
        </w:rPr>
        <w:t xml:space="preserve">Proces parametryzacji sterowników logicznych PLC wymaga od operatora nie tylko biegłości w programowaniu w językach strukturalnych, ale przede wszystkim dogłębnej analizy topologii sieci oraz zrozumienia zjawisk histerezy występujących w układach regulacji temperatury czy ciśnienia. Niewłaściwa kalibracja przetworników pomiarowych lub ignorowanie zjawiska bezwładności obiektów regulacji może prowadzić do destabilizacji pętli uchybu, co w skrajnych przypadkach skutkuje awarią całego łańcucha kinematycznego maszyny. W dobie paradygmatu Przemysłu 4.0, szczególny nacisk kładzie się na diagnostykę predykcyjną, która wykorzystując </w:t>
      </w:r>
      <w:proofErr w:type="spellStart"/>
      <w:r w:rsidRPr="00815F8A">
        <w:rPr>
          <w:rFonts w:ascii="Times New Roman" w:eastAsia="Times New Roman" w:hAnsi="Times New Roman" w:cs="Times New Roman"/>
          <w:kern w:val="0"/>
          <w:lang w:eastAsia="pl-PL"/>
          <w14:ligatures w14:val="none"/>
        </w:rPr>
        <w:t>sensorykę</w:t>
      </w:r>
      <w:proofErr w:type="spellEnd"/>
      <w:r w:rsidRPr="00815F8A">
        <w:rPr>
          <w:rFonts w:ascii="Times New Roman" w:eastAsia="Times New Roman" w:hAnsi="Times New Roman" w:cs="Times New Roman"/>
          <w:kern w:val="0"/>
          <w:lang w:eastAsia="pl-PL"/>
          <w14:ligatures w14:val="none"/>
        </w:rPr>
        <w:t xml:space="preserve"> inteligentną, pozwala na detekcję anomalii drgań lub temperatury jeszcze przed wystąpieniem fizycznego uszkodzenia podzespołów. Zastosowanie algorytmów optymalizacyjnych pozwala na minimalizację strat energii przy jednoczesnej maksymalizacji wydajności cyklu pracy, co stanowi o konkurencyjności nowoczesnych przedsiębiorstw produkcyjnych wykorzystujących zaawansowaną automatyzację procesów montażowych.</w:t>
      </w:r>
    </w:p>
    <w:p w14:paraId="0A5A6F5C" w14:textId="77777777" w:rsidR="001A36A9" w:rsidRDefault="001A36A9"/>
    <w:p w14:paraId="12D1AFC0" w14:textId="03ACF246" w:rsidR="00815F8A" w:rsidRPr="00815F8A" w:rsidRDefault="00815F8A">
      <w:pPr>
        <w:rPr>
          <w:b/>
          <w:bCs/>
        </w:rPr>
      </w:pPr>
      <w:r w:rsidRPr="00815F8A">
        <w:rPr>
          <w:b/>
          <w:bCs/>
        </w:rPr>
        <w:t>PRZYKŁAD 2</w:t>
      </w:r>
    </w:p>
    <w:p w14:paraId="00478974" w14:textId="77777777" w:rsidR="00815F8A" w:rsidRDefault="00815F8A"/>
    <w:p w14:paraId="3E4EB70B" w14:textId="66C13E0B" w:rsidR="00815F8A" w:rsidRPr="00815F8A" w:rsidRDefault="00815F8A" w:rsidP="00815F8A">
      <w:pPr>
        <w:rPr>
          <w:b/>
          <w:bCs/>
        </w:rPr>
      </w:pPr>
      <w:r w:rsidRPr="00815F8A">
        <w:rPr>
          <w:b/>
          <w:bCs/>
        </w:rPr>
        <w:t>T</w:t>
      </w:r>
      <w:r w:rsidR="00CC29E0">
        <w:rPr>
          <w:b/>
          <w:bCs/>
        </w:rPr>
        <w:t>EMAT</w:t>
      </w:r>
      <w:r w:rsidRPr="00815F8A">
        <w:rPr>
          <w:b/>
          <w:bCs/>
        </w:rPr>
        <w:t>: Implementacja paradygmatu Przemysłu 4.0</w:t>
      </w:r>
    </w:p>
    <w:p w14:paraId="6CD107F2" w14:textId="37FB07F9" w:rsidR="00815F8A" w:rsidRPr="00815F8A" w:rsidRDefault="00815F8A" w:rsidP="00815F8A">
      <w:r w:rsidRPr="00815F8A">
        <w:rPr>
          <w:b/>
          <w:bCs/>
        </w:rPr>
        <w:lastRenderedPageBreak/>
        <w:t>Źródło i inspiracja:</w:t>
      </w:r>
      <w:r w:rsidRPr="00815F8A">
        <w:t xml:space="preserve"> Tekst opracowany na podstawie założeń programowych dla zawodów technicznych (technik mechatronik, technik automatyk) </w:t>
      </w:r>
    </w:p>
    <w:p w14:paraId="2A2ABEC9" w14:textId="63937D9F" w:rsidR="00815F8A" w:rsidRPr="00815F8A" w:rsidRDefault="00815F8A" w:rsidP="00815F8A"/>
    <w:p w14:paraId="44E5DFD7" w14:textId="77777777" w:rsidR="00815F8A" w:rsidRPr="00815F8A" w:rsidRDefault="00815F8A" w:rsidP="00815F8A">
      <w:r w:rsidRPr="00815F8A">
        <w:t xml:space="preserve">Współczesna faza transformacji technologicznej, definiowana powszechnie mianem czwartej rewolucji przemysłowej, opiera się na fundamencie totalnej integracji systemów </w:t>
      </w:r>
      <w:proofErr w:type="spellStart"/>
      <w:r w:rsidRPr="00815F8A">
        <w:t>cyberfizycznych</w:t>
      </w:r>
      <w:proofErr w:type="spellEnd"/>
      <w:r w:rsidRPr="00815F8A">
        <w:t xml:space="preserve"> z procesami wytwórczymi, co w konsekwencji prowadzi do powstania inteligentnych fabryk zdolnych do autonomicznej optymalizacji zasobów. Kluczowym czynnikiem determinującym sukces implementacji tych rozwiązań jest interoperacyjność poszczególnych komponentów wykonawczych, która realizowana jest poprzez zaawansowane protokoły komunikacyjne, umożliwiające bezproblemową wymianę danych w czasie rzeczywistym pomiędzy zróżnicowanymi </w:t>
      </w:r>
      <w:proofErr w:type="spellStart"/>
      <w:r w:rsidRPr="00815F8A">
        <w:t>architekturami</w:t>
      </w:r>
      <w:proofErr w:type="spellEnd"/>
      <w:r w:rsidRPr="00815F8A">
        <w:t xml:space="preserve"> sprzętowymi.</w:t>
      </w:r>
    </w:p>
    <w:p w14:paraId="41C90523" w14:textId="77777777" w:rsidR="00815F8A" w:rsidRPr="00815F8A" w:rsidRDefault="00815F8A" w:rsidP="00815F8A">
      <w:r w:rsidRPr="00815F8A">
        <w:t xml:space="preserve">Analizując strukturę nowoczesnego zakładu produkcyjnego, należy zwrócić szczególną uwagę na rolę diagnostyki predykcyjnej, która dzięki wykorzystaniu sensorów </w:t>
      </w:r>
      <w:proofErr w:type="spellStart"/>
      <w:r w:rsidRPr="00815F8A">
        <w:t>IoT</w:t>
      </w:r>
      <w:proofErr w:type="spellEnd"/>
      <w:r w:rsidRPr="00815F8A">
        <w:t xml:space="preserve"> (Internetu Rzeczy) oraz algorytmów uczenia maszynowego, pozwala na precyzyjne prognozowanie potencjalnych awarii jeszcze przed ich faktycznym wystąpieniem, co znacząco minimalizuje przestoje technologiczne. Proces ten nierozerwalnie wiąże się z koniecznością przetwarzania ogromnych zbiorów informacji, określanych terminem Big Data, których analiza pozwala na eliminację wąskich gardeł w łańcuchu dostaw oraz na dynamiczne dostosowywanie parametrów obróbczych do aktualnych wymogów jakościowych.</w:t>
      </w:r>
    </w:p>
    <w:p w14:paraId="57D6D4DF" w14:textId="77777777" w:rsidR="00815F8A" w:rsidRPr="00815F8A" w:rsidRDefault="00815F8A" w:rsidP="00815F8A">
      <w:r w:rsidRPr="00815F8A">
        <w:t xml:space="preserve">Wdrożenie paradygmatu Przemysłu 4.0 wymaga jednak od kadry inżynierskiej redefinicji dotychczasowych metod zarządzania parkiem maszynowym, ponieważ tradycyjne, hierarchiczne modele sterowania ustępują miejsca strukturze rozproszonej, w której każdy element kinematyczny posiada zdolność do </w:t>
      </w:r>
      <w:proofErr w:type="spellStart"/>
      <w:r w:rsidRPr="00815F8A">
        <w:t>samodiagnostyki</w:t>
      </w:r>
      <w:proofErr w:type="spellEnd"/>
      <w:r w:rsidRPr="00815F8A">
        <w:t xml:space="preserve"> i raportowania uchybów regulacji. Konwergencja technologii informatycznych z operacyjnymi stawia przed pracownikami wyzwania z zakresu </w:t>
      </w:r>
      <w:proofErr w:type="spellStart"/>
      <w:r w:rsidRPr="00815F8A">
        <w:t>cyberbezpieczeństwa</w:t>
      </w:r>
      <w:proofErr w:type="spellEnd"/>
      <w:r w:rsidRPr="00815F8A">
        <w:t>, gdyż otwarcie sieci produkcyjnych na zewnętrzną infrastrukturę chmurową generuje nowe wektory zagrożeń, mogące skutkować destabilizacją ciągłości biznesowej przedsiębiorstwa w przypadku braku odpowiednich procedur szyfrowania i uwierzytelniania.</w:t>
      </w:r>
    </w:p>
    <w:p w14:paraId="2A68DD9E" w14:textId="77777777" w:rsidR="00815F8A" w:rsidRDefault="00815F8A"/>
    <w:sectPr w:rsidR="00815F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8A"/>
    <w:rsid w:val="001A36A9"/>
    <w:rsid w:val="005421EB"/>
    <w:rsid w:val="00815F8A"/>
    <w:rsid w:val="008C7963"/>
    <w:rsid w:val="00CC29E0"/>
    <w:rsid w:val="00DA65C6"/>
    <w:rsid w:val="00EF2B2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ECFF"/>
  <w15:chartTrackingRefBased/>
  <w15:docId w15:val="{7799B49B-AB89-4512-AE7E-F9EEE41E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1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1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15F8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15F8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15F8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15F8A"/>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15F8A"/>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15F8A"/>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15F8A"/>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15F8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15F8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15F8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15F8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15F8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15F8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15F8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15F8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15F8A"/>
    <w:rPr>
      <w:rFonts w:eastAsiaTheme="majorEastAsia" w:cstheme="majorBidi"/>
      <w:color w:val="272727" w:themeColor="text1" w:themeTint="D8"/>
    </w:rPr>
  </w:style>
  <w:style w:type="paragraph" w:styleId="Tytu">
    <w:name w:val="Title"/>
    <w:basedOn w:val="Normalny"/>
    <w:next w:val="Normalny"/>
    <w:link w:val="TytuZnak"/>
    <w:uiPriority w:val="10"/>
    <w:qFormat/>
    <w:rsid w:val="0081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15F8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15F8A"/>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15F8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15F8A"/>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815F8A"/>
    <w:rPr>
      <w:i/>
      <w:iCs/>
      <w:color w:val="404040" w:themeColor="text1" w:themeTint="BF"/>
    </w:rPr>
  </w:style>
  <w:style w:type="paragraph" w:styleId="Akapitzlist">
    <w:name w:val="List Paragraph"/>
    <w:basedOn w:val="Normalny"/>
    <w:uiPriority w:val="34"/>
    <w:qFormat/>
    <w:rsid w:val="00815F8A"/>
    <w:pPr>
      <w:ind w:left="720"/>
      <w:contextualSpacing/>
    </w:pPr>
  </w:style>
  <w:style w:type="character" w:styleId="Wyrnienieintensywne">
    <w:name w:val="Intense Emphasis"/>
    <w:basedOn w:val="Domylnaczcionkaakapitu"/>
    <w:uiPriority w:val="21"/>
    <w:qFormat/>
    <w:rsid w:val="00815F8A"/>
    <w:rPr>
      <w:i/>
      <w:iCs/>
      <w:color w:val="0F4761" w:themeColor="accent1" w:themeShade="BF"/>
    </w:rPr>
  </w:style>
  <w:style w:type="paragraph" w:styleId="Cytatintensywny">
    <w:name w:val="Intense Quote"/>
    <w:basedOn w:val="Normalny"/>
    <w:next w:val="Normalny"/>
    <w:link w:val="CytatintensywnyZnak"/>
    <w:uiPriority w:val="30"/>
    <w:qFormat/>
    <w:rsid w:val="0081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15F8A"/>
    <w:rPr>
      <w:i/>
      <w:iCs/>
      <w:color w:val="0F4761" w:themeColor="accent1" w:themeShade="BF"/>
    </w:rPr>
  </w:style>
  <w:style w:type="character" w:styleId="Odwoanieintensywne">
    <w:name w:val="Intense Reference"/>
    <w:basedOn w:val="Domylnaczcionkaakapitu"/>
    <w:uiPriority w:val="32"/>
    <w:qFormat/>
    <w:rsid w:val="00815F8A"/>
    <w:rPr>
      <w:b/>
      <w:bCs/>
      <w:smallCaps/>
      <w:color w:val="0F4761" w:themeColor="accent1" w:themeShade="BF"/>
      <w:spacing w:val="5"/>
    </w:rPr>
  </w:style>
  <w:style w:type="character" w:styleId="Hipercze">
    <w:name w:val="Hyperlink"/>
    <w:basedOn w:val="Domylnaczcionkaakapitu"/>
    <w:uiPriority w:val="99"/>
    <w:unhideWhenUsed/>
    <w:rsid w:val="00815F8A"/>
    <w:rPr>
      <w:color w:val="467886" w:themeColor="hyperlink"/>
      <w:u w:val="single"/>
    </w:rPr>
  </w:style>
  <w:style w:type="character" w:styleId="Nierozpoznanawzmianka">
    <w:name w:val="Unresolved Mention"/>
    <w:basedOn w:val="Domylnaczcionkaakapitu"/>
    <w:uiPriority w:val="99"/>
    <w:semiHidden/>
    <w:unhideWhenUsed/>
    <w:rsid w:val="00815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1053</Words>
  <Characters>6324</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Marzena Filusz</dc:creator>
  <cp:keywords/>
  <dc:description/>
  <cp:lastModifiedBy>Marzena Filusz</cp:lastModifiedBy>
  <cp:revision>1</cp:revision>
  <dcterms:created xsi:type="dcterms:W3CDTF">2026-05-14T19:50:00Z</dcterms:created>
  <dcterms:modified xsi:type="dcterms:W3CDTF">2026-05-14T20:06:00Z</dcterms:modified>
</cp:coreProperties>
</file>