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64" w:rsidRDefault="007A7064" w:rsidP="00505729">
      <w:pPr>
        <w:rPr>
          <w:b/>
          <w:color w:val="404040" w:themeColor="text1" w:themeTint="BF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102783" y="897467"/>
            <wp:positionH relativeFrom="margin">
              <wp:align>left</wp:align>
            </wp:positionH>
            <wp:positionV relativeFrom="margin">
              <wp:align>top</wp:align>
            </wp:positionV>
            <wp:extent cx="1116330" cy="567266"/>
            <wp:effectExtent l="19050" t="0" r="7620" b="0"/>
            <wp:wrapSquare wrapText="bothSides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6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</w:t>
      </w:r>
      <w:r w:rsidR="00087E99">
        <w:rPr>
          <w:color w:val="404040" w:themeColor="text1" w:themeTint="BF"/>
          <w:sz w:val="24"/>
          <w:szCs w:val="24"/>
        </w:rPr>
        <w:t>texto</w:t>
      </w:r>
      <w:r>
        <w:rPr>
          <w:color w:val="404040" w:themeColor="text1" w:themeTint="BF"/>
          <w:sz w:val="24"/>
          <w:szCs w:val="24"/>
        </w:rPr>
        <w:t xml:space="preserve">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implementação</w:t>
      </w:r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lastRenderedPageBreak/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2"/>
        <w:gridCol w:w="7668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Datas de assinatura, ordem de serviço e garantia podem ser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9"/>
        <w:gridCol w:w="7671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505729" w:rsidRDefault="00505729" w:rsidP="00505729">
      <w:pPr>
        <w:spacing w:after="0"/>
        <w:rPr>
          <w:b/>
          <w:color w:val="404040" w:themeColor="text1" w:themeTint="BF"/>
          <w:sz w:val="28"/>
          <w:szCs w:val="28"/>
        </w:rPr>
      </w:pPr>
    </w:p>
    <w:p w:rsidR="00505729" w:rsidRDefault="00505729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br w:type="page"/>
      </w:r>
    </w:p>
    <w:p w:rsidR="00583A76" w:rsidRDefault="00E2647D" w:rsidP="00505729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Usuario</w:t>
            </w:r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matricula: int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login: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senha: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Cargo</w:t>
            </w:r>
          </w:p>
        </w:tc>
      </w:tr>
    </w:tbl>
    <w:tbl>
      <w:tblPr>
        <w:tblStyle w:val="Tabelacomgrade"/>
        <w:tblpPr w:leftFromText="141" w:rightFromText="141" w:vertAnchor="page" w:horzAnchor="margin" w:tblpXSpec="right" w:tblpY="2308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float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string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codigo: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sigla: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mero: Int</w:t>
            </w:r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CNPJempresaContratada: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nomeEmpresaContratada: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numeroPortaria: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fiscal: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dataAssinatura: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dataOrdemDeServico: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dataVencimentoContrato: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objeto: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valorInicial: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valorTotal: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valorAditivos: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quantidadeAditivos: int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listaProcessos: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recurso: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fonte: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uso: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(v1.1)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0D56F5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0D56F5">
              <w:rPr>
                <w:color w:val="404040" w:themeColor="text1" w:themeTint="BF"/>
                <w:sz w:val="24"/>
                <w:szCs w:val="24"/>
              </w:rPr>
              <w:t xml:space="preserve"> e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diretor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Cadastrar um documento em pdf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Obs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(v1.2)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EE1A6B" w:rsidTr="00505729">
        <w:tc>
          <w:tcPr>
            <w:tcW w:w="1102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Med passa a ser “Item”.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Listagem de items de ser decrescente (Atualmente está crescente).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7618" w:type="dxa"/>
          </w:tcPr>
          <w:p w:rsidR="006607BE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6607BE" w:rsidTr="00505729">
        <w:tc>
          <w:tcPr>
            <w:tcW w:w="1102" w:type="dxa"/>
          </w:tcPr>
          <w:p w:rsidR="006607BE" w:rsidRDefault="006607BE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6607BE" w:rsidRDefault="006607BE" w:rsidP="006607B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Saldo mais recente do contrato é o que resta do valor total depois que o processo foi pago. 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9668"/>
        <w:tblOverlap w:val="never"/>
        <w:tblW w:w="4077" w:type="dxa"/>
        <w:tblLook w:val="04A0" w:firstRow="1" w:lastRow="0" w:firstColumn="1" w:lastColumn="0" w:noHBand="0" w:noVBand="1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data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Saldo desse processo: decimal</w:t>
            </w:r>
          </w:p>
        </w:tc>
      </w:tr>
    </w:tbl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p w:rsidR="00226842" w:rsidRDefault="00226842" w:rsidP="00226842">
      <w:pPr>
        <w:jc w:val="center"/>
        <w:rPr>
          <w:b/>
          <w:color w:val="404040" w:themeColor="text1" w:themeTint="BF"/>
          <w:sz w:val="24"/>
          <w:szCs w:val="24"/>
        </w:rPr>
      </w:pPr>
      <w:r w:rsidRPr="00505729">
        <w:rPr>
          <w:b/>
          <w:color w:val="404040" w:themeColor="text1" w:themeTint="BF"/>
          <w:sz w:val="24"/>
          <w:szCs w:val="24"/>
        </w:rPr>
        <w:lastRenderedPageBreak/>
        <w:t>Terceira</w:t>
      </w:r>
      <w:r w:rsidR="00505729">
        <w:rPr>
          <w:b/>
          <w:color w:val="404040" w:themeColor="text1" w:themeTint="BF"/>
          <w:sz w:val="24"/>
          <w:szCs w:val="24"/>
        </w:rPr>
        <w:t xml:space="preserve"> adição (v1.3)</w:t>
      </w:r>
    </w:p>
    <w:p w:rsidR="00505729" w:rsidRDefault="00505729" w:rsidP="00505729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no dia 30/10/2018, em que estiveram presentes Douglas Almeida, Anderson Araújo, Romeu Oliveira, George Rebouças, Karin Kunze e Hidelson, foram decididas as seguintes modificações: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505729" w:rsidTr="00DB0F8C">
        <w:tc>
          <w:tcPr>
            <w:tcW w:w="1102" w:type="dxa"/>
          </w:tcPr>
          <w:p w:rsidR="00505729" w:rsidRPr="00D7588F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V13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de contrato:</w:t>
            </w:r>
          </w:p>
        </w:tc>
      </w:tr>
      <w:tr w:rsidR="00505729" w:rsidTr="00DB0F8C">
        <w:tc>
          <w:tcPr>
            <w:tcW w:w="1102" w:type="dxa"/>
          </w:tcPr>
          <w:p w:rsidR="00505729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“Objeto” passa a ser “Observação”</w:t>
            </w:r>
            <w:r w:rsidR="002D52D0"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D52D0" w:rsidTr="00DB0F8C">
        <w:tc>
          <w:tcPr>
            <w:tcW w:w="1102" w:type="dxa"/>
          </w:tcPr>
          <w:p w:rsidR="002D52D0" w:rsidRDefault="002D52D0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AA736D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7618" w:type="dxa"/>
          </w:tcPr>
          <w:p w:rsidR="002D52D0" w:rsidRDefault="002D52D0" w:rsidP="000D56F5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Primeira linha da tabela da planilha ser fixada no topo quando o usuário descer a página</w:t>
            </w:r>
          </w:p>
        </w:tc>
      </w:tr>
    </w:tbl>
    <w:p w:rsidR="009273F4" w:rsidRDefault="009273F4" w:rsidP="00505729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trinta de outubro de dois mil e dezoito.</w:t>
      </w:r>
    </w:p>
    <w:p w:rsidR="00505729" w:rsidRPr="00F6119C" w:rsidRDefault="009273F4" w:rsidP="00F6119C">
      <w:pPr>
        <w:jc w:val="center"/>
        <w:rPr>
          <w:color w:val="404040" w:themeColor="text1" w:themeTint="BF"/>
          <w:sz w:val="24"/>
          <w:szCs w:val="24"/>
        </w:rPr>
      </w:pPr>
      <w:r w:rsidRPr="009273F4">
        <w:rPr>
          <w:b/>
          <w:color w:val="404040" w:themeColor="text1" w:themeTint="BF"/>
          <w:sz w:val="24"/>
          <w:szCs w:val="24"/>
        </w:rPr>
        <w:lastRenderedPageBreak/>
        <w:t>Quarta adição (v1.4</w:t>
      </w:r>
      <w:r>
        <w:rPr>
          <w:b/>
          <w:color w:val="404040" w:themeColor="text1" w:themeTint="BF"/>
          <w:sz w:val="24"/>
          <w:szCs w:val="24"/>
        </w:rPr>
        <w:t>)</w:t>
      </w:r>
    </w:p>
    <w:p w:rsidR="009273F4" w:rsidRDefault="009273F4" w:rsidP="009273F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pedido de Anderson Araújo em 9 de janeiro de 2019.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9273F4" w:rsidTr="00D80584">
        <w:tc>
          <w:tcPr>
            <w:tcW w:w="1102" w:type="dxa"/>
          </w:tcPr>
          <w:p w:rsidR="009273F4" w:rsidRPr="00D7588F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4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Visualizar tabela do resumo do contrato assim como nas planilhas</w:t>
            </w:r>
            <w:r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 total do contrato.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 total dos aditivos.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242966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 já pago. Valor é a soma dos valores dos processos.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242966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po</w:t>
            </w:r>
            <w:r>
              <w:rPr>
                <w:color w:val="404040" w:themeColor="text1" w:themeTint="BF"/>
                <w:sz w:val="24"/>
                <w:szCs w:val="24"/>
              </w:rPr>
              <w:t>rcentagem concluída e a concluir, segundo fórmula: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242966">
              <w:rPr>
                <w:b/>
                <w:color w:val="404040" w:themeColor="text1" w:themeTint="BF"/>
                <w:sz w:val="24"/>
                <w:szCs w:val="24"/>
              </w:rPr>
              <w:t>4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 já pago dividido pelo valor total do contrato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242966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7618" w:type="dxa"/>
          </w:tcPr>
          <w:p w:rsidR="009273F4" w:rsidRDefault="009273F4" w:rsidP="00242966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Mostrar valor do contrato, saldo e aditivo </w:t>
            </w:r>
            <w:r w:rsidR="00242966">
              <w:rPr>
                <w:color w:val="404040" w:themeColor="text1" w:themeTint="BF"/>
                <w:sz w:val="24"/>
                <w:szCs w:val="24"/>
              </w:rPr>
              <w:t>mensal</w:t>
            </w:r>
            <w:r>
              <w:rPr>
                <w:color w:val="404040" w:themeColor="text1" w:themeTint="BF"/>
                <w:sz w:val="24"/>
                <w:szCs w:val="24"/>
              </w:rPr>
              <w:t>mente.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242966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7618" w:type="dxa"/>
          </w:tcPr>
          <w:p w:rsidR="009273F4" w:rsidRDefault="009273F4" w:rsidP="00242966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</w:t>
            </w:r>
            <w:r w:rsidR="00242966">
              <w:rPr>
                <w:color w:val="404040" w:themeColor="text1" w:themeTint="BF"/>
                <w:sz w:val="24"/>
                <w:szCs w:val="24"/>
              </w:rPr>
              <w:t>es acumulados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do contrato e aditivo </w:t>
            </w:r>
            <w:r w:rsidR="00242966">
              <w:rPr>
                <w:color w:val="404040" w:themeColor="text1" w:themeTint="BF"/>
                <w:sz w:val="24"/>
                <w:szCs w:val="24"/>
              </w:rPr>
              <w:t>anualmente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9273F4" w:rsidRPr="009273F4" w:rsidRDefault="009273F4" w:rsidP="009273F4">
      <w:pPr>
        <w:rPr>
          <w:color w:val="404040" w:themeColor="text1" w:themeTint="BF"/>
          <w:sz w:val="24"/>
          <w:szCs w:val="24"/>
        </w:rPr>
      </w:pPr>
    </w:p>
    <w:p w:rsidR="009273F4" w:rsidRDefault="009273F4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Pr="00505729" w:rsidRDefault="00F6119C" w:rsidP="00F6119C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dezesseis de janeiro de dois mil e dezenove.</w:t>
      </w:r>
      <w:bookmarkStart w:id="0" w:name="_GoBack"/>
      <w:bookmarkEnd w:id="0"/>
    </w:p>
    <w:sectPr w:rsidR="00F6119C" w:rsidRPr="00505729" w:rsidSect="0050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CA" w:rsidRDefault="004416CA" w:rsidP="00226842">
      <w:pPr>
        <w:spacing w:after="0" w:line="240" w:lineRule="auto"/>
      </w:pPr>
      <w:r>
        <w:separator/>
      </w:r>
    </w:p>
  </w:endnote>
  <w:endnote w:type="continuationSeparator" w:id="0">
    <w:p w:rsidR="004416CA" w:rsidRDefault="004416CA" w:rsidP="002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CA" w:rsidRDefault="004416CA" w:rsidP="00226842">
      <w:pPr>
        <w:spacing w:after="0" w:line="240" w:lineRule="auto"/>
      </w:pPr>
      <w:r>
        <w:separator/>
      </w:r>
    </w:p>
  </w:footnote>
  <w:footnote w:type="continuationSeparator" w:id="0">
    <w:p w:rsidR="004416CA" w:rsidRDefault="004416CA" w:rsidP="00226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064"/>
    <w:rsid w:val="0000790A"/>
    <w:rsid w:val="000114B1"/>
    <w:rsid w:val="00087E99"/>
    <w:rsid w:val="000D3CC2"/>
    <w:rsid w:val="000D56F5"/>
    <w:rsid w:val="00171629"/>
    <w:rsid w:val="001B4E0D"/>
    <w:rsid w:val="001C62AA"/>
    <w:rsid w:val="001F1DF9"/>
    <w:rsid w:val="001F7014"/>
    <w:rsid w:val="00226842"/>
    <w:rsid w:val="00242966"/>
    <w:rsid w:val="0028421E"/>
    <w:rsid w:val="0028500E"/>
    <w:rsid w:val="002A1B8C"/>
    <w:rsid w:val="002D27C7"/>
    <w:rsid w:val="002D52D0"/>
    <w:rsid w:val="002E7108"/>
    <w:rsid w:val="002E748F"/>
    <w:rsid w:val="002F2140"/>
    <w:rsid w:val="003241E7"/>
    <w:rsid w:val="003704BC"/>
    <w:rsid w:val="00373082"/>
    <w:rsid w:val="003E025E"/>
    <w:rsid w:val="003E4EE3"/>
    <w:rsid w:val="003E6D0C"/>
    <w:rsid w:val="004416CA"/>
    <w:rsid w:val="004723ED"/>
    <w:rsid w:val="00482168"/>
    <w:rsid w:val="004A1C54"/>
    <w:rsid w:val="004C2F72"/>
    <w:rsid w:val="00505729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54EC7"/>
    <w:rsid w:val="006607BE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31FD"/>
    <w:rsid w:val="008341D3"/>
    <w:rsid w:val="00847ACD"/>
    <w:rsid w:val="008619EE"/>
    <w:rsid w:val="008677AD"/>
    <w:rsid w:val="008C58F8"/>
    <w:rsid w:val="008C5D44"/>
    <w:rsid w:val="009273F4"/>
    <w:rsid w:val="00930255"/>
    <w:rsid w:val="00953529"/>
    <w:rsid w:val="00964DEC"/>
    <w:rsid w:val="009817FB"/>
    <w:rsid w:val="00995DD7"/>
    <w:rsid w:val="009D2B52"/>
    <w:rsid w:val="009D3571"/>
    <w:rsid w:val="009E08D1"/>
    <w:rsid w:val="009E3493"/>
    <w:rsid w:val="00A173EA"/>
    <w:rsid w:val="00A30BFD"/>
    <w:rsid w:val="00A5593F"/>
    <w:rsid w:val="00AA736D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DF1625"/>
    <w:rsid w:val="00E2647D"/>
    <w:rsid w:val="00E612F7"/>
    <w:rsid w:val="00E65D12"/>
    <w:rsid w:val="00E749A6"/>
    <w:rsid w:val="00E95A27"/>
    <w:rsid w:val="00ED550A"/>
    <w:rsid w:val="00EE1A6B"/>
    <w:rsid w:val="00EF2953"/>
    <w:rsid w:val="00F46DE5"/>
    <w:rsid w:val="00F6119C"/>
    <w:rsid w:val="00F76904"/>
    <w:rsid w:val="00F85FF7"/>
    <w:rsid w:val="00FA1327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842"/>
  </w:style>
  <w:style w:type="paragraph" w:styleId="Rodap">
    <w:name w:val="footer"/>
    <w:basedOn w:val="Normal"/>
    <w:link w:val="Rodap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AA229-D21E-4A35-BB33-2ED5EFAF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1168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68</cp:revision>
  <cp:lastPrinted>2018-07-30T13:05:00Z</cp:lastPrinted>
  <dcterms:created xsi:type="dcterms:W3CDTF">2018-05-18T19:23:00Z</dcterms:created>
  <dcterms:modified xsi:type="dcterms:W3CDTF">2019-01-16T17:38:00Z</dcterms:modified>
</cp:coreProperties>
</file>