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64" w:rsidRDefault="007A7064" w:rsidP="00505729">
      <w:pPr>
        <w:rPr>
          <w:b/>
          <w:color w:val="404040" w:themeColor="text1" w:themeTint="BF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102783" y="897467"/>
            <wp:positionH relativeFrom="margin">
              <wp:align>left</wp:align>
            </wp:positionH>
            <wp:positionV relativeFrom="margin">
              <wp:align>top</wp:align>
            </wp:positionV>
            <wp:extent cx="1116330" cy="567266"/>
            <wp:effectExtent l="19050" t="0" r="7620" b="0"/>
            <wp:wrapSquare wrapText="bothSides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56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</w:t>
      </w:r>
      <w:r w:rsidR="00087E99">
        <w:rPr>
          <w:color w:val="404040" w:themeColor="text1" w:themeTint="BF"/>
          <w:sz w:val="24"/>
          <w:szCs w:val="24"/>
        </w:rPr>
        <w:t>texto</w:t>
      </w:r>
      <w:r>
        <w:rPr>
          <w:color w:val="404040" w:themeColor="text1" w:themeTint="BF"/>
          <w:sz w:val="24"/>
          <w:szCs w:val="24"/>
        </w:rPr>
        <w:t xml:space="preserve"> servirá como documentação do sistema a ser </w:t>
      </w:r>
      <w:proofErr w:type="gramStart"/>
      <w:r>
        <w:rPr>
          <w:color w:val="404040" w:themeColor="text1" w:themeTint="BF"/>
          <w:sz w:val="24"/>
          <w:szCs w:val="24"/>
        </w:rPr>
        <w:t xml:space="preserve">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>na determinada data</w:t>
      </w:r>
      <w:proofErr w:type="gramEnd"/>
      <w:r>
        <w:rPr>
          <w:color w:val="404040" w:themeColor="text1" w:themeTint="BF"/>
          <w:sz w:val="24"/>
          <w:szCs w:val="24"/>
        </w:rPr>
        <w:t xml:space="preserve">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583A76">
        <w:rPr>
          <w:b/>
          <w:color w:val="404040" w:themeColor="text1" w:themeTint="BF"/>
          <w:sz w:val="28"/>
          <w:szCs w:val="28"/>
        </w:rPr>
        <w:t>implementação</w:t>
      </w:r>
      <w:proofErr w:type="gramEnd"/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 xml:space="preserve">Modelo de processo orientado a </w:t>
      </w:r>
      <w:proofErr w:type="spellStart"/>
      <w:proofErr w:type="gramStart"/>
      <w:r>
        <w:rPr>
          <w:color w:val="404040" w:themeColor="text1" w:themeTint="BF"/>
          <w:sz w:val="24"/>
          <w:szCs w:val="24"/>
        </w:rPr>
        <w:t>re-uso</w:t>
      </w:r>
      <w:proofErr w:type="spellEnd"/>
      <w:proofErr w:type="gramEnd"/>
      <w:r>
        <w:rPr>
          <w:color w:val="404040" w:themeColor="text1" w:themeTint="BF"/>
          <w:sz w:val="24"/>
          <w:szCs w:val="24"/>
        </w:rPr>
        <w:t>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</w:t>
      </w:r>
      <w:proofErr w:type="spellStart"/>
      <w:proofErr w:type="gramStart"/>
      <w:r>
        <w:rPr>
          <w:color w:val="404040" w:themeColor="text1" w:themeTint="BF"/>
          <w:sz w:val="24"/>
          <w:szCs w:val="24"/>
        </w:rPr>
        <w:t>re-uso</w:t>
      </w:r>
      <w:proofErr w:type="spellEnd"/>
      <w:proofErr w:type="gramEnd"/>
      <w:r>
        <w:rPr>
          <w:color w:val="404040" w:themeColor="text1" w:themeTint="BF"/>
          <w:sz w:val="24"/>
          <w:szCs w:val="24"/>
        </w:rPr>
        <w:t xml:space="preserve">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lastRenderedPageBreak/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2"/>
        <w:gridCol w:w="7668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gramStart"/>
            <w:r w:rsidR="00594AE4">
              <w:rPr>
                <w:color w:val="404040" w:themeColor="text1" w:themeTint="BF"/>
                <w:sz w:val="24"/>
                <w:szCs w:val="24"/>
              </w:rPr>
              <w:t>convênio</w:t>
            </w:r>
            <w:proofErr w:type="gramEnd"/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Datas de assinatura, ordem de serviço e </w:t>
            </w: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garantia podem ser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9"/>
        <w:gridCol w:w="7671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505729" w:rsidRDefault="00505729" w:rsidP="00505729">
      <w:pPr>
        <w:spacing w:after="0"/>
        <w:rPr>
          <w:b/>
          <w:color w:val="404040" w:themeColor="text1" w:themeTint="BF"/>
          <w:sz w:val="28"/>
          <w:szCs w:val="28"/>
        </w:rPr>
      </w:pPr>
    </w:p>
    <w:p w:rsidR="00505729" w:rsidRDefault="00505729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br w:type="page"/>
      </w:r>
    </w:p>
    <w:p w:rsidR="00583A76" w:rsidRDefault="00E2647D" w:rsidP="00505729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matricula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login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senha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cargo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Cargo</w:t>
            </w:r>
          </w:p>
        </w:tc>
      </w:tr>
    </w:tbl>
    <w:tbl>
      <w:tblPr>
        <w:tblStyle w:val="Tabelacomgrade"/>
        <w:tblpPr w:leftFromText="141" w:rightFromText="141" w:vertAnchor="page" w:horzAnchor="margin" w:tblpXSpec="right" w:tblpY="2308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notaFiscal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aditivo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float</w:t>
            </w:r>
            <w:proofErr w:type="spellEnd"/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tipoAditivo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dataPagamento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nSEI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ano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e mês de referencia: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codigo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sigla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</w:t>
            </w:r>
            <w:proofErr w:type="gramEnd"/>
            <w:r w:rsidR="00E749A6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 w:rsidR="00E749A6"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CNPJempresaContratada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numeroPortaria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gestor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fiscal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dataAssinatura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dataOrdemDeServico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dataVencimentoContrato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objeto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valorInicial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valorTotal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quantidadeAditivos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listaProcessos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recurso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fonte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uso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  <w:r w:rsidR="00EE1A6B">
        <w:rPr>
          <w:b/>
          <w:color w:val="404040" w:themeColor="text1" w:themeTint="BF"/>
          <w:sz w:val="24"/>
          <w:szCs w:val="24"/>
        </w:rPr>
        <w:t xml:space="preserve"> (</w:t>
      </w:r>
      <w:proofErr w:type="gramStart"/>
      <w:r w:rsidR="00EE1A6B">
        <w:rPr>
          <w:b/>
          <w:color w:val="404040" w:themeColor="text1" w:themeTint="BF"/>
          <w:sz w:val="24"/>
          <w:szCs w:val="24"/>
        </w:rPr>
        <w:t>v1.</w:t>
      </w:r>
      <w:proofErr w:type="gramEnd"/>
      <w:r w:rsidR="00EE1A6B">
        <w:rPr>
          <w:b/>
          <w:color w:val="404040" w:themeColor="text1" w:themeTint="BF"/>
          <w:sz w:val="24"/>
          <w:szCs w:val="24"/>
        </w:rPr>
        <w:t>1)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995DD7" w:rsidTr="006C4185">
        <w:tc>
          <w:tcPr>
            <w:tcW w:w="1106" w:type="dxa"/>
          </w:tcPr>
          <w:p w:rsidR="00995DD7" w:rsidRPr="00D7588F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995DD7"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</w:p>
        </w:tc>
        <w:tc>
          <w:tcPr>
            <w:tcW w:w="9505" w:type="dxa"/>
          </w:tcPr>
          <w:p w:rsidR="00521324" w:rsidRDefault="00521324" w:rsidP="000D56F5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0D56F5">
              <w:rPr>
                <w:color w:val="404040" w:themeColor="text1" w:themeTint="BF"/>
                <w:sz w:val="24"/>
                <w:szCs w:val="24"/>
              </w:rPr>
              <w:t xml:space="preserve"> e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diretor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Avisar por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email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AB5F2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2A1B8C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Cadastrar um documento em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pdf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64144D"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70287">
              <w:rPr>
                <w:b/>
                <w:color w:val="404040" w:themeColor="text1" w:themeTint="BF"/>
                <w:sz w:val="24"/>
                <w:szCs w:val="24"/>
              </w:rPr>
              <w:t>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Obs</w:t>
      </w:r>
      <w:proofErr w:type="spellEnd"/>
      <w:r>
        <w:rPr>
          <w:color w:val="404040" w:themeColor="text1" w:themeTint="BF"/>
          <w:sz w:val="24"/>
          <w:szCs w:val="24"/>
        </w:rPr>
        <w:t xml:space="preserve"> (28/08/2018): </w:t>
      </w:r>
      <w:r w:rsidR="00EE1A6B">
        <w:rPr>
          <w:color w:val="404040" w:themeColor="text1" w:themeTint="BF"/>
          <w:sz w:val="24"/>
          <w:szCs w:val="24"/>
        </w:rPr>
        <w:t>V11</w:t>
      </w:r>
      <w:r w:rsidRPr="002D27C7">
        <w:rPr>
          <w:color w:val="404040" w:themeColor="text1" w:themeTint="BF"/>
          <w:sz w:val="24"/>
          <w:szCs w:val="24"/>
        </w:rPr>
        <w:t>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p w:rsidR="00C36A24" w:rsidRDefault="00EE1A6B" w:rsidP="00C36A24">
      <w:pPr>
        <w:jc w:val="center"/>
        <w:rPr>
          <w:b/>
          <w:color w:val="404040" w:themeColor="text1" w:themeTint="BF"/>
          <w:sz w:val="24"/>
          <w:szCs w:val="24"/>
        </w:rPr>
      </w:pPr>
      <w:r w:rsidRPr="00822A5E">
        <w:rPr>
          <w:b/>
          <w:color w:val="404040" w:themeColor="text1" w:themeTint="BF"/>
          <w:sz w:val="24"/>
          <w:szCs w:val="24"/>
        </w:rPr>
        <w:lastRenderedPageBreak/>
        <w:t>Segunda adição (</w:t>
      </w:r>
      <w:proofErr w:type="gramStart"/>
      <w:r w:rsidRPr="00822A5E">
        <w:rPr>
          <w:b/>
          <w:color w:val="404040" w:themeColor="text1" w:themeTint="BF"/>
          <w:sz w:val="24"/>
          <w:szCs w:val="24"/>
        </w:rPr>
        <w:t>v1.</w:t>
      </w:r>
      <w:proofErr w:type="gramEnd"/>
      <w:r w:rsidRPr="00822A5E">
        <w:rPr>
          <w:b/>
          <w:color w:val="404040" w:themeColor="text1" w:themeTint="BF"/>
          <w:sz w:val="24"/>
          <w:szCs w:val="24"/>
        </w:rPr>
        <w:t>2)</w:t>
      </w:r>
    </w:p>
    <w:p w:rsidR="00C36A24" w:rsidRPr="00C36A24" w:rsidRDefault="00C36A24" w:rsidP="00C36A24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feita com Anderson Araújo, Avelar Argolo, Douglas Almeida e Romeu Oliveira no dia 09/10/2018, novos requisitos foram escolhidos para o sistema. Segue lista:</w:t>
      </w: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EE1A6B" w:rsidTr="00505729">
        <w:tc>
          <w:tcPr>
            <w:tcW w:w="1102" w:type="dxa"/>
          </w:tcPr>
          <w:p w:rsidR="00EE1A6B" w:rsidRPr="00D7588F" w:rsidRDefault="00EE1A6B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EE1A6B" w:rsidRDefault="00C36A24" w:rsidP="00B117C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Mudar nomenclaturas de cargos: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passa a ser Administrador do sistema.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tabs>
                <w:tab w:val="left" w:pos="553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passa a ser Gestor Geral de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Descrição do gestor: Alimenta os dados de pagamento.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Diretor passa a ser Diretor Administrativo e Financeiro.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Presidente passa a ser DIPRE.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Tesoureiro passa a ser COFIN.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V12RF02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de Contratos atualiza vencimento da garantia do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V12RF03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 deve ser chamado de dados do contrato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V12RF04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do contrato: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Med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passa a ser “Item”.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Listagem de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items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de ser decrescente (Atualmente está crescente).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Alerta sobre vencimento do contrato quando estiver faltando menos de 90 dias.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V12RF05</w:t>
            </w:r>
          </w:p>
        </w:tc>
        <w:tc>
          <w:tcPr>
            <w:tcW w:w="7618" w:type="dxa"/>
          </w:tcPr>
          <w:p w:rsidR="006607BE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saldo do contrato:</w:t>
            </w:r>
          </w:p>
        </w:tc>
      </w:tr>
      <w:tr w:rsidR="006607BE" w:rsidTr="00505729">
        <w:tc>
          <w:tcPr>
            <w:tcW w:w="1102" w:type="dxa"/>
          </w:tcPr>
          <w:p w:rsidR="006607BE" w:rsidRDefault="006607BE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6607BE" w:rsidRDefault="006607BE" w:rsidP="006607B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Saldo mais recente do contrato é o que resta do valor total depois que o processo foi pago. </w:t>
            </w:r>
          </w:p>
        </w:tc>
      </w:tr>
    </w:tbl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Y="9668"/>
        <w:tblOverlap w:val="never"/>
        <w:tblW w:w="4077" w:type="dxa"/>
        <w:tblLook w:val="04A0" w:firstRow="1" w:lastRow="0" w:firstColumn="1" w:lastColumn="0" w:noHBand="0" w:noVBand="1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notaFiscal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aditivo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tipoAditivo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dataPagamento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nSEI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ano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e mês de referencia: data</w:t>
            </w:r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Saldo desse processo: decimal</w:t>
            </w:r>
          </w:p>
        </w:tc>
      </w:tr>
    </w:tbl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nove de outubro de dois mil e dezoito.</w:t>
      </w:r>
    </w:p>
    <w:p w:rsidR="00226842" w:rsidRDefault="00226842" w:rsidP="00226842">
      <w:pPr>
        <w:jc w:val="center"/>
        <w:rPr>
          <w:b/>
          <w:color w:val="404040" w:themeColor="text1" w:themeTint="BF"/>
          <w:sz w:val="24"/>
          <w:szCs w:val="24"/>
        </w:rPr>
      </w:pPr>
      <w:r w:rsidRPr="00505729">
        <w:rPr>
          <w:b/>
          <w:color w:val="404040" w:themeColor="text1" w:themeTint="BF"/>
          <w:sz w:val="24"/>
          <w:szCs w:val="24"/>
        </w:rPr>
        <w:lastRenderedPageBreak/>
        <w:t>Terceira</w:t>
      </w:r>
      <w:r w:rsidR="00505729">
        <w:rPr>
          <w:b/>
          <w:color w:val="404040" w:themeColor="text1" w:themeTint="BF"/>
          <w:sz w:val="24"/>
          <w:szCs w:val="24"/>
        </w:rPr>
        <w:t xml:space="preserve"> adição (</w:t>
      </w:r>
      <w:proofErr w:type="gramStart"/>
      <w:r w:rsidR="00505729">
        <w:rPr>
          <w:b/>
          <w:color w:val="404040" w:themeColor="text1" w:themeTint="BF"/>
          <w:sz w:val="24"/>
          <w:szCs w:val="24"/>
        </w:rPr>
        <w:t>v1.</w:t>
      </w:r>
      <w:proofErr w:type="gramEnd"/>
      <w:r w:rsidR="00505729">
        <w:rPr>
          <w:b/>
          <w:color w:val="404040" w:themeColor="text1" w:themeTint="BF"/>
          <w:sz w:val="24"/>
          <w:szCs w:val="24"/>
        </w:rPr>
        <w:t>3)</w:t>
      </w:r>
    </w:p>
    <w:p w:rsidR="00505729" w:rsidRDefault="00505729" w:rsidP="00505729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Segundo reunião no dia 30/10/2018, em que estiveram presentes Douglas Almeida, Anderson Araújo, Romeu Oliveira, George Rebouças, Karin </w:t>
      </w:r>
      <w:proofErr w:type="spellStart"/>
      <w:r>
        <w:rPr>
          <w:color w:val="404040" w:themeColor="text1" w:themeTint="BF"/>
          <w:sz w:val="24"/>
          <w:szCs w:val="24"/>
        </w:rPr>
        <w:t>Kunze</w:t>
      </w:r>
      <w:proofErr w:type="spellEnd"/>
      <w:r>
        <w:rPr>
          <w:color w:val="404040" w:themeColor="text1" w:themeTint="BF"/>
          <w:sz w:val="24"/>
          <w:szCs w:val="24"/>
        </w:rPr>
        <w:t xml:space="preserve"> e </w:t>
      </w:r>
      <w:proofErr w:type="spellStart"/>
      <w:r>
        <w:rPr>
          <w:color w:val="404040" w:themeColor="text1" w:themeTint="BF"/>
          <w:sz w:val="24"/>
          <w:szCs w:val="24"/>
        </w:rPr>
        <w:t>Hidelson</w:t>
      </w:r>
      <w:proofErr w:type="spellEnd"/>
      <w:r>
        <w:rPr>
          <w:color w:val="404040" w:themeColor="text1" w:themeTint="BF"/>
          <w:sz w:val="24"/>
          <w:szCs w:val="24"/>
        </w:rPr>
        <w:t>, foram decididas as seguintes modificações: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505729" w:rsidTr="00DB0F8C">
        <w:tc>
          <w:tcPr>
            <w:tcW w:w="1102" w:type="dxa"/>
          </w:tcPr>
          <w:p w:rsidR="00505729" w:rsidRPr="00D7588F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V13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de contrato:</w:t>
            </w:r>
          </w:p>
        </w:tc>
      </w:tr>
      <w:tr w:rsidR="00505729" w:rsidTr="00DB0F8C">
        <w:tc>
          <w:tcPr>
            <w:tcW w:w="1102" w:type="dxa"/>
          </w:tcPr>
          <w:p w:rsidR="00505729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“Objeto” passa a ser “Observação”</w:t>
            </w:r>
            <w:r w:rsidR="002D52D0"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2D52D0" w:rsidTr="00DB0F8C">
        <w:tc>
          <w:tcPr>
            <w:tcW w:w="1102" w:type="dxa"/>
          </w:tcPr>
          <w:p w:rsidR="002D52D0" w:rsidRDefault="002D52D0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 w:rsidR="00AA736D">
              <w:rPr>
                <w:b/>
                <w:color w:val="404040" w:themeColor="text1" w:themeTint="BF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18" w:type="dxa"/>
          </w:tcPr>
          <w:p w:rsidR="002D52D0" w:rsidRDefault="002D52D0" w:rsidP="000D56F5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Primeira linha da tabela da planilha ser fixada no topo quando o usuário descer a página</w:t>
            </w:r>
          </w:p>
        </w:tc>
      </w:tr>
    </w:tbl>
    <w:p w:rsidR="009273F4" w:rsidRDefault="009273F4" w:rsidP="00505729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trinta de outubro de dois mil e dezoito.</w:t>
      </w:r>
    </w:p>
    <w:p w:rsidR="00505729" w:rsidRPr="00F6119C" w:rsidRDefault="009273F4" w:rsidP="00F6119C">
      <w:pPr>
        <w:jc w:val="center"/>
        <w:rPr>
          <w:color w:val="404040" w:themeColor="text1" w:themeTint="BF"/>
          <w:sz w:val="24"/>
          <w:szCs w:val="24"/>
        </w:rPr>
      </w:pPr>
      <w:r w:rsidRPr="009273F4">
        <w:rPr>
          <w:b/>
          <w:color w:val="404040" w:themeColor="text1" w:themeTint="BF"/>
          <w:sz w:val="24"/>
          <w:szCs w:val="24"/>
        </w:rPr>
        <w:lastRenderedPageBreak/>
        <w:t>Quarta adição (</w:t>
      </w:r>
      <w:proofErr w:type="gramStart"/>
      <w:r w:rsidRPr="009273F4">
        <w:rPr>
          <w:b/>
          <w:color w:val="404040" w:themeColor="text1" w:themeTint="BF"/>
          <w:sz w:val="24"/>
          <w:szCs w:val="24"/>
        </w:rPr>
        <w:t>v1.</w:t>
      </w:r>
      <w:proofErr w:type="gramEnd"/>
      <w:r w:rsidRPr="009273F4">
        <w:rPr>
          <w:b/>
          <w:color w:val="404040" w:themeColor="text1" w:themeTint="BF"/>
          <w:sz w:val="24"/>
          <w:szCs w:val="24"/>
        </w:rPr>
        <w:t>4</w:t>
      </w:r>
      <w:r>
        <w:rPr>
          <w:b/>
          <w:color w:val="404040" w:themeColor="text1" w:themeTint="BF"/>
          <w:sz w:val="24"/>
          <w:szCs w:val="24"/>
        </w:rPr>
        <w:t>)</w:t>
      </w:r>
    </w:p>
    <w:p w:rsidR="009273F4" w:rsidRDefault="009273F4" w:rsidP="009273F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A pedido de Anderson Araújo em </w:t>
      </w:r>
      <w:proofErr w:type="gramStart"/>
      <w:r>
        <w:rPr>
          <w:color w:val="404040" w:themeColor="text1" w:themeTint="BF"/>
          <w:sz w:val="24"/>
          <w:szCs w:val="24"/>
        </w:rPr>
        <w:t>9</w:t>
      </w:r>
      <w:proofErr w:type="gramEnd"/>
      <w:r>
        <w:rPr>
          <w:color w:val="404040" w:themeColor="text1" w:themeTint="BF"/>
          <w:sz w:val="24"/>
          <w:szCs w:val="24"/>
        </w:rPr>
        <w:t xml:space="preserve"> de janeiro de 2019.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9273F4" w:rsidTr="00D80584">
        <w:tc>
          <w:tcPr>
            <w:tcW w:w="1102" w:type="dxa"/>
          </w:tcPr>
          <w:p w:rsidR="009273F4" w:rsidRPr="00D7588F" w:rsidRDefault="009273F4" w:rsidP="009273F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V14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Visualizar tabela do resumo do contrato assim como nas planilhas: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D8058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valor total do contrato.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D8058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valor total dos aditivos.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D8058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 w:rsidR="00242966">
              <w:rPr>
                <w:b/>
                <w:color w:val="404040" w:themeColor="text1" w:themeTint="BF"/>
                <w:sz w:val="24"/>
                <w:szCs w:val="24"/>
              </w:rPr>
              <w:t>3</w:t>
            </w:r>
            <w:proofErr w:type="gramEnd"/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valor já pago. Valor é a soma dos valores dos processos.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D8058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 w:rsidR="00242966">
              <w:rPr>
                <w:b/>
                <w:color w:val="404040" w:themeColor="text1" w:themeTint="BF"/>
                <w:sz w:val="24"/>
                <w:szCs w:val="24"/>
              </w:rPr>
              <w:t>4</w:t>
            </w:r>
            <w:proofErr w:type="gramEnd"/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porcentagem concluída e a concluir, segundo fórmula: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9273F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r w:rsidR="00242966">
              <w:rPr>
                <w:b/>
                <w:color w:val="404040" w:themeColor="text1" w:themeTint="BF"/>
                <w:sz w:val="24"/>
                <w:szCs w:val="24"/>
              </w:rPr>
              <w:t>4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7618" w:type="dxa"/>
          </w:tcPr>
          <w:p w:rsidR="009273F4" w:rsidRDefault="009273F4" w:rsidP="009273F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 já pago dividido pelo valor total do contrato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9273F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 w:rsidR="00242966">
              <w:rPr>
                <w:b/>
                <w:color w:val="404040" w:themeColor="text1" w:themeTint="BF"/>
                <w:sz w:val="24"/>
                <w:szCs w:val="24"/>
              </w:rPr>
              <w:t>5</w:t>
            </w:r>
            <w:proofErr w:type="gramEnd"/>
          </w:p>
        </w:tc>
        <w:tc>
          <w:tcPr>
            <w:tcW w:w="7618" w:type="dxa"/>
          </w:tcPr>
          <w:p w:rsidR="009273F4" w:rsidRDefault="009273F4" w:rsidP="00242966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Mostrar valor do contrato, saldo e aditivo </w:t>
            </w:r>
            <w:r w:rsidR="00242966">
              <w:rPr>
                <w:color w:val="404040" w:themeColor="text1" w:themeTint="BF"/>
                <w:sz w:val="24"/>
                <w:szCs w:val="24"/>
              </w:rPr>
              <w:t>mensal</w:t>
            </w:r>
            <w:r>
              <w:rPr>
                <w:color w:val="404040" w:themeColor="text1" w:themeTint="BF"/>
                <w:sz w:val="24"/>
                <w:szCs w:val="24"/>
              </w:rPr>
              <w:t>mente.</w:t>
            </w:r>
          </w:p>
        </w:tc>
      </w:tr>
      <w:tr w:rsidR="009273F4" w:rsidTr="00D80584">
        <w:tc>
          <w:tcPr>
            <w:tcW w:w="1102" w:type="dxa"/>
          </w:tcPr>
          <w:p w:rsidR="009273F4" w:rsidRDefault="009273F4" w:rsidP="009273F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 w:rsidR="00242966">
              <w:rPr>
                <w:b/>
                <w:color w:val="404040" w:themeColor="text1" w:themeTint="BF"/>
                <w:sz w:val="24"/>
                <w:szCs w:val="24"/>
              </w:rPr>
              <w:t>6</w:t>
            </w:r>
            <w:proofErr w:type="gramEnd"/>
          </w:p>
        </w:tc>
        <w:tc>
          <w:tcPr>
            <w:tcW w:w="7618" w:type="dxa"/>
          </w:tcPr>
          <w:p w:rsidR="009273F4" w:rsidRDefault="009273F4" w:rsidP="00242966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valor</w:t>
            </w:r>
            <w:r w:rsidR="00242966">
              <w:rPr>
                <w:color w:val="404040" w:themeColor="text1" w:themeTint="BF"/>
                <w:sz w:val="24"/>
                <w:szCs w:val="24"/>
              </w:rPr>
              <w:t>es acumulados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do contrato e aditivo </w:t>
            </w:r>
            <w:r w:rsidR="00242966">
              <w:rPr>
                <w:color w:val="404040" w:themeColor="text1" w:themeTint="BF"/>
                <w:sz w:val="24"/>
                <w:szCs w:val="24"/>
              </w:rPr>
              <w:t>anualmente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009273F4" w:rsidRPr="009273F4" w:rsidRDefault="009273F4" w:rsidP="009273F4">
      <w:pPr>
        <w:rPr>
          <w:color w:val="404040" w:themeColor="text1" w:themeTint="BF"/>
          <w:sz w:val="24"/>
          <w:szCs w:val="24"/>
        </w:rPr>
      </w:pPr>
    </w:p>
    <w:p w:rsidR="009273F4" w:rsidRDefault="009273F4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9273F4">
      <w:pPr>
        <w:jc w:val="center"/>
        <w:rPr>
          <w:color w:val="404040" w:themeColor="text1" w:themeTint="BF"/>
          <w:sz w:val="24"/>
          <w:szCs w:val="24"/>
        </w:rPr>
      </w:pPr>
    </w:p>
    <w:p w:rsidR="00F6119C" w:rsidRDefault="00F6119C" w:rsidP="00F6119C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dezesseis de janeiro de dois mil e dezenove.</w:t>
      </w:r>
    </w:p>
    <w:p w:rsidR="00581061" w:rsidRPr="00581061" w:rsidRDefault="00581061" w:rsidP="00581061">
      <w:pPr>
        <w:jc w:val="center"/>
        <w:rPr>
          <w:b/>
          <w:color w:val="404040" w:themeColor="text1" w:themeTint="BF"/>
          <w:sz w:val="24"/>
          <w:szCs w:val="24"/>
        </w:rPr>
      </w:pPr>
      <w:r w:rsidRPr="00581061">
        <w:rPr>
          <w:b/>
          <w:color w:val="404040" w:themeColor="text1" w:themeTint="BF"/>
          <w:sz w:val="24"/>
          <w:szCs w:val="24"/>
        </w:rPr>
        <w:lastRenderedPageBreak/>
        <w:t>Quinta adição</w:t>
      </w:r>
      <w:r>
        <w:rPr>
          <w:b/>
          <w:color w:val="404040" w:themeColor="text1" w:themeTint="BF"/>
          <w:sz w:val="24"/>
          <w:szCs w:val="24"/>
        </w:rPr>
        <w:t xml:space="preserve"> (</w:t>
      </w:r>
      <w:proofErr w:type="gramStart"/>
      <w:r>
        <w:rPr>
          <w:b/>
          <w:color w:val="404040" w:themeColor="text1" w:themeTint="BF"/>
          <w:sz w:val="24"/>
          <w:szCs w:val="24"/>
        </w:rPr>
        <w:t>v1.</w:t>
      </w:r>
      <w:proofErr w:type="gramEnd"/>
      <w:r>
        <w:rPr>
          <w:b/>
          <w:color w:val="404040" w:themeColor="text1" w:themeTint="BF"/>
          <w:sz w:val="24"/>
          <w:szCs w:val="24"/>
        </w:rPr>
        <w:t>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581061" w:rsidTr="00591DA3">
        <w:tc>
          <w:tcPr>
            <w:tcW w:w="1102" w:type="dxa"/>
          </w:tcPr>
          <w:p w:rsidR="00581061" w:rsidRPr="00D7588F" w:rsidRDefault="00581061" w:rsidP="00581061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5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581061" w:rsidRDefault="00581061" w:rsidP="00581061">
            <w:pPr>
              <w:tabs>
                <w:tab w:val="right" w:pos="7402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Botão “Novos dados” passa a se chamar “Inserir novos dados”.</w:t>
            </w:r>
          </w:p>
        </w:tc>
      </w:tr>
      <w:tr w:rsidR="00581061" w:rsidTr="00591DA3">
        <w:tc>
          <w:tcPr>
            <w:tcW w:w="1102" w:type="dxa"/>
          </w:tcPr>
          <w:p w:rsidR="00581061" w:rsidRDefault="00581061" w:rsidP="00591DA3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V15RF02</w:t>
            </w:r>
          </w:p>
        </w:tc>
        <w:tc>
          <w:tcPr>
            <w:tcW w:w="7618" w:type="dxa"/>
          </w:tcPr>
          <w:p w:rsidR="00581061" w:rsidRDefault="00581061" w:rsidP="0058106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Botão “Ver resumo do contrato” deve ficar no começo da planilha. No acesso de gestor, deve ficar ao lado do botão “Inserir novos dados”.</w:t>
            </w:r>
          </w:p>
        </w:tc>
      </w:tr>
      <w:tr w:rsidR="00581061" w:rsidTr="00591DA3">
        <w:tc>
          <w:tcPr>
            <w:tcW w:w="1102" w:type="dxa"/>
          </w:tcPr>
          <w:p w:rsidR="00581061" w:rsidRDefault="00581061" w:rsidP="00591DA3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V15RF03</w:t>
            </w:r>
          </w:p>
        </w:tc>
        <w:tc>
          <w:tcPr>
            <w:tcW w:w="7618" w:type="dxa"/>
          </w:tcPr>
          <w:p w:rsidR="00581061" w:rsidRDefault="00581061" w:rsidP="0058106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Colocar botão de voltar para a última tela em todas as telas</w:t>
            </w:r>
          </w:p>
        </w:tc>
      </w:tr>
      <w:tr w:rsidR="00581061" w:rsidTr="00591DA3">
        <w:tc>
          <w:tcPr>
            <w:tcW w:w="1102" w:type="dxa"/>
          </w:tcPr>
          <w:p w:rsidR="00581061" w:rsidRDefault="00581061" w:rsidP="00591DA3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V15RF04</w:t>
            </w:r>
          </w:p>
        </w:tc>
        <w:tc>
          <w:tcPr>
            <w:tcW w:w="7618" w:type="dxa"/>
          </w:tcPr>
          <w:p w:rsidR="00581061" w:rsidRDefault="00581061" w:rsidP="00591DA3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Gerar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pdf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com toda a planilha do contrato</w:t>
            </w:r>
          </w:p>
        </w:tc>
      </w:tr>
    </w:tbl>
    <w:p w:rsidR="00581061" w:rsidRPr="00505729" w:rsidRDefault="00581061" w:rsidP="00581061">
      <w:pPr>
        <w:rPr>
          <w:color w:val="404040" w:themeColor="text1" w:themeTint="BF"/>
          <w:sz w:val="24"/>
          <w:szCs w:val="24"/>
        </w:rPr>
      </w:pPr>
      <w:bookmarkStart w:id="0" w:name="_GoBack"/>
      <w:bookmarkEnd w:id="0"/>
    </w:p>
    <w:sectPr w:rsidR="00581061" w:rsidRPr="00505729" w:rsidSect="00505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3C" w:rsidRDefault="00AC063C" w:rsidP="00226842">
      <w:pPr>
        <w:spacing w:after="0" w:line="240" w:lineRule="auto"/>
      </w:pPr>
      <w:r>
        <w:separator/>
      </w:r>
    </w:p>
  </w:endnote>
  <w:endnote w:type="continuationSeparator" w:id="0">
    <w:p w:rsidR="00AC063C" w:rsidRDefault="00AC063C" w:rsidP="002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3C" w:rsidRDefault="00AC063C" w:rsidP="00226842">
      <w:pPr>
        <w:spacing w:after="0" w:line="240" w:lineRule="auto"/>
      </w:pPr>
      <w:r>
        <w:separator/>
      </w:r>
    </w:p>
  </w:footnote>
  <w:footnote w:type="continuationSeparator" w:id="0">
    <w:p w:rsidR="00AC063C" w:rsidRDefault="00AC063C" w:rsidP="00226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7064"/>
    <w:rsid w:val="0000790A"/>
    <w:rsid w:val="000114B1"/>
    <w:rsid w:val="00087E99"/>
    <w:rsid w:val="000D3CC2"/>
    <w:rsid w:val="000D56F5"/>
    <w:rsid w:val="00171629"/>
    <w:rsid w:val="001B4E0D"/>
    <w:rsid w:val="001C62AA"/>
    <w:rsid w:val="001F1DF9"/>
    <w:rsid w:val="001F7014"/>
    <w:rsid w:val="00226842"/>
    <w:rsid w:val="00242966"/>
    <w:rsid w:val="0028421E"/>
    <w:rsid w:val="0028500E"/>
    <w:rsid w:val="002A1B8C"/>
    <w:rsid w:val="002D27C7"/>
    <w:rsid w:val="002D52D0"/>
    <w:rsid w:val="002E7108"/>
    <w:rsid w:val="002E748F"/>
    <w:rsid w:val="002F2140"/>
    <w:rsid w:val="003241E7"/>
    <w:rsid w:val="003704BC"/>
    <w:rsid w:val="00373082"/>
    <w:rsid w:val="003E025E"/>
    <w:rsid w:val="003E4EE3"/>
    <w:rsid w:val="003E6D0C"/>
    <w:rsid w:val="004416CA"/>
    <w:rsid w:val="004723ED"/>
    <w:rsid w:val="00482168"/>
    <w:rsid w:val="004A1C54"/>
    <w:rsid w:val="004C2F72"/>
    <w:rsid w:val="00505729"/>
    <w:rsid w:val="00521324"/>
    <w:rsid w:val="00570287"/>
    <w:rsid w:val="00581061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54EC7"/>
    <w:rsid w:val="006607BE"/>
    <w:rsid w:val="0069257D"/>
    <w:rsid w:val="00696149"/>
    <w:rsid w:val="006A18A8"/>
    <w:rsid w:val="006B2843"/>
    <w:rsid w:val="006B7C30"/>
    <w:rsid w:val="006C11E1"/>
    <w:rsid w:val="006C4185"/>
    <w:rsid w:val="00713F35"/>
    <w:rsid w:val="00732BCE"/>
    <w:rsid w:val="00756638"/>
    <w:rsid w:val="007611BC"/>
    <w:rsid w:val="007A7064"/>
    <w:rsid w:val="00822A5E"/>
    <w:rsid w:val="008331FD"/>
    <w:rsid w:val="008341D3"/>
    <w:rsid w:val="00847ACD"/>
    <w:rsid w:val="008619EE"/>
    <w:rsid w:val="008677AD"/>
    <w:rsid w:val="008C58F8"/>
    <w:rsid w:val="008C5D44"/>
    <w:rsid w:val="009273F4"/>
    <w:rsid w:val="00930255"/>
    <w:rsid w:val="00953529"/>
    <w:rsid w:val="00964DEC"/>
    <w:rsid w:val="009817FB"/>
    <w:rsid w:val="00995DD7"/>
    <w:rsid w:val="009D2B52"/>
    <w:rsid w:val="009D3571"/>
    <w:rsid w:val="009E08D1"/>
    <w:rsid w:val="009E3493"/>
    <w:rsid w:val="00A173EA"/>
    <w:rsid w:val="00A30BFD"/>
    <w:rsid w:val="00A5593F"/>
    <w:rsid w:val="00AA736D"/>
    <w:rsid w:val="00AB40FE"/>
    <w:rsid w:val="00AB528B"/>
    <w:rsid w:val="00AB5F2F"/>
    <w:rsid w:val="00AC063C"/>
    <w:rsid w:val="00AC7C1E"/>
    <w:rsid w:val="00B43BB9"/>
    <w:rsid w:val="00B51407"/>
    <w:rsid w:val="00BB0500"/>
    <w:rsid w:val="00BD198D"/>
    <w:rsid w:val="00C079A2"/>
    <w:rsid w:val="00C10CE1"/>
    <w:rsid w:val="00C36A24"/>
    <w:rsid w:val="00C672E3"/>
    <w:rsid w:val="00CA6DE4"/>
    <w:rsid w:val="00CC5F88"/>
    <w:rsid w:val="00CD0AE3"/>
    <w:rsid w:val="00CF6A39"/>
    <w:rsid w:val="00D22013"/>
    <w:rsid w:val="00D249EC"/>
    <w:rsid w:val="00D514AC"/>
    <w:rsid w:val="00D7588F"/>
    <w:rsid w:val="00DC7EF6"/>
    <w:rsid w:val="00DF1625"/>
    <w:rsid w:val="00E2647D"/>
    <w:rsid w:val="00E5009C"/>
    <w:rsid w:val="00E612F7"/>
    <w:rsid w:val="00E65D12"/>
    <w:rsid w:val="00E749A6"/>
    <w:rsid w:val="00E95A27"/>
    <w:rsid w:val="00ED550A"/>
    <w:rsid w:val="00EE1A6B"/>
    <w:rsid w:val="00EF2953"/>
    <w:rsid w:val="00F46DE5"/>
    <w:rsid w:val="00F6119C"/>
    <w:rsid w:val="00F76904"/>
    <w:rsid w:val="00F85FF7"/>
    <w:rsid w:val="00FA1327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6842"/>
  </w:style>
  <w:style w:type="paragraph" w:styleId="Rodap">
    <w:name w:val="footer"/>
    <w:basedOn w:val="Normal"/>
    <w:link w:val="Rodap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6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A7F7-0805-4194-B164-485DBD29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1224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69</cp:revision>
  <cp:lastPrinted>2018-07-30T13:05:00Z</cp:lastPrinted>
  <dcterms:created xsi:type="dcterms:W3CDTF">2018-05-18T19:23:00Z</dcterms:created>
  <dcterms:modified xsi:type="dcterms:W3CDTF">2019-01-24T19:16:00Z</dcterms:modified>
</cp:coreProperties>
</file>