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ce8c88eafc64a33" /></Relationships>
</file>

<file path=word/document.xml><?xml version="1.0" encoding="utf-8"?>
<w:document xmlns:r="http://schemas.openxmlformats.org/officeDocument/2006/relationships" xmlns:w="http://schemas.openxmlformats.org/wordprocessingml/2006/main">
  <w:body>
    <w:p>
      <w:pPr>
        <w:sectPr>
          <w:headerReference w:type="default" r:id="Re4873ca4215b4071"/>
          <w:footerReference w:type="default" r:id="R7042b4f68e444bdd"/>
          <w:pgSz w:w="11906" w:h="16838"/>
          <w:pgMar w:top="1440" w:right="1440" w:bottom="1440" w:left="1440" w:header="720" w:footer="720"/>
        </w:sectPr>
      </w:pPr>
    </w:p>
    <w:p>
      <w:pPr>
        <w:spacing w:before="3000"/>
      </w:pPr>
    </w:p>
    <w:p>
      <w:pPr>
        <w:spacing w:after="200"/>
        <w:jc w:val="center"/>
      </w:pPr>
      <w:r>
        <w:rPr>
          <w:b/>
          <w:color w:val="1a365d"/>
          <w:sz w:val="56"/>
        </w:rPr>
        <w:t>AFREXIT BUSINESS VALUATION ENGINE</w:t>
      </w:r>
    </w:p>
    <w:p>
      <w:pPr>
        <w:spacing w:after="600"/>
        <w:jc w:val="center"/>
      </w:pPr>
      <w:r>
        <w:rPr>
          <w:color w:val="2c5282"/>
          <w:sz w:val="32"/>
        </w:rPr>
        <w:t>Technical Design Specification &amp; Redesign Document</w:t>
      </w:r>
    </w:p>
    <w:p>
      <w:pPr>
        <w:spacing w:after="200"/>
        <w:jc w:val="center"/>
      </w:pPr>
      <w:r>
        <w:rPr>
          <w:color w:val="4a5568"/>
          <w:sz w:val="24"/>
        </w:rPr>
        <w:t>Version 1.0</w:t>
      </w:r>
    </w:p>
    <w:p>
      <w:pPr>
        <w:spacing w:after="200"/>
        <w:jc w:val="center"/>
      </w:pPr>
      <w:r>
        <w:rPr>
          <w:color w:val="4a5568"/>
          <w:sz w:val="24"/>
        </w:rPr>
        <w:t>March 2026</w:t>
      </w:r>
    </w:p>
    <w:p>
      <w:pPr>
        <w:jc w:val="center"/>
      </w:pPr>
      <w:r>
        <w:rPr>
          <w:color w:val="4a5568"/>
          <w:sz w:val="24"/>
        </w:rPr>
        <w:t>Classification: Technical Specification</w:t>
      </w:r>
    </w:p>
    <w:p>
      <w:r>
        <w:br w:type="page"/>
      </w:r>
    </w:p>
    <w:p>
      <w:pPr>
        <w:pStyle w:val="Heading1"/>
        <w:pageBreakBefore w:val="false"/>
      </w:pPr>
      <w:r>
        <w:t>Table of Contents</w:t>
      </w:r>
    </w:p>
    <w:p>
      <w:pPr>
        <w:spacing w:after="300"/>
      </w:pPr>
      <w:r>
        <w:rPr>
          <w:color w:val="718096"/>
          <w:sz w:val="20"/>
        </w:rPr>
        <w:t>(Right-click and select Update Field to refresh page numbers)</w:t>
      </w:r>
    </w:p>
    <w:p>
      <w:r>
        <w:fldChar w:fldCharType="begin"/>
      </w:r>
      <w:r>
        <w:instrText xml:space="preserve"> TOC \o "1-2" \h \z \u </w:instrText>
      </w:r>
      <w:r>
        <w:fldChar w:fldCharType="separate"/>
      </w:r>
    </w:p>
    <w:p>
      <w:pPr>
        <w:pStyle w:val="TOC1"/>
      </w:pPr>
      <w:hyperlink w:anchor="_Toc0">
        <w:r>
          <w:t>Section 1: Critique of Existing Heuristic Model</w:t>
        </w:r>
        <w:r>
          <w:tab/>
        </w:r>
        <w:r>
          <w:t>3</w:t>
        </w:r>
      </w:hyperlink>
    </w:p>
    <w:p>
      <w:pPr>
        <w:pStyle w:val="TOC1"/>
      </w:pPr>
      <w:hyperlink w:anchor="_Toc1">
        <w:r>
          <w:t>Section 2: Target Engine Architecture</w:t>
        </w:r>
        <w:r>
          <w:tab/>
        </w:r>
        <w:r>
          <w:t>6</w:t>
        </w:r>
      </w:hyperlink>
    </w:p>
    <w:p>
      <w:pPr>
        <w:pStyle w:val="TOC1"/>
      </w:pPr>
      <w:hyperlink w:anchor="_Toc2">
        <w:r>
          <w:t>Section 3: Level 1 and Level 2 Taxonomy Impact</w:t>
        </w:r>
        <w:r>
          <w:tab/>
        </w:r>
        <w:r>
          <w:t>11</w:t>
        </w:r>
      </w:hyperlink>
    </w:p>
    <w:p>
      <w:pPr>
        <w:pStyle w:val="TOC1"/>
      </w:pPr>
      <w:hyperlink w:anchor="_Toc3">
        <w:r>
          <w:t>Section 4: Quantified Normalization Model</w:t>
        </w:r>
        <w:r>
          <w:tab/>
        </w:r>
        <w:r>
          <w:t>16</w:t>
        </w:r>
      </w:hyperlink>
    </w:p>
    <w:p>
      <w:pPr>
        <w:pStyle w:val="TOC1"/>
      </w:pPr>
      <w:hyperlink w:anchor="_Toc4">
        <w:r>
          <w:t>Section 5: Multi-Method Framework with Reconciliation</w:t>
        </w:r>
        <w:r>
          <w:tab/>
        </w:r>
        <w:r>
          <w:t>23</w:t>
        </w:r>
      </w:hyperlink>
    </w:p>
    <w:p>
      <w:pPr>
        <w:pStyle w:val="TOC1"/>
      </w:pPr>
      <w:hyperlink w:anchor="_Toc5">
        <w:r>
          <w:t>Section 6: Separation of Value Concepts</w:t>
        </w:r>
        <w:r>
          <w:tab/>
        </w:r>
        <w:r>
          <w:t>28</w:t>
        </w:r>
      </w:hyperlink>
    </w:p>
    <w:p>
      <w:pPr>
        <w:pStyle w:val="TOC1"/>
      </w:pPr>
      <w:hyperlink w:anchor="_Toc6">
        <w:r>
          <w:t>Section 7: Output Structure</w:t>
        </w:r>
        <w:r>
          <w:tab/>
        </w:r>
        <w:r>
          <w:t>34</w:t>
        </w:r>
      </w:hyperlink>
    </w:p>
    <w:p>
      <w:pPr>
        <w:pStyle w:val="TOC1"/>
      </w:pPr>
      <w:hyperlink w:anchor="_Toc7">
        <w:r>
          <w:t>Section 8: Data Requirements by Mode</w:t>
        </w:r>
        <w:r>
          <w:tab/>
        </w:r>
        <w:r>
          <w:t>39</w:t>
        </w:r>
      </w:hyperlink>
    </w:p>
    <w:p>
      <w:pPr>
        <w:pStyle w:val="TOC1"/>
      </w:pPr>
      <w:hyperlink w:anchor="_Toc8">
        <w:r>
          <w:t>Section 9: Automation vs Review Boundaries</w:t>
        </w:r>
        <w:r>
          <w:tab/>
        </w:r>
        <w:r>
          <w:t>44</w:t>
        </w:r>
      </w:hyperlink>
    </w:p>
    <w:p>
      <w:pPr>
        <w:pStyle w:val="TOC1"/>
      </w:pPr>
      <w:hyperlink w:anchor="_Toc9">
        <w:r>
          <w:t>Section 10: Calibration and Backtesting Framework</w:t>
        </w:r>
        <w:r>
          <w:tab/>
        </w:r>
        <w:r>
          <w:t>48</w:t>
        </w:r>
      </w:hyperlink>
    </w:p>
    <w:p>
      <w:pPr>
        <w:pStyle w:val="TOC1"/>
      </w:pPr>
      <w:hyperlink w:anchor="_Toc10">
        <w:r>
          <w:t>Section 11: Phased Roadmap</w:t>
        </w:r>
        <w:r>
          <w:tab/>
        </w:r>
        <w:r>
          <w:t>52</w:t>
        </w:r>
      </w:hyperlink>
    </w:p>
    <w:p>
      <w:pPr>
        <w:pStyle w:val="TOC1"/>
      </w:pPr>
      <w:hyperlink w:anchor="_Toc11">
        <w:r>
          <w:t>Section 12: Conclusion - What Gold Standard Means</w:t>
        </w:r>
        <w:r>
          <w:tab/>
        </w:r>
        <w:r>
          <w:t>58</w:t>
        </w:r>
      </w:hyperlink>
    </w:p>
    <w:p>
      <w:r>
        <w:fldChar w:fldCharType="end"/>
      </w:r>
    </w:p>
    <w:p>
      <w:r>
        <w:br w:type="page"/>
      </w:r>
    </w:p>
    <w:p>
      <w:pPr>
        <w:pStyle w:val="Heading1"/>
      </w:pPr>
      <w:r>
        <w:t>Section 1: Critique of Existing Heuristic Model</w:t>
      </w:r>
    </w:p>
    <w:p>
      <w:pPr>
        <w:pStyle w:val="Normal"/>
      </w:pPr>
      <w:r>
        <w:t>The current Afrexit valuation engine suffers from fundamental design flaws that would be immediately challenged by any serious valuation professional. Below is a systematic critique of each major weakness.</w:t>
      </w:r>
    </w:p>
    <w:p>
      <w:pPr>
        <w:pStyle w:val="Heading2"/>
      </w:pPr>
      <w:r>
        <w:t>1.1 CONCEPTUAL FLAWS IDENTIFIED</w:t>
      </w:r>
    </w:p>
    <w:p>
      <w:pPr>
        <w:pStyle w:val="Heading3"/>
      </w:pPr>
      <w:r>
        <w:t>FLAW 1: Sector-Level Multiple Bluntness</w:t>
      </w:r>
    </w:p>
    <w:p>
      <w:pPr>
        <w:pStyle w:val="Normal"/>
      </w:pPr>
      <w:r>
        <w:t>Current State: The engine applies broad sector multiples (e.g., "Manufacturing: 3.5x EBITDA") without regard for business model differentiation within sectors.</w:t>
      </w:r>
    </w:p>
    <w:p>
      <w:pPr>
        <w:pStyle w:val="Normal"/>
      </w:pPr>
      <w:r>
        <w:t>Professional Critique: A commodity manufacturing business and a precision-engineered component manufacturer may share a sector label but command vastly different multiples. Sector averages mask the dispersion that drives valuation accuracy. Nigerian market data at sector level is particularly unreliable due to informality and reporting gaps.</w:t>
      </w:r>
    </w:p>
    <w:p>
      <w:pPr>
        <w:pStyle w:val="Normal"/>
      </w:pPr>
      <w:r>
        <w:t>Required Fix: Level 2 business model classification must drive comparable selection and multiple calibration, not Level 1 sector labels.</w:t>
      </w:r>
    </w:p>
    <w:p>
      <w:pPr>
        <w:pStyle w:val="Heading3"/>
      </w:pPr>
      <w:r>
        <w:t>FLAW 2: Binary Normalization Flags</w:t>
      </w:r>
    </w:p>
    <w:p>
      <w:pPr>
        <w:pStyle w:val="Normal"/>
      </w:pPr>
      <w:r>
        <w:t>Current State: The engine uses yes/no flags for adjustments (e.g., "Owner compensation adjusted: Yes/No").</w:t>
      </w:r>
    </w:p>
    <w:p>
      <w:pPr>
        <w:pStyle w:val="Normal"/>
      </w:pPr>
      <w:r>
        <w:t>Professional Critique: Binary treatment ignores magnitude of adjustment. Two companies with "Yes" flags may have adjustments of NGN 2M vs NGN 50M. No quantification of impact on value. Cannot be audited or reconciled.</w:t>
      </w:r>
    </w:p>
    <w:p>
      <w:pPr>
        <w:pStyle w:val="Normal"/>
      </w:pPr>
      <w:r>
        <w:t>Required Fix: Every normalization must be quantified in currency terms with explicit calculation methodology.</w:t>
      </w:r>
    </w:p>
    <w:p>
      <w:pPr>
        <w:pStyle w:val="Heading3"/>
      </w:pPr>
      <w:r>
        <w:t>FLAW 3: Conflation of Distinct Value Concepts</w:t>
      </w:r>
    </w:p>
    <w:p>
      <w:pPr>
        <w:pStyle w:val="Normal"/>
      </w:pPr>
      <w:r>
        <w:t>Current State: The engine produces a single "valuation score" that blends intrinsic/fundamental value, data quality confidence, sell-side readiness, and marketability discount.</w:t>
      </w:r>
    </w:p>
    <w:p>
      <w:pPr>
        <w:pStyle w:val="Normal"/>
      </w:pPr>
      <w:r>
        <w:t>Professional Critique: These are orthogonal dimensions that should be reported separately. Blending them produces a number that means nothing specific. Cannot explain to a buyer why the number is what it is. Violates IVS (International Valuation Standards) separation principles.</w:t>
      </w:r>
    </w:p>
    <w:p>
      <w:pPr>
        <w:pStyle w:val="Normal"/>
      </w:pPr>
      <w:r>
        <w:t>Required Fix: Report fundamental value, achievable value, and confidence metrics as separate outputs with clear relationships between them.</w:t>
      </w:r>
    </w:p>
    <w:p>
      <w:pPr>
        <w:pStyle w:val="Heading3"/>
      </w:pPr>
      <w:r>
        <w:t>FLAW 4: Enterprise Value vs Equity Value Confusion</w:t>
      </w:r>
    </w:p>
    <w:p>
      <w:pPr>
        <w:pStyle w:val="Normal"/>
      </w:pPr>
      <w:r>
        <w:t>Current State: The engine appears to calculate "business value" without clear distinction between enterprise value (EV) and equity value.</w:t>
      </w:r>
    </w:p>
    <w:p>
      <w:pPr>
        <w:pStyle w:val="Normal"/>
      </w:pPr>
      <w:r>
        <w:t>Professional Critique: EV and equity value are separated by debt, cash, and debt-like items. Nigerian SMEs often have significant related-party debt, off-balance sheet liabilities, and informal credit arrangements. Conflating these produces meaningless comparisons.</w:t>
      </w:r>
    </w:p>
    <w:p>
      <w:pPr>
        <w:pStyle w:val="Normal"/>
      </w:pPr>
      <w:r>
        <w:t>Required Fix: Explicit EV calculation with clear bridge to equity value, including all debt-like items common in Nigerian context.</w:t>
      </w:r>
    </w:p>
    <w:p>
      <w:pPr>
        <w:pStyle w:val="Heading3"/>
      </w:pPr>
      <w:r>
        <w:t>FLAW 5: Single-Method Limitation</w:t>
      </w:r>
    </w:p>
    <w:p>
      <w:pPr>
        <w:pStyle w:val="Normal"/>
      </w:pPr>
      <w:r>
        <w:t>Current State: The engine appears to rely primarily on market approach (multiples) without method cross-validation.</w:t>
      </w:r>
    </w:p>
    <w:p>
      <w:pPr>
        <w:pStyle w:val="Normal"/>
      </w:pPr>
      <w:r>
        <w:t>Professional Critique: Professional valuations require multiple methods for triangulation. No single method is appropriate for all business types. DCF may be more appropriate for high-growth businesses. Asset approach may be required for capital-intensive or distressed cases.</w:t>
      </w:r>
    </w:p>
    <w:p>
      <w:pPr>
        <w:pStyle w:val="Normal"/>
      </w:pPr>
      <w:r>
        <w:t>Required Fix: Multi-method framework with explicit method selection logic and reconciliation methodology.</w:t>
      </w:r>
    </w:p>
    <w:p>
      <w:pPr>
        <w:pStyle w:val="Heading3"/>
      </w:pPr>
      <w:r>
        <w:t>FLAW 6: Lack of Formal Reconciliation</w:t>
      </w:r>
    </w:p>
    <w:p>
      <w:pPr>
        <w:pStyle w:val="Normal"/>
      </w:pPr>
      <w:r>
        <w:t>Current State: When multiple methods are used, there is no documented reconciliation framework.</w:t>
      </w:r>
    </w:p>
    <w:p>
      <w:pPr>
        <w:pStyle w:val="Normal"/>
      </w:pPr>
      <w:r>
        <w:t>Professional Critique: IVS requires reconciliation of value indications from different methods. Naive averaging is not defensible. Weighting must be justified by circumstance.</w:t>
      </w:r>
    </w:p>
    <w:p>
      <w:pPr>
        <w:pStyle w:val="Normal"/>
      </w:pPr>
      <w:r>
        <w:t>Required Fix: Explicit reconciliation framework with documented rationale for method weighting.</w:t>
      </w:r>
    </w:p>
    <w:p>
      <w:pPr>
        <w:pStyle w:val="Heading3"/>
      </w:pPr>
      <w:r>
        <w:t>FLAW 7: Undocumented Confidence Framework</w:t>
      </w:r>
    </w:p>
    <w:p>
      <w:pPr>
        <w:pStyle w:val="Normal"/>
      </w:pPr>
      <w:r>
        <w:t>Current State: Confidence appears to be a heuristic output without transparent construction.</w:t>
      </w:r>
    </w:p>
    <w:p>
      <w:pPr>
        <w:pStyle w:val="Normal"/>
      </w:pPr>
      <w:r>
        <w:t>Professional Critique: Confidence must be derived from identifiable inputs. Data quality, forecast reliability, and market evidence availability should all contribute. Cannot be replicated or audited.</w:t>
      </w:r>
    </w:p>
    <w:p>
      <w:pPr>
        <w:pStyle w:val="Normal"/>
      </w:pPr>
      <w:r>
        <w:t>Required Fix: Quantified confidence score with documented component construction.</w:t>
      </w:r>
    </w:p>
    <w:p>
      <w:pPr>
        <w:pStyle w:val="Heading3"/>
      </w:pPr>
      <w:r>
        <w:t>FLAW 8: Nigerian Market Realities Ignored</w:t>
      </w:r>
    </w:p>
    <w:p>
      <w:pPr>
        <w:pStyle w:val="Normal"/>
      </w:pPr>
      <w:r>
        <w:t>Current State: The engine does not appear to adequately account for FX risk, owner dependence, related-party leakage, informal record-keeping, working capital volatility, and regulatory/tax compliance gaps.</w:t>
      </w:r>
    </w:p>
    <w:p>
      <w:pPr>
        <w:pStyle w:val="Normal"/>
      </w:pPr>
      <w:r>
        <w:t>Professional Critique: Nigerian SME valuation requires specific adjustments not needed in developed markets. Owner dependence is often the largest risk factor. Related-party leakage can significantly overstate reported earnings.</w:t>
      </w:r>
    </w:p>
    <w:p>
      <w:pPr>
        <w:pStyle w:val="Normal"/>
      </w:pPr>
      <w:r>
        <w:t>Required Fix: Nigeria-specific risk adjustment framework with quantified adjustments for local market realities.</w:t>
      </w:r>
    </w:p>
    <w:p>
      <w:pPr>
        <w:pStyle w:val="Heading3"/>
      </w:pPr>
      <w:r>
        <w:t>FLAW 9: No Audit Trail</w:t>
      </w:r>
    </w:p>
    <w:p>
      <w:pPr>
        <w:pStyle w:val="Normal"/>
      </w:pPr>
      <w:r>
        <w:t>Current State: The engine does not appear to maintain a documented trail of assumptions, adjustments, and judgments.</w:t>
      </w:r>
    </w:p>
    <w:p>
      <w:pPr>
        <w:pStyle w:val="Normal"/>
      </w:pPr>
      <w:r>
        <w:t>Professional Critique: Professional valuations must be reproducible. Changes to inputs should be traceable. Regulatory or dispute contexts require documentation.</w:t>
      </w:r>
    </w:p>
    <w:p>
      <w:pPr>
        <w:pStyle w:val="Normal"/>
      </w:pPr>
      <w:r>
        <w:t>Required Fix: Comprehensive audit trail with assumption logging, change tracking, and version control.</w:t>
      </w:r>
    </w:p>
    <w:p>
      <w:pPr>
        <w:pStyle w:val="Heading3"/>
      </w:pPr>
      <w:r>
        <w:t>FLAW 10: Readiness Score Conflation</w:t>
      </w:r>
    </w:p>
    <w:p>
      <w:pPr>
        <w:pStyle w:val="Normal"/>
      </w:pPr>
      <w:r>
        <w:t>Current State: Sell-side readiness appears to be blended into the valuation rather than reported separately.</w:t>
      </w:r>
    </w:p>
    <w:p>
      <w:pPr>
        <w:pStyle w:val="Normal"/>
      </w:pPr>
      <w:r>
        <w:t>Professional Critique: Readiness affects achievable value, not fundamental value. Conflating them produces confusion. Owners cannot understand what actions would increase value.</w:t>
      </w:r>
    </w:p>
    <w:p>
      <w:pPr>
        <w:pStyle w:val="Normal"/>
      </w:pPr>
      <w:r>
        <w:t>Required Fix: Separate readiness scoring with clear linkage to value impact.</w:t>
      </w:r>
    </w:p>
    <w:p>
      <w:pPr>
        <w:pStyle w:val="Heading1"/>
      </w:pPr>
      <w:r>
        <w:t>Section 2: Target Engine Architecture</w:t>
      </w:r>
    </w:p>
    <w:p>
      <w:pPr>
        <w:pStyle w:val="Normal"/>
      </w:pPr>
      <w:r>
        <w:t>The redesigned Afrexit valuation engine consists of 12 interconnected modules, each with defined inputs, outputs, and interfaces. This architecture ensures clear separation of concerns, auditability at each step, extensibility for future enhancements, and appropriate automation boundaries.</w:t>
      </w:r>
    </w:p>
    <w:p>
      <w:pPr>
        <w:pStyle w:val="Heading2"/>
      </w:pPr>
      <w:r>
        <w:t>MODULE 1: Engagement Framing</w:t>
      </w:r>
    </w:p>
    <w:p>
      <w:pPr>
        <w:pStyle w:val="Normal"/>
      </w:pPr>
      <w:r>
        <w:t>Purpose: Define the valuation context and parameters.</w:t>
      </w:r>
    </w:p>
    <w:p>
      <w:pPr>
        <w:pStyle w:val="Normal"/>
      </w:pPr>
      <w:r>
        <w:t>Inputs: Valuation purpose (sale, M&amp;A, dispute, tax, internal planning), valuation date, report date, intended users, scope limitations, access to information.</w:t>
      </w:r>
    </w:p>
    <w:p>
      <w:pPr>
        <w:pStyle w:val="Normal"/>
      </w:pPr>
      <w:r>
        <w:t>Outputs: Engagement parameters record, appropriate basis/standard of value determination, method selection pre-filter, confidence threshold setting.</w:t>
      </w:r>
    </w:p>
    <w:p>
      <w:pPr>
        <w:pStyle w:val="Normal"/>
      </w:pPr>
      <w:r>
        <w:t>Key Logic: IF purpose = "sale" THEN standard_of_value = "fair_market_value". IF access_to_information = "limited" THEN confidence_ceiling = "moderate".</w:t>
      </w:r>
    </w:p>
    <w:p>
      <w:pPr>
        <w:pStyle w:val="Heading2"/>
      </w:pPr>
      <w:r>
        <w:t>MODULE 2: Basis/Standard of Value</w:t>
      </w:r>
    </w:p>
    <w:p>
      <w:pPr>
        <w:pStyle w:val="Normal"/>
      </w:pPr>
      <w:r>
        <w:t>Purpose: Establish the appropriate valuation framework per IVS.</w:t>
      </w:r>
    </w:p>
    <w:p>
      <w:pPr>
        <w:pStyle w:val="Normal"/>
      </w:pPr>
      <w:r>
        <w:t>Definitions:</w:t>
      </w:r>
    </w:p>
    <w:p>
      <w:pPr>
        <w:numPr>
          <w:ilvl w:val="0"/>
          <w:numId w:val="1"/>
        </w:numPr>
      </w:pPr>
      <w:r>
        <w:t>Fair Market Value: Price at which property would change hands between willing buyer and willing seller, neither under compulsion, both with reasonable knowledge</w:t>
      </w:r>
    </w:p>
    <w:p>
      <w:pPr>
        <w:numPr>
          <w:ilvl w:val="0"/>
          <w:numId w:val="1"/>
        </w:numPr>
      </w:pPr>
      <w:r>
        <w:t>Fair Value: Price received to sell asset or paid to transfer liability in orderly transaction between market participants</w:t>
      </w:r>
    </w:p>
    <w:p>
      <w:pPr>
        <w:numPr>
          <w:ilvl w:val="0"/>
          <w:numId w:val="1"/>
        </w:numPr>
      </w:pPr>
      <w:r>
        <w:t>Investment Value: Value to specific investor based on individual requirements and expectations</w:t>
      </w:r>
    </w:p>
    <w:p>
      <w:pPr>
        <w:numPr>
          <w:ilvl w:val="0"/>
          <w:numId w:val="1"/>
        </w:numPr>
      </w:pPr>
      <w:r>
        <w:t>Liquidation Value: Net amount expected to be realized from asset disposal</w:t>
      </w:r>
    </w:p>
    <w:p>
      <w:pPr>
        <w:pStyle w:val="Normal"/>
      </w:pPr>
      <w:r>
        <w:t>Nigerian Context Adjustments: FMV must account for limited market depth. Transaction evidence may be scarce. Comparable company data often unavailable. Must rely more heavily on income approach.</w:t>
      </w:r>
    </w:p>
    <w:p>
      <w:pPr>
        <w:pStyle w:val="Heading2"/>
      </w:pPr>
      <w:r>
        <w:t>MODULE 3: Financial Normalization / QoE</w:t>
      </w:r>
    </w:p>
    <w:p>
      <w:pPr>
        <w:pStyle w:val="Normal"/>
      </w:pPr>
      <w:r>
        <w:t>Purpose: Convert reported financials to economic reality.</w:t>
      </w:r>
    </w:p>
    <w:p>
      <w:pPr>
        <w:pStyle w:val="Normal"/>
      </w:pPr>
      <w:r>
        <w:t>Sub-modules: Owner Compensation Adjustment, Related-Party Rent Adjustment, Personal Expense Removal, One-Off Item Treatment, Non-Operating Asset/Liability Separation, Debt-Like Item Identification, Working Capital Normalization, Maintenance vs Growth CapEx Segregation.</w:t>
      </w:r>
    </w:p>
    <w:p>
      <w:pPr>
        <w:pStyle w:val="Normal"/>
      </w:pPr>
      <w:r>
        <w:t>Output: Normalized financial statements with full adjustment trail.</w:t>
      </w:r>
    </w:p>
    <w:p>
      <w:pPr>
        <w:pStyle w:val="Heading2"/>
      </w:pPr>
      <w:r>
        <w:t>MODULE 4: Business Model Classification</w:t>
      </w:r>
    </w:p>
    <w:p>
      <w:pPr>
        <w:pStyle w:val="Normal"/>
      </w:pPr>
      <w:r>
        <w:t>Purpose: Apply Level 1 and Level 2 taxonomy for method selection.</w:t>
      </w:r>
    </w:p>
    <w:p>
      <w:pPr>
        <w:pStyle w:val="Normal"/>
      </w:pPr>
      <w:r>
        <w:t>Level 1 (Sector): Agriculture, Manufacturing, Wholesale/Trade, Retail, Services, Technology, Healthcare, Education, Construction, Logistics.</w:t>
      </w:r>
    </w:p>
    <w:p>
      <w:pPr>
        <w:pStyle w:val="Normal"/>
      </w:pPr>
      <w:r>
        <w:t>Level 2 (Business Model): Examples within Manufacturing include M1: Commodity manufacturing, M2: Contract manufacturing, M3: Branded consumer goods, M4: Precision/components, M5: Assembly/integration.</w:t>
      </w:r>
    </w:p>
    <w:p>
      <w:pPr>
        <w:pStyle w:val="Normal"/>
      </w:pPr>
      <w:r>
        <w:t>Output: Classification code with method and multiple implications.</w:t>
      </w:r>
    </w:p>
    <w:p>
      <w:pPr>
        <w:pStyle w:val="Heading2"/>
      </w:pPr>
      <w:r>
        <w:t>MODULE 5: Market Approach</w:t>
      </w:r>
    </w:p>
    <w:p>
      <w:pPr>
        <w:pStyle w:val="Normal"/>
      </w:pPr>
      <w:r>
        <w:t>Purpose: Derive value from comparable transactions or companies.</w:t>
      </w:r>
    </w:p>
    <w:p>
      <w:pPr>
        <w:pStyle w:val="Normal"/>
      </w:pPr>
      <w:r>
        <w:t>Sub-modules: Comparable Transaction Method (CTM), Comparable Company Method (CCM), Industry Multiple Calibration.</w:t>
      </w:r>
    </w:p>
    <w:p>
      <w:pPr>
        <w:pStyle w:val="Normal"/>
      </w:pPr>
      <w:r>
        <w:t>Nigerian Adaptations: Limited listed comparable universe. Heavy reliance on transaction databases. Private transaction data from advisory networks. Sector-specific multiple research.</w:t>
      </w:r>
    </w:p>
    <w:p>
      <w:pPr>
        <w:pStyle w:val="Heading2"/>
      </w:pPr>
      <w:r>
        <w:t>MODULE 6: Income Approach</w:t>
      </w:r>
    </w:p>
    <w:p>
      <w:pPr>
        <w:pStyle w:val="Normal"/>
      </w:pPr>
      <w:r>
        <w:t>Purpose: Derive value from future economic benefits.</w:t>
      </w:r>
    </w:p>
    <w:p>
      <w:pPr>
        <w:pStyle w:val="Normal"/>
      </w:pPr>
      <w:r>
        <w:t>Sub-modules: DCF (Discounted Cash Flow), Capitalized Earnings Method (CEM), Excess Earnings Method (EEM) for asset-heavy businesses.</w:t>
      </w:r>
    </w:p>
    <w:p>
      <w:pPr>
        <w:pStyle w:val="Normal"/>
      </w:pPr>
      <w:r>
        <w:t>Method Selection Logic: IF forecast_reliability = "high" AND growth_stage = "established" THEN primary_method = "DCF". ELSE IF forecast_reliability = "low" AND earnings_stable = "yes" THEN primary_method = "CEM".</w:t>
      </w:r>
    </w:p>
    <w:p>
      <w:pPr>
        <w:pStyle w:val="Heading2"/>
      </w:pPr>
      <w:r>
        <w:t>MODULE 7: Asset Approach</w:t>
      </w:r>
    </w:p>
    <w:p>
      <w:pPr>
        <w:pStyle w:val="Normal"/>
      </w:pPr>
      <w:r>
        <w:t>Purpose: Derive value from underlying assets.</w:t>
      </w:r>
    </w:p>
    <w:p>
      <w:pPr>
        <w:pStyle w:val="Normal"/>
      </w:pPr>
      <w:r>
        <w:t>Sub-modules: Book Value Adjustment, Replacement Cost Method, Liquidation Value Method.</w:t>
      </w:r>
    </w:p>
    <w:p>
      <w:pPr>
        <w:pStyle w:val="Normal"/>
      </w:pPr>
      <w:r>
        <w:t>Application: Holding companies, asset-intensive operations, distressed situations, early-stage with limited earnings.</w:t>
      </w:r>
    </w:p>
    <w:p>
      <w:pPr>
        <w:pStyle w:val="Heading2"/>
      </w:pPr>
      <w:r>
        <w:t>MODULE 8: EV-to-Equity Bridge</w:t>
      </w:r>
    </w:p>
    <w:p>
      <w:pPr>
        <w:pStyle w:val="Normal"/>
      </w:pPr>
      <w:r>
        <w:t>Purpose: Convert enterprise value to equity value.</w:t>
      </w:r>
    </w:p>
    <w:p>
      <w:pPr>
        <w:pStyle w:val="Normal"/>
      </w:pPr>
      <w:r>
        <w:t>Components: Cash and cash equivalents, interest-bearing debt, debt-like items, non-operating assets, minority interests, preferred equity, warrants and options.</w:t>
      </w:r>
    </w:p>
    <w:p>
      <w:pPr>
        <w:pStyle w:val="Normal"/>
      </w:pPr>
      <w:r>
        <w:t>Nigerian-Specific Debt-Like Items: Related-party loans (often informal), trade credit stretched beyond terms, tax arrears and penalties, outstanding employee benefits, contingent liabilities from regulatory non-compliance, FX-denominated obligations with local currency revenue.</w:t>
      </w:r>
    </w:p>
    <w:p>
      <w:pPr>
        <w:pStyle w:val="Heading2"/>
      </w:pPr>
      <w:r>
        <w:t>MODULE 9: Sell-Side Readiness</w:t>
      </w:r>
    </w:p>
    <w:p>
      <w:pPr>
        <w:pStyle w:val="Normal"/>
      </w:pPr>
      <w:r>
        <w:t>Purpose: Assess factors affecting achievable transaction value.</w:t>
      </w:r>
    </w:p>
    <w:p>
      <w:pPr>
        <w:pStyle w:val="Normal"/>
      </w:pPr>
      <w:r>
        <w:t>Dimensions: Financial Documentation Quality, Management Information Systems, Corporate Governance, Customer Concentration, Contract Documentation, Regulatory Compliance, Management Depth, Owner Dependence.</w:t>
      </w:r>
    </w:p>
    <w:p>
      <w:pPr>
        <w:pStyle w:val="Normal"/>
      </w:pPr>
      <w:r>
        <w:t>Output: Readiness score (0-100) with dimension breakdown.</w:t>
      </w:r>
    </w:p>
    <w:p>
      <w:pPr>
        <w:pStyle w:val="Heading2"/>
      </w:pPr>
      <w:r>
        <w:t>MODULE 10: Confidence/Valuation Risk</w:t>
      </w:r>
    </w:p>
    <w:p>
      <w:pPr>
        <w:pStyle w:val="Normal"/>
      </w:pPr>
      <w:r>
        <w:t>Purpose: Quantify uncertainty in the valuation.</w:t>
      </w:r>
    </w:p>
    <w:p>
      <w:pPr>
        <w:pStyle w:val="Normal"/>
      </w:pPr>
      <w:r>
        <w:t>Components: Data Quality Score, Forecast Reliability Score, Market Evidence Score, Methodological Appropriateness Score, Analyst Judgment Score.</w:t>
      </w:r>
    </w:p>
    <w:p>
      <w:pPr>
        <w:pStyle w:val="Normal"/>
      </w:pPr>
      <w:r>
        <w:t>Output: Confidence score (0-100) with component breakdown and recommended value range.</w:t>
      </w:r>
    </w:p>
    <w:p>
      <w:pPr>
        <w:pStyle w:val="Heading2"/>
      </w:pPr>
      <w:r>
        <w:t>MODULE 11: Audit Trail and Governance</w:t>
      </w:r>
    </w:p>
    <w:p>
      <w:pPr>
        <w:pStyle w:val="Normal"/>
      </w:pPr>
      <w:r>
        <w:t>Purpose: Ensure reproducibility and compliance.</w:t>
      </w:r>
    </w:p>
    <w:p>
      <w:pPr>
        <w:pStyle w:val="Normal"/>
      </w:pPr>
      <w:r>
        <w:t>Features: Input logging with timestamps, assumption documentation, change tracking, version control, user attribution, review workflow, exception flagging.</w:t>
      </w:r>
    </w:p>
    <w:p>
      <w:pPr>
        <w:pStyle w:val="Heading2"/>
      </w:pPr>
      <w:r>
        <w:t>MODULE 12: Output Generation</w:t>
      </w:r>
    </w:p>
    <w:p>
      <w:pPr>
        <w:pStyle w:val="Normal"/>
      </w:pPr>
      <w:r>
        <w:t>Purpose: Produce defensible valuation report.</w:t>
      </w:r>
    </w:p>
    <w:p>
      <w:pPr>
        <w:pStyle w:val="Normal"/>
      </w:pPr>
      <w:r>
        <w:t>Components: Executive summary, methodology explanation, key assumptions, sensitivity analysis, limiting conditions, professional standards compliance statement.</w:t>
      </w:r>
    </w:p>
    <w:p>
      <w:pPr>
        <w:pStyle w:val="Heading1"/>
      </w:pPr>
      <w:r>
        <w:t>Section 3: Level 1 and Level 2 Taxonomy Impact</w:t>
      </w:r>
    </w:p>
    <w:p>
      <w:pPr>
        <w:pStyle w:val="Heading2"/>
      </w:pPr>
      <w:r>
        <w:t>3.1 TAXONOMY DEFINITIONS</w:t>
      </w:r>
    </w:p>
    <w:p>
      <w:pPr>
        <w:pStyle w:val="Normal"/>
      </w:pPr>
      <w:r>
        <w:t>Level 1: Sector Classification - Broad industry categories used for initial screening and market data organization. While necessary for data organization, Level 1 alone is insufficient for valuation accuracy.</w:t>
      </w:r>
    </w:p>
    <w:p>
      <w:pPr>
        <w:pStyle w:val="Normal"/>
      </w:pPr>
      <w:r>
        <w:t>Level 2: Business Model Classification - Specific operating model within sector that determines revenue generation mechanics, cost structure patterns, capital intensity, working capital requirements, growth dynamics, risk profile, appropriate valuation methods, and relevant comparable universe.</w:t>
      </w:r>
    </w:p>
    <w:p>
      <w:pPr>
        <w:pStyle w:val="Heading2"/>
      </w:pPr>
      <w:r>
        <w:t>3.2 IMPACT ON COMPARABLE SELECTION</w:t>
      </w:r>
    </w:p>
    <w:p>
      <w:pPr>
        <w:pStyle w:val="Normal"/>
      </w:pPr>
      <w:r>
        <w:t>Rule: Comparables must match at Level 2, not just Level 1.</w:t>
      </w:r>
    </w:p>
    <w:p>
      <w:pPr>
        <w:pStyle w:val="Normal"/>
      </w:pPr>
      <w:r>
        <w:t>Example - Manufacturing Sector: Business Model M1 (Commodity Mfg) should use other commodity producers as valid comparables, not precision manufacturers. M2 (Contract Mfg) should use other contract manufacturers, not branded goods companies.</w:t>
      </w:r>
    </w:p>
    <w:p>
      <w:pPr>
        <w:pStyle w:val="Normal"/>
      </w:pPr>
      <w:r>
        <w:t>Nigerian Context: Given limited transaction data, Level 2 matching may produce insufficient comparables. In such cases: (1) Expand geographic scope to SSA, (2) Apply explicit adjustment factors for market differences, (3) Document and justify any Level 1-only comparables, (4) Reduce confidence score accordingly.</w:t>
      </w:r>
    </w:p>
    <w:p>
      <w:pPr>
        <w:pStyle w:val="Heading2"/>
      </w:pPr>
      <w:r>
        <w:t>3.3 IMPACT ON PRIMARY VALUATION METHODS</w:t>
      </w:r>
    </w:p>
    <w:p>
      <w:pPr>
        <w:pStyle w:val="Normal"/>
      </w:pPr>
      <w:r>
        <w:t>Business Model Selection Logic:</w:t>
      </w:r>
    </w:p>
    <w:p>
      <w:pPr>
        <w:numPr>
          <w:ilvl w:val="0"/>
          <w:numId w:val="1"/>
        </w:numPr>
      </w:pPr>
      <w:r>
        <w:t>M1: Commodity Mfg - Primary: Market (EV/EBITDA), Secondary: Income (CEM). Rationale: Price-taker, margins stable</w:t>
      </w:r>
    </w:p>
    <w:p>
      <w:pPr>
        <w:numPr>
          <w:ilvl w:val="0"/>
          <w:numId w:val="1"/>
        </w:numPr>
      </w:pPr>
      <w:r>
        <w:t>M2: Contract Mfg - Primary: Income (DCF), Secondary: Market (EV/Sales). Rationale: Customer concentration risk</w:t>
      </w:r>
    </w:p>
    <w:p>
      <w:pPr>
        <w:numPr>
          <w:ilvl w:val="0"/>
          <w:numId w:val="1"/>
        </w:numPr>
      </w:pPr>
      <w:r>
        <w:t>M3: Branded Consumer - Primary: Market (EV/EBITDA), Secondary: Income (DCF). Rationale: Brand value, growth potential</w:t>
      </w:r>
    </w:p>
    <w:p>
      <w:pPr>
        <w:numPr>
          <w:ilvl w:val="0"/>
          <w:numId w:val="1"/>
        </w:numPr>
      </w:pPr>
      <w:r>
        <w:t>M4: Precision/Comp - Primary: Income (DCF), Secondary: Market (EV/EBIT). Rationale: Relationship value, contracts</w:t>
      </w:r>
    </w:p>
    <w:p>
      <w:pPr>
        <w:numPr>
          <w:ilvl w:val="0"/>
          <w:numId w:val="1"/>
        </w:numPr>
      </w:pPr>
      <w:r>
        <w:t>M5: Assembly/Int - Primary: Asset + Income, Secondary: Market (EV/Sales). Rationale: WC intensity, asset base</w:t>
      </w:r>
    </w:p>
    <w:p>
      <w:pPr>
        <w:pStyle w:val="Heading2"/>
      </w:pPr>
      <w:r>
        <w:t>3.4 IMPACT ON RELEVANT MULTIPLES</w:t>
      </w:r>
    </w:p>
    <w:p>
      <w:pPr>
        <w:pStyle w:val="Normal"/>
      </w:pPr>
      <w:r>
        <w:t>EV/Revenue: Use when EBITDA margins highly variable, early-stage with limited earnings, trade/distribution businesses, SaaS/recurring revenue models.</w:t>
      </w:r>
    </w:p>
    <w:p>
      <w:pPr>
        <w:pStyle w:val="Normal"/>
      </w:pPr>
      <w:r>
        <w:t>EV/EBITDA: Use when capital intensity varies across comparables, depreciation policies differ, most manufacturing and industrial, mature services businesses.</w:t>
      </w:r>
    </w:p>
    <w:p>
      <w:pPr>
        <w:pStyle w:val="Normal"/>
      </w:pPr>
      <w:r>
        <w:t>EV/EBIT: Use when capital intensity similar across comparables, depreciation is economic reality, asset-heavy operations, capital-intensive technology.</w:t>
      </w:r>
    </w:p>
    <w:p>
      <w:pPr>
        <w:pStyle w:val="Normal"/>
      </w:pPr>
      <w:r>
        <w:t>P/E (Price/Earnings): Use when equity value is target (not EV), capital structure similar across comparables, financial institutions, holding companies.</w:t>
      </w:r>
    </w:p>
    <w:p>
      <w:pPr>
        <w:pStyle w:val="Normal"/>
      </w:pPr>
      <w:r>
        <w:t>Nigerian Adjustments: Apply 15-25% discount to developed market multiples for FX risk, regulatory uncertainty, market depth limitations, and corporate governance gaps.</w:t>
      </w:r>
    </w:p>
    <w:p>
      <w:pPr>
        <w:pStyle w:val="Heading2"/>
      </w:pPr>
      <w:r>
        <w:t>3.5 IMPACT ON RISK ADJUSTMENTS</w:t>
      </w:r>
    </w:p>
    <w:p>
      <w:pPr>
        <w:pStyle w:val="Normal"/>
      </w:pPr>
      <w:r>
        <w:t>Business Model Specific Risk Factors:</w:t>
      </w:r>
    </w:p>
    <w:p>
      <w:pPr>
        <w:numPr>
          <w:ilvl w:val="0"/>
          <w:numId w:val="1"/>
        </w:numPr>
      </w:pPr>
      <w:r>
        <w:t>M1: Commodity Mfg - Input price volatility (Beta adjustment), Demand cyclicality (Scenario weighting)</w:t>
      </w:r>
    </w:p>
    <w:p>
      <w:pPr>
        <w:numPr>
          <w:ilvl w:val="0"/>
          <w:numId w:val="1"/>
        </w:numPr>
      </w:pPr>
      <w:r>
        <w:t>M2: Contract Mfg - Customer concentration (Specific company risk premium), Capacity constraints (Growth cap in DCF)</w:t>
      </w:r>
    </w:p>
    <w:p>
      <w:pPr>
        <w:numPr>
          <w:ilvl w:val="0"/>
          <w:numId w:val="1"/>
        </w:numPr>
      </w:pPr>
      <w:r>
        <w:t>M3: Branded Consumer - Brand investment requirements (Marketing spend normalization), Distribution dependence (Channel risk premium)</w:t>
      </w:r>
    </w:p>
    <w:p>
      <w:pPr>
        <w:numPr>
          <w:ilvl w:val="0"/>
          <w:numId w:val="1"/>
        </w:numPr>
      </w:pPr>
      <w:r>
        <w:t>M4: Precision/Comp - Relationship dependency (Customer contract review), Technical obsolescence (Technology risk premium)</w:t>
      </w:r>
    </w:p>
    <w:p>
      <w:pPr>
        <w:numPr>
          <w:ilvl w:val="0"/>
          <w:numId w:val="1"/>
        </w:numPr>
      </w:pPr>
      <w:r>
        <w:t>M5: Assembly/Int - Working capital volatility (WC normalization), Supply chain disruption (Supplier concentration analysis)</w:t>
      </w:r>
    </w:p>
    <w:p>
      <w:pPr>
        <w:pStyle w:val="Heading2"/>
      </w:pPr>
      <w:r>
        <w:t>3.6 IMPACT ON METHOD WEIGHTING</w:t>
      </w:r>
    </w:p>
    <w:p>
      <w:pPr>
        <w:pStyle w:val="Normal"/>
      </w:pPr>
      <w:r>
        <w:t>Weighting Framework based on data quality and comparable availability:</w:t>
      </w:r>
    </w:p>
    <w:p>
      <w:pPr>
        <w:numPr>
          <w:ilvl w:val="0"/>
          <w:numId w:val="1"/>
        </w:numPr>
      </w:pPr>
      <w:r>
        <w:t>High data quality + Sufficient comparables: Market 50%, Income 40%, Asset 10%</w:t>
      </w:r>
    </w:p>
    <w:p>
      <w:pPr>
        <w:numPr>
          <w:ilvl w:val="0"/>
          <w:numId w:val="1"/>
        </w:numPr>
      </w:pPr>
      <w:r>
        <w:t>High data quality + Limited comparables: Market 25%, Income 60%, Asset 15%</w:t>
      </w:r>
    </w:p>
    <w:p>
      <w:pPr>
        <w:numPr>
          <w:ilvl w:val="0"/>
          <w:numId w:val="1"/>
        </w:numPr>
      </w:pPr>
      <w:r>
        <w:t>Low data quality + Sufficient comparables: Market 60%, Income 20%, Asset 20%</w:t>
      </w:r>
    </w:p>
    <w:p>
      <w:pPr>
        <w:numPr>
          <w:ilvl w:val="0"/>
          <w:numId w:val="1"/>
        </w:numPr>
      </w:pPr>
      <w:r>
        <w:t>Low data quality + Limited comparables: Market 20%, Income 30%, Asset 50%</w:t>
      </w:r>
    </w:p>
    <w:p>
      <w:pPr>
        <w:pStyle w:val="Normal"/>
      </w:pPr>
      <w:r>
        <w:t>Nigerian Context Default: Given data limitations, recommended default weighting is Market approach 30%, Income approach 50%, Asset approach 20%.</w:t>
      </w:r>
    </w:p>
    <w:p>
      <w:pPr>
        <w:pStyle w:val="Heading1"/>
      </w:pPr>
      <w:r>
        <w:t>Section 4: Quantified Normalization Model</w:t>
      </w:r>
    </w:p>
    <w:p>
      <w:pPr>
        <w:pStyle w:val="Heading2"/>
      </w:pPr>
      <w:r>
        <w:t>4.1 NORMALIZATION PRINCIPLES</w:t>
      </w:r>
    </w:p>
    <w:p>
      <w:pPr>
        <w:pStyle w:val="Normal"/>
      </w:pPr>
      <w:r>
        <w:t>Normalization converts reported financial statements to economic reality by removing distortions. Every normalization must be quantified in currency terms, documented with rationale, supported by evidence, and reversible (audit trail).</w:t>
      </w:r>
    </w:p>
    <w:p>
      <w:pPr>
        <w:pStyle w:val="Heading2"/>
      </w:pPr>
      <w:r>
        <w:t>4.2 OWNER COMPENSATION ADJUSTMENT</w:t>
      </w:r>
    </w:p>
    <w:p>
      <w:pPr>
        <w:pStyle w:val="Normal"/>
      </w:pPr>
      <w:r>
        <w:t>Purpose: Remove owner compensation above/below market rates.</w:t>
      </w:r>
    </w:p>
    <w:p>
      <w:pPr>
        <w:pStyle w:val="Normal"/>
      </w:pPr>
      <w:r>
        <w:t>Formula: Adjusted_EBITDA = Reported_EBITDA + Owner_Compensation - Market_Compensation</w:t>
      </w:r>
    </w:p>
    <w:p>
      <w:pPr>
        <w:pStyle w:val="Normal"/>
      </w:pPr>
      <w:r>
        <w:t>Where Market_Compensation = f(role, company_size, sector, location)</w:t>
      </w:r>
    </w:p>
    <w:p>
      <w:pPr>
        <w:pStyle w:val="Normal"/>
      </w:pPr>
      <w:r>
        <w:t>Calculation Steps: (1) Identify all owner compensation components (salary, bonuses, benefits, dividends treated as compensation, related-party payments to family), (2) Determine appropriate market compensation using industry survey data, (3) Calculate adjustment.</w:t>
      </w:r>
    </w:p>
    <w:p>
      <w:pPr>
        <w:pStyle w:val="Normal"/>
      </w:pPr>
      <w:r>
        <w:t>Nigerian Context: Owner compensation often includes significant non-cash benefits. Multiple family members may be on payroll at above-market rates. Market data limited; use regional SSA data with Nigeria adjustment. Typical adjustment range: NGN 5M - 50M annually for SMEs.</w:t>
      </w:r>
    </w:p>
    <w:p>
      <w:pPr>
        <w:pStyle w:val="Heading2"/>
      </w:pPr>
      <w:r>
        <w:t>4.3 RELATED-PARTY RENT ADJUSTMENT</w:t>
      </w:r>
    </w:p>
    <w:p>
      <w:pPr>
        <w:pStyle w:val="Normal"/>
      </w:pPr>
      <w:r>
        <w:t>Purpose: Adjust rent to market rates when property is owner-occupied.</w:t>
      </w:r>
    </w:p>
    <w:p>
      <w:pPr>
        <w:pStyle w:val="Normal"/>
      </w:pPr>
      <w:r>
        <w:t>Formula: Adjusted_EBITDA = Reported_EBITDA + Reported_Rent - Market_Rent</w:t>
      </w:r>
    </w:p>
    <w:p>
      <w:pPr>
        <w:pStyle w:val="Normal"/>
      </w:pPr>
      <w:r>
        <w:t>Nigerian Context: Many SMEs operate from owner-owned properties. Rent may be artificially high (to extract cash) or low (to inflate earnings). Market rent data often informal; use agent surveys.</w:t>
      </w:r>
    </w:p>
    <w:p>
      <w:pPr>
        <w:pStyle w:val="Heading2"/>
      </w:pPr>
      <w:r>
        <w:t>4.4 PERSONAL EXPENSE REMOVAL</w:t>
      </w:r>
    </w:p>
    <w:p>
      <w:pPr>
        <w:pStyle w:val="Normal"/>
      </w:pPr>
      <w:r>
        <w:t>Purpose: Remove expenses that are personal to owner, not business.</w:t>
      </w:r>
    </w:p>
    <w:p>
      <w:pPr>
        <w:pStyle w:val="Normal"/>
      </w:pPr>
      <w:r>
        <w:t>Categories: Personal vehicle expenses, personal travel and entertainment, family member salaries (non-working), personal insurance, home office expenses (excessive), club memberships, personal telecommunications.</w:t>
      </w:r>
    </w:p>
    <w:p>
      <w:pPr>
        <w:pStyle w:val="Normal"/>
      </w:pPr>
      <w:r>
        <w:t>Formula: Adjusted_EBITDA = Reported_EBITDA + Sum(Personal_Expenses_Identified)</w:t>
      </w:r>
    </w:p>
    <w:p>
      <w:pPr>
        <w:pStyle w:val="Normal"/>
      </w:pPr>
      <w:r>
        <w:t>Nigerian Context: Personal/business separation often blurred. Cash transactions difficult to trace. Requires detailed interview with owner. May need to estimate based on industry norms.</w:t>
      </w:r>
    </w:p>
    <w:p>
      <w:pPr>
        <w:pStyle w:val="Heading2"/>
      </w:pPr>
      <w:r>
        <w:t>4.5 ONE-OFF ITEM TREATMENT</w:t>
      </w:r>
    </w:p>
    <w:p>
      <w:pPr>
        <w:pStyle w:val="Normal"/>
      </w:pPr>
      <w:r>
        <w:t>Purpose: Remove non-recurring items to show normalized earnings.</w:t>
      </w:r>
    </w:p>
    <w:p>
      <w:pPr>
        <w:pStyle w:val="Normal"/>
      </w:pPr>
      <w:r>
        <w:t>Categories: Asset sales gains/losses, litigation settlements, insurance recoveries, restructuring costs, one-time professional fees, COVID-19/other exceptional impacts.</w:t>
      </w:r>
    </w:p>
    <w:p>
      <w:pPr>
        <w:pStyle w:val="Normal"/>
      </w:pPr>
      <w:r>
        <w:t>Formula: Adjusted_EBITDA = Reported_EBITDA - One_Off_Gains + One_Off_Losses</w:t>
      </w:r>
    </w:p>
    <w:p>
      <w:pPr>
        <w:pStyle w:val="Normal"/>
      </w:pPr>
      <w:r>
        <w:t>Treatment Rules: IF item_is_truly_non_recurring AND material THEN exclude from normalized earnings. IF item_represents_business_risk AND may_recur THEN include with disclosure.</w:t>
      </w:r>
    </w:p>
    <w:p>
      <w:pPr>
        <w:pStyle w:val="Heading2"/>
      </w:pPr>
      <w:r>
        <w:t>4.6 NON-OPERATING ASSETS/LIABILITIES</w:t>
      </w:r>
    </w:p>
    <w:p>
      <w:pPr>
        <w:pStyle w:val="Normal"/>
      </w:pPr>
      <w:r>
        <w:t>Purpose: Separate non-operating items from core business value.</w:t>
      </w:r>
    </w:p>
    <w:p>
      <w:pPr>
        <w:pStyle w:val="Normal"/>
      </w:pPr>
      <w:r>
        <w:t>Non-Operating Assets: Excess cash (above operating requirements), investment properties, marketable securities, loans to related parties, idle equipment, development land.</w:t>
      </w:r>
    </w:p>
    <w:p>
      <w:pPr>
        <w:pStyle w:val="Normal"/>
      </w:pPr>
      <w:r>
        <w:t>Treatment: EV = Value_of_Operations + Non_Operating_Assets - Non_Operating_Liabilities</w:t>
      </w:r>
    </w:p>
    <w:p>
      <w:pPr>
        <w:pStyle w:val="Heading2"/>
      </w:pPr>
      <w:r>
        <w:t>4.7 DEBT-LIKE ITEMS</w:t>
      </w:r>
    </w:p>
    <w:p>
      <w:pPr>
        <w:pStyle w:val="Normal"/>
      </w:pPr>
      <w:r>
        <w:t>Purpose: Identify obligations that function as debt but may not be classified as such.</w:t>
      </w:r>
    </w:p>
    <w:p>
      <w:pPr>
        <w:pStyle w:val="Normal"/>
      </w:pPr>
      <w:r>
        <w:t>Categories: Related-party loans, trade payables stretched beyond normal terms, tax arrears and penalties, outstanding employee benefits, deferred consideration, earn-out obligations, regulatory fines, FX forward obligations.</w:t>
      </w:r>
    </w:p>
    <w:p>
      <w:pPr>
        <w:pStyle w:val="Normal"/>
      </w:pPr>
      <w:r>
        <w:t>Formula: Net_Debt = Interest_Bearing_Debt + Debt_Like_Items - Cash</w:t>
      </w:r>
    </w:p>
    <w:p>
      <w:pPr>
        <w:pStyle w:val="Normal"/>
      </w:pPr>
      <w:r>
        <w:t>Nigerian Context: Informal related-party debt common. Tax arrears significant issue. Trade credit often stretched. Must interview management thoroughly.</w:t>
      </w:r>
    </w:p>
    <w:p>
      <w:pPr>
        <w:pStyle w:val="Heading2"/>
      </w:pPr>
      <w:r>
        <w:t>4.8 WORKING CAPITAL NORMALIZATION</w:t>
      </w:r>
    </w:p>
    <w:p>
      <w:pPr>
        <w:pStyle w:val="Normal"/>
      </w:pPr>
      <w:r>
        <w:t>Purpose: Adjust for abnormal working capital levels.</w:t>
      </w:r>
    </w:p>
    <w:p>
      <w:pPr>
        <w:pStyle w:val="Normal"/>
      </w:pPr>
      <w:r>
        <w:t>Formula: Normalized_WC = (Normalized_Receivables + Normalized_Inventory) - Normalized_Payables</w:t>
      </w:r>
    </w:p>
    <w:p>
      <w:pPr>
        <w:pStyle w:val="Normal"/>
      </w:pPr>
      <w:r>
        <w:t>Where: Normalized_Receivables = Revenue x (Industry_Receivable_Days / 365), Normalized_Inventory = COGS x (Industry_Inventory_Days / 365), Normalized_Payables = COGS x (Industry_Payable_Days / 365)</w:t>
      </w:r>
    </w:p>
    <w:p>
      <w:pPr>
        <w:pStyle w:val="Normal"/>
      </w:pPr>
      <w:r>
        <w:t>WC_Adjustment = Reported_WC - Normalized_WC. IF WC_Adjustment &gt; 0 THEN excess WC reduces EV. IF WC_Adjustment &lt; 0 THEN WC deficit increases EV.</w:t>
      </w:r>
    </w:p>
    <w:p>
      <w:pPr>
        <w:pStyle w:val="Heading2"/>
      </w:pPr>
      <w:r>
        <w:t>4.9 MAINTENANCE VS GROWTH CapEx</w:t>
      </w:r>
    </w:p>
    <w:p>
      <w:pPr>
        <w:pStyle w:val="Normal"/>
      </w:pPr>
      <w:r>
        <w:t>Purpose: Separate sustaining investment from growth investment.</w:t>
      </w:r>
    </w:p>
    <w:p>
      <w:pPr>
        <w:pStyle w:val="Normal"/>
      </w:pPr>
      <w:r>
        <w:t>Formula: Normalized_FCF = EBITDA x (1 - Tax_Rate) + Depreciation - Maintenance_CapEx - Delta_WC</w:t>
      </w:r>
    </w:p>
    <w:p>
      <w:pPr>
        <w:pStyle w:val="Normal"/>
      </w:pPr>
      <w:r>
        <w:t>Calculation Methods: (1) Historical Ratio - Maintenance_CapEx = Historical_Depreciation x (1 + Inflation_Rate), (2) Asset Replacement - sum of Asset_Category_Value x Replacement_Rate, (3) Industry Benchmark - Revenue x Industry_Maintenance_CapEx_Rate</w:t>
      </w:r>
    </w:p>
    <w:p>
      <w:pPr>
        <w:pStyle w:val="Heading1"/>
      </w:pPr>
      <w:r>
        <w:t>Section 5: Multi-Method Framework with Reconciliation</w:t>
      </w:r>
    </w:p>
    <w:p>
      <w:pPr>
        <w:pStyle w:val="Heading2"/>
      </w:pPr>
      <w:r>
        <w:t>5.1 METHOD SELECTION LOGIC</w:t>
      </w:r>
    </w:p>
    <w:p>
      <w:pPr>
        <w:pStyle w:val="Heading3"/>
      </w:pPr>
      <w:r>
        <w:t>Market Approach: When to Use</w:t>
      </w:r>
    </w:p>
    <w:p>
      <w:pPr>
        <w:pStyle w:val="Normal"/>
      </w:pPr>
      <w:r>
        <w:t>Appropriate when sufficient comparable transaction data available, business is mature with stable earnings, market is active with frequent transactions, business model matches comparable universe, earnings quality is reliable.</w:t>
      </w:r>
    </w:p>
    <w:p>
      <w:pPr>
        <w:pStyle w:val="Normal"/>
      </w:pPr>
      <w:r>
        <w:t>Not appropriate when no comparable transactions in 24+ months, business is pre-revenue or early-stage, unique business model with no peers, earnings highly distorted or negative, significant transformation underway.</w:t>
      </w:r>
    </w:p>
    <w:p>
      <w:pPr>
        <w:pStyle w:val="Heading3"/>
      </w:pPr>
      <w:r>
        <w:t>Income Approach (DCF): When to Use</w:t>
      </w:r>
    </w:p>
    <w:p>
      <w:pPr>
        <w:pStyle w:val="Normal"/>
      </w:pPr>
      <w:r>
        <w:t>Appropriate when forecasts are reliable and supportable, business has growth trajectory, cash flows can be projected with confidence, business is going concern, management can articulate strategy.</w:t>
      </w:r>
    </w:p>
    <w:p>
      <w:pPr>
        <w:pStyle w:val="Normal"/>
      </w:pPr>
      <w:r>
        <w:t>Nigerian Context: DCF often primary method due to limited comparable data. Forecast reliability may be lower; use conservative assumptions. Terminal value often significant; use multiple approaches.</w:t>
      </w:r>
    </w:p>
    <w:p>
      <w:pPr>
        <w:pStyle w:val="Heading3"/>
      </w:pPr>
      <w:r>
        <w:t>Income Approach (Capitalized Earnings): When to Use</w:t>
      </w:r>
    </w:p>
    <w:p>
      <w:pPr>
        <w:pStyle w:val="Normal"/>
      </w:pPr>
      <w:r>
        <w:t>Appropriate when earnings are stable and predictable, growth is modest and sustainable, detailed forecasts not available, mature business with established track record, quick valuation needed for screening.</w:t>
      </w:r>
    </w:p>
    <w:p>
      <w:pPr>
        <w:pStyle w:val="Normal"/>
      </w:pPr>
      <w:r>
        <w:t>Formula: Value = Normalized_Earnings / Capitalization_Rate, where Capitalization_Rate = Discount_Rate - Sustainable_Growth_Rate</w:t>
      </w:r>
    </w:p>
    <w:p>
      <w:pPr>
        <w:pStyle w:val="Heading3"/>
      </w:pPr>
      <w:r>
        <w:t>Asset Approach: When to Use</w:t>
      </w:r>
    </w:p>
    <w:p>
      <w:pPr>
        <w:pStyle w:val="Normal"/>
      </w:pPr>
      <w:r>
        <w:t>Appropriate when business is asset-intensive, earnings do not support value above assets, liquidation or distressed sale, holding company structure, early-stage with no earnings, significant tangible asset base.</w:t>
      </w:r>
    </w:p>
    <w:p>
      <w:pPr>
        <w:pStyle w:val="Heading2"/>
      </w:pPr>
      <w:r>
        <w:t>5.2 DISCOUNT RATE CALCULATION</w:t>
      </w:r>
    </w:p>
    <w:p>
      <w:pPr>
        <w:pStyle w:val="Normal"/>
      </w:pPr>
      <w:r>
        <w:t>WACC Formula: WACC = (E/V x Re) + (D/V x Rd x (1 - T))</w:t>
      </w:r>
    </w:p>
    <w:p>
      <w:pPr>
        <w:pStyle w:val="Normal"/>
      </w:pPr>
      <w:r>
        <w:t>Cost of Equity (CAPM): Re = Rf + Beta x (Rm - Rf) + Company_Specific_Risk</w:t>
      </w:r>
    </w:p>
    <w:p>
      <w:pPr>
        <w:pStyle w:val="Normal"/>
      </w:pPr>
      <w:r>
        <w:t>Nigerian Parameters: Risk-free rate (10-year FGN bond yield, currently ~14-16%), Market risk premium (8-10%), Company-specific risk premium (3-8% for SMEs). Typical WACC Range for Nigerian SMEs: 22-35%.</w:t>
      </w:r>
    </w:p>
    <w:p>
      <w:pPr>
        <w:pStyle w:val="Heading2"/>
      </w:pPr>
      <w:r>
        <w:t>5.3 TERMINAL VALUE CALCULATION</w:t>
      </w:r>
    </w:p>
    <w:p>
      <w:pPr>
        <w:pStyle w:val="Normal"/>
      </w:pPr>
      <w:r>
        <w:t>Method 1 - Gordon Growth Model: TV = FCF_n x (1 + g) / (WACC - g)</w:t>
      </w:r>
    </w:p>
    <w:p>
      <w:pPr>
        <w:pStyle w:val="Normal"/>
      </w:pPr>
      <w:r>
        <w:t>Method 2 - Exit Multiple Method: TV = EBITDA_n x Exit_Multiple</w:t>
      </w:r>
    </w:p>
    <w:p>
      <w:pPr>
        <w:pStyle w:val="Normal"/>
      </w:pPr>
      <w:r>
        <w:t>Reconciliation: If Gordon Growth Value differs from Exit Multiple Value by more than 25%, use the more conservative with disclosure.</w:t>
      </w:r>
    </w:p>
    <w:p>
      <w:pPr>
        <w:pStyle w:val="Heading2"/>
      </w:pPr>
      <w:r>
        <w:t>5.4 METHOD RECONCILIATION FRAMEWORK</w:t>
      </w:r>
    </w:p>
    <w:p>
      <w:pPr>
        <w:pStyle w:val="Normal"/>
      </w:pPr>
      <w:r>
        <w:t>Step 1: Calculate Value Indication from Each Method (Market, DCF, CEM, Asset).</w:t>
      </w:r>
    </w:p>
    <w:p>
      <w:pPr>
        <w:pStyle w:val="Normal"/>
      </w:pPr>
      <w:r>
        <w:t>Step 2: Assess Method Reliability - Score data quality, comparable quality, forecast reliability, method appropriateness (1-5 each).</w:t>
      </w:r>
    </w:p>
    <w:p>
      <w:pPr>
        <w:pStyle w:val="Normal"/>
      </w:pPr>
      <w:r>
        <w:t>Step 3: Determine Method Weights - Weight for each method = Method_Reliability_Score / Sum of all reliability scores.</w:t>
      </w:r>
    </w:p>
    <w:p>
      <w:pPr>
        <w:pStyle w:val="Normal"/>
      </w:pPr>
      <w:r>
        <w:t>Step 4: Calculate Weighted Average - Reconciled_Value = Sum(Method_Value x Method_Weight).</w:t>
      </w:r>
    </w:p>
    <w:p>
      <w:pPr>
        <w:pStyle w:val="Normal"/>
      </w:pPr>
      <w:r>
        <w:t>Step 5: Apply Sanity Checks - Is reconciled value within range of indications? Does it make sense given asset values?</w:t>
      </w:r>
    </w:p>
    <w:p>
      <w:pPr>
        <w:pStyle w:val="Normal"/>
      </w:pPr>
      <w:r>
        <w:t>Step 6: Document Rationale - Explain why certain methods were weighted higher/lower.</w:t>
      </w:r>
    </w:p>
    <w:p>
      <w:pPr>
        <w:pStyle w:val="Heading2"/>
      </w:pPr>
      <w:r>
        <w:t>5.5 NIGERIAN-SPECIFIC RECONCILIATION</w:t>
      </w:r>
    </w:p>
    <w:p>
      <w:pPr>
        <w:pStyle w:val="Normal"/>
      </w:pPr>
      <w:r>
        <w:t>Given data limitations in Nigeria, recommended default weighting: Market approach 30%, Income approach 50%, Asset approach 20%.</w:t>
      </w:r>
    </w:p>
    <w:p>
      <w:pPr>
        <w:pStyle w:val="Normal"/>
      </w:pPr>
      <w:r>
        <w:t>Adjustments: Increase DCF weight if strong forecasts and growth story. Increase market approach weight if recent comparable transactions. Increase asset approach weight if earnings unreliable or negative.</w:t>
      </w:r>
    </w:p>
    <w:p>
      <w:pPr>
        <w:pStyle w:val="Heading1"/>
      </w:pPr>
      <w:r>
        <w:t>Section 6: Separation of Value Concepts</w:t>
      </w:r>
    </w:p>
    <w:p>
      <w:pPr>
        <w:pStyle w:val="Heading2"/>
      </w:pPr>
      <w:r>
        <w:t>6.1 FUNDAMENTAL ORDERLY MARKET VALUE</w:t>
      </w:r>
    </w:p>
    <w:p>
      <w:pPr>
        <w:pStyle w:val="Normal"/>
      </w:pPr>
      <w:r>
        <w:t>Definition: The value of the business to a hypothetical willing buyer in an orderly transaction, assuming neither party under compulsion, both parties with reasonable knowledge, adequate time for marketing, normal financing terms available, business continues as going concern.</w:t>
      </w:r>
    </w:p>
    <w:p>
      <w:pPr>
        <w:pStyle w:val="Normal"/>
      </w:pPr>
      <w:r>
        <w:t>Calculation: Fundamental_Value = Reconciled_Value_from_Methods. This represents the intrinsic value of the business based on its economic fundamentals.</w:t>
      </w:r>
    </w:p>
    <w:p>
      <w:pPr>
        <w:pStyle w:val="Heading2"/>
      </w:pPr>
      <w:r>
        <w:t>6.2 ACHIEVABLE VALUE TODAY</w:t>
      </w:r>
    </w:p>
    <w:p>
      <w:pPr>
        <w:pStyle w:val="Normal"/>
      </w:pPr>
      <w:r>
        <w:t>Definition: The value that could actually be realized in a sale transaction conducted in the current market environment with the actual seller's circumstances.</w:t>
      </w:r>
    </w:p>
    <w:p>
      <w:pPr>
        <w:pStyle w:val="Normal"/>
      </w:pPr>
      <w:r>
        <w:t>Formula: Achievable_Value = Fundamental_Value x Marketability_Factor x Readiness_Factor</w:t>
      </w:r>
    </w:p>
    <w:p>
      <w:pPr>
        <w:pStyle w:val="Normal"/>
      </w:pPr>
      <w:r>
        <w:t>Marketability Factor Components: Market depth (1.0 = deep, 0.7 = limited), Timing (1.0 = optimal, 0.8 = suboptimal), Financing availability (1.0 = available, 0.85 = constrained). Typical range: 0.70 - 0.95.</w:t>
      </w:r>
    </w:p>
    <w:p>
      <w:pPr>
        <w:pStyle w:val="Normal"/>
      </w:pPr>
      <w:r>
        <w:t>Readiness Factor: Readiness_Score (0-100) mapped to factor. 90-100 = 0.95-1.00 (sale-ready), 70-89 = 0.85-0.95, 50-69 = 0.70-0.85, 30-49 = 0.55-0.70, 0-29 = 0.40-0.55.</w:t>
      </w:r>
    </w:p>
    <w:p>
      <w:pPr>
        <w:pStyle w:val="Heading2"/>
      </w:pPr>
      <w:r>
        <w:t>6.3 FORCED-SALE / ACCELERATED-SALE VALUE</w:t>
      </w:r>
    </w:p>
    <w:p>
      <w:pPr>
        <w:pStyle w:val="Normal"/>
      </w:pPr>
      <w:r>
        <w:t>Definition: The value expected from a sale where the seller is under compulsion to transact within a limited timeframe.</w:t>
      </w:r>
    </w:p>
    <w:p>
      <w:pPr>
        <w:pStyle w:val="Normal"/>
      </w:pPr>
      <w:r>
        <w:t>Formula: Forced_Sale_Value = Fundamental_Value x (1 - Forced_Sale_Discount)</w:t>
      </w:r>
    </w:p>
    <w:p>
      <w:pPr>
        <w:pStyle w:val="Normal"/>
      </w:pPr>
      <w:r>
        <w:t>Forced Sale Discount Factors: Time pressure (30-180 days): 15-40% discount, Limited marketing: 10-20% discount, Buyer awareness of distress: 10-15% discount. Typical discount: 30-60%.</w:t>
      </w:r>
    </w:p>
    <w:p>
      <w:pPr>
        <w:pStyle w:val="Heading2"/>
      </w:pPr>
      <w:r>
        <w:t>6.4 SELL-SIDE READINESS SCORE</w:t>
      </w:r>
    </w:p>
    <w:p>
      <w:pPr>
        <w:pStyle w:val="Normal"/>
      </w:pPr>
      <w:r>
        <w:t>Scoring Framework (0-100) with dimension weights:</w:t>
      </w:r>
    </w:p>
    <w:p>
      <w:pPr>
        <w:numPr>
          <w:ilvl w:val="0"/>
          <w:numId w:val="1"/>
        </w:numPr>
      </w:pPr>
      <w:r>
        <w:t>Financial Documentation: 15% (Audited 3 years = 15pts, Audited 1-2 years = 10pts, Management accounts = 4pts)</w:t>
      </w:r>
    </w:p>
    <w:p>
      <w:pPr>
        <w:numPr>
          <w:ilvl w:val="0"/>
          <w:numId w:val="1"/>
        </w:numPr>
      </w:pPr>
      <w:r>
        <w:t>Management Information: 10% (Monthly with KPIs = 10pts, Monthly = 7pts, Quarterly = 5pts)</w:t>
      </w:r>
    </w:p>
    <w:p>
      <w:pPr>
        <w:numPr>
          <w:ilvl w:val="0"/>
          <w:numId w:val="1"/>
        </w:numPr>
      </w:pPr>
      <w:r>
        <w:t>Corporate Governance: 10% (Board with independent directors = 10pts, Formal board = 7pts, Informal = 2pts)</w:t>
      </w:r>
    </w:p>
    <w:p>
      <w:pPr>
        <w:numPr>
          <w:ilvl w:val="0"/>
          <w:numId w:val="1"/>
        </w:numPr>
      </w:pPr>
      <w:r>
        <w:t>Customer Concentration: 15% (Top customer &lt;10% = 15pts, 10-20% = 10pts, 20-30% = 6pts, &gt;50% = 0pts)</w:t>
      </w:r>
    </w:p>
    <w:p>
      <w:pPr>
        <w:numPr>
          <w:ilvl w:val="0"/>
          <w:numId w:val="1"/>
        </w:numPr>
      </w:pPr>
      <w:r>
        <w:t>Contract Documentation: 10% (Written contracts = 10pts, Some written = 6pts, No contracts = 0pts)</w:t>
      </w:r>
    </w:p>
    <w:p>
      <w:pPr>
        <w:numPr>
          <w:ilvl w:val="0"/>
          <w:numId w:val="1"/>
        </w:numPr>
      </w:pPr>
      <w:r>
        <w:t>Regulatory Compliance: 10% (Fully compliant = 10pts, Minor non-compliance = 6pts, Significant = 0pts)</w:t>
      </w:r>
    </w:p>
    <w:p>
      <w:pPr>
        <w:numPr>
          <w:ilvl w:val="0"/>
          <w:numId w:val="1"/>
        </w:numPr>
      </w:pPr>
      <w:r>
        <w:t>Management Depth: 15% (Strong team = 15pts, Good with gaps = 10pts, Owner-dependent = 5pts)</w:t>
      </w:r>
    </w:p>
    <w:p>
      <w:pPr>
        <w:numPr>
          <w:ilvl w:val="0"/>
          <w:numId w:val="1"/>
        </w:numPr>
      </w:pPr>
      <w:r>
        <w:t>Owner Dependence: 15% (Not involved = 15pts, Strategic only = 10pts, Key operational = 5pts, Owner is business = 0pts)</w:t>
      </w:r>
    </w:p>
    <w:p>
      <w:pPr>
        <w:pStyle w:val="Heading2"/>
      </w:pPr>
      <w:r>
        <w:t>6.5 CONFIDENCE SCORE</w:t>
      </w:r>
    </w:p>
    <w:p>
      <w:pPr>
        <w:pStyle w:val="Normal"/>
      </w:pPr>
      <w:r>
        <w:t>Scoring Framework (0-100) with component weights:</w:t>
      </w:r>
    </w:p>
    <w:p>
      <w:pPr>
        <w:numPr>
          <w:ilvl w:val="0"/>
          <w:numId w:val="1"/>
        </w:numPr>
      </w:pPr>
      <w:r>
        <w:t>Data Quality: 25% (Audited complete = 25pts, Audited with gaps = 20pts, Management accounts = 10pts)</w:t>
      </w:r>
    </w:p>
    <w:p>
      <w:pPr>
        <w:numPr>
          <w:ilvl w:val="0"/>
          <w:numId w:val="1"/>
        </w:numPr>
      </w:pPr>
      <w:r>
        <w:t>Forecast Reliability: 25% (Detailed with assumptions = 25pts, High-level = 18pts, No forecasts = 5pts)</w:t>
      </w:r>
    </w:p>
    <w:p>
      <w:pPr>
        <w:numPr>
          <w:ilvl w:val="0"/>
          <w:numId w:val="1"/>
        </w:numPr>
      </w:pPr>
      <w:r>
        <w:t>Market Evidence: 20% (Recent comparables = 20pts, Dated = 14pts, Limited = 8pts, None = 3pts)</w:t>
      </w:r>
    </w:p>
    <w:p>
      <w:pPr>
        <w:numPr>
          <w:ilvl w:val="0"/>
          <w:numId w:val="1"/>
        </w:numPr>
      </w:pPr>
      <w:r>
        <w:t>Methodological Appropriateness: 15% (Multiple appropriate = 15pts, Some limitations = 10pts)</w:t>
      </w:r>
    </w:p>
    <w:p>
      <w:pPr>
        <w:numPr>
          <w:ilvl w:val="0"/>
          <w:numId w:val="1"/>
        </w:numPr>
      </w:pPr>
      <w:r>
        <w:t>Analyst Judgment: 15% (Low required = 15pts, Moderate = 10pts, High = 5pts)</w:t>
      </w:r>
    </w:p>
    <w:p>
      <w:pPr>
        <w:pStyle w:val="Normal"/>
      </w:pPr>
      <w:r>
        <w:t>Value Range Calculation: 90-100 confidence = +/-10% range, 70-89 = +/-15%, 50-69 = +/-25%, 30-49 = +/-40%, &lt;30 = +/-50%.</w:t>
      </w:r>
    </w:p>
    <w:p>
      <w:pPr>
        <w:pStyle w:val="Heading2"/>
      </w:pPr>
      <w:r>
        <w:t>6.6 OUTPUT RELATIONSHIPS</w:t>
      </w:r>
    </w:p>
    <w:p>
      <w:pPr>
        <w:pStyle w:val="Normal"/>
      </w:pPr>
      <w:r>
        <w:t>The five value concepts relate hierarchically: Fundamental_Value (highest concept) is adjusted by Marketability_Factor to get Achievable_Value, which is further adjusted by Readiness_Factor to get Realizable_Value (if sold today), and finally adjusted by Forced_Sale_Discount to get Forced_Sale_Value (lowest concept). Confidence_Score applies to all value estimates, determining the width of the range around each.</w:t>
      </w:r>
    </w:p>
    <w:p>
      <w:pPr>
        <w:pStyle w:val="Heading1"/>
      </w:pPr>
      <w:r>
        <w:t>Section 7: Output Structure</w:t>
      </w:r>
    </w:p>
    <w:p>
      <w:pPr>
        <w:pStyle w:val="Normal"/>
      </w:pPr>
      <w:r>
        <w:t>The engine must produce a structured output that is comprehensive for professional users, understandable for business owners, auditable for regulatory purposes, and actionable for decision-making.</w:t>
      </w:r>
    </w:p>
    <w:p>
      <w:pPr>
        <w:pStyle w:val="Heading2"/>
      </w:pPr>
      <w:r>
        <w:t>OUTPUT SECTION 1: EXECUTIVE SUMMARY</w:t>
      </w:r>
    </w:p>
    <w:p>
      <w:pPr>
        <w:pStyle w:val="Normal"/>
      </w:pPr>
      <w:r>
        <w:t>Content: Company name and description, valuation date, purpose of valuation, key value indications (fundamental orderly market value, achievable value today, forced sale value), confidence level and value range, readiness score and key gaps, primary methods used and their weighting, key assumptions and limiting conditions.</w:t>
      </w:r>
    </w:p>
    <w:p>
      <w:pPr>
        <w:pStyle w:val="Heading2"/>
      </w:pPr>
      <w:r>
        <w:t>OUTPUT SECTION 2: ENGAGEMENT PARAMETERS</w:t>
      </w:r>
    </w:p>
    <w:p>
      <w:pPr>
        <w:pStyle w:val="Normal"/>
      </w:pPr>
      <w:r>
        <w:t>Content: Valuation purpose, standard of value applied, valuation date, report date, intended users, scope and limitations, information sources, professional standards compliance (IVS, NIVA).</w:t>
      </w:r>
    </w:p>
    <w:p>
      <w:pPr>
        <w:pStyle w:val="Heading2"/>
      </w:pPr>
      <w:r>
        <w:t>OUTPUT SECTION 3: BUSINESS DESCRIPTION</w:t>
      </w:r>
    </w:p>
    <w:p>
      <w:pPr>
        <w:pStyle w:val="Normal"/>
      </w:pPr>
      <w:r>
        <w:t>Content: Company overview, history and background, products/services, markets and customers, competitive position, management and organization, Level 1 and Level 2 classification.</w:t>
      </w:r>
    </w:p>
    <w:p>
      <w:pPr>
        <w:pStyle w:val="Heading2"/>
      </w:pPr>
      <w:r>
        <w:t>OUTPUT SECTION 4: FINANCIAL NORMALIZATION</w:t>
      </w:r>
    </w:p>
    <w:p>
      <w:pPr>
        <w:pStyle w:val="Normal"/>
      </w:pPr>
      <w:r>
        <w:t>Content: Summary normalization adjustments table, detailed adjustment explanations, normalized financial statements (3-5 years), QoE analysis, working capital analysis, CapEx analysis.</w:t>
      </w:r>
    </w:p>
    <w:p>
      <w:pPr>
        <w:pStyle w:val="Heading2"/>
      </w:pPr>
      <w:r>
        <w:t>OUTPUT SECTION 5: VALUATION METHODOLOGY</w:t>
      </w:r>
    </w:p>
    <w:p>
      <w:pPr>
        <w:pStyle w:val="Normal"/>
      </w:pPr>
      <w:r>
        <w:t>Content: Methods considered, methods used and rationale, methods excluded and rationale, method weighting and reconciliation, key assumptions for each method.</w:t>
      </w:r>
    </w:p>
    <w:p>
      <w:pPr>
        <w:pStyle w:val="Heading2"/>
      </w:pPr>
      <w:r>
        <w:t>OUTPUT SECTION 6: MARKET APPROACH DETAIL</w:t>
      </w:r>
    </w:p>
    <w:p>
      <w:pPr>
        <w:pStyle w:val="Normal"/>
      </w:pPr>
      <w:r>
        <w:t>Content: Comparable selection criteria, comparable company/transaction summary, multiple selection rationale, multiple application, adjustment factors, value indication.</w:t>
      </w:r>
    </w:p>
    <w:p>
      <w:pPr>
        <w:pStyle w:val="Heading2"/>
      </w:pPr>
      <w:r>
        <w:t>OUTPUT SECTION 7: INCOME APPROACH DETAIL</w:t>
      </w:r>
    </w:p>
    <w:p>
      <w:pPr>
        <w:pStyle w:val="Normal"/>
      </w:pPr>
      <w:r>
        <w:t>Content: Forecast summary, discount rate calculation (WACC), terminal value calculation, DCF valuation, capitalized earnings valuation, sensitivity analysis.</w:t>
      </w:r>
    </w:p>
    <w:p>
      <w:pPr>
        <w:pStyle w:val="Heading2"/>
      </w:pPr>
      <w:r>
        <w:t>OUTPUT SECTION 8: ASSET APPROACH DETAIL</w:t>
      </w:r>
    </w:p>
    <w:p>
      <w:pPr>
        <w:pStyle w:val="Normal"/>
      </w:pPr>
      <w:r>
        <w:t>Content: Asset valuation methodology, asset category breakdown, liability verification, adjusted net asset value.</w:t>
      </w:r>
    </w:p>
    <w:p>
      <w:pPr>
        <w:pStyle w:val="Heading2"/>
      </w:pPr>
      <w:r>
        <w:t>OUTPUT SECTION 9: EV-TO-EQUITY BRIDGE</w:t>
      </w:r>
    </w:p>
    <w:p>
      <w:pPr>
        <w:pStyle w:val="Normal"/>
      </w:pPr>
      <w:r>
        <w:t>Content: Enterprise value, plus non-operating assets, less interest-bearing debt, less debt-like items, less non-operating liabilities, plus/minus working capital adjustment, equals equity value.</w:t>
      </w:r>
    </w:p>
    <w:p>
      <w:pPr>
        <w:pStyle w:val="Heading2"/>
      </w:pPr>
      <w:r>
        <w:t>OUTPUT SECTION 10: READINESS ASSESSMENT</w:t>
      </w:r>
    </w:p>
    <w:p>
      <w:pPr>
        <w:pStyle w:val="Normal"/>
      </w:pPr>
      <w:r>
        <w:t>Content: Overall readiness score, dimension-by-dimension breakdown, key gaps identified, recommended actions, timeline to sale-readiness.</w:t>
      </w:r>
    </w:p>
    <w:p>
      <w:pPr>
        <w:pStyle w:val="Heading2"/>
      </w:pPr>
      <w:r>
        <w:t>OUTPUT SECTION 11: CONFIDENCE ASSESSMENT</w:t>
      </w:r>
    </w:p>
    <w:p>
      <w:pPr>
        <w:pStyle w:val="Normal"/>
      </w:pPr>
      <w:r>
        <w:t>Content: Overall confidence score, component breakdown, key uncertainties, value sensitivity to key assumptions, recommended actions to improve confidence.</w:t>
      </w:r>
    </w:p>
    <w:p>
      <w:pPr>
        <w:pStyle w:val="Heading2"/>
      </w:pPr>
      <w:r>
        <w:t>OUTPUT SECTION 12: SENSITIVITY ANALYSIS</w:t>
      </w:r>
    </w:p>
    <w:p>
      <w:pPr>
        <w:pStyle w:val="Normal"/>
      </w:pPr>
      <w:r>
        <w:t>Content: Sensitivity to key assumptions, scenario analysis, value range under different conditions.</w:t>
      </w:r>
    </w:p>
    <w:p>
      <w:pPr>
        <w:pStyle w:val="Heading2"/>
      </w:pPr>
      <w:r>
        <w:t>OUTPUT SECTIONS 13-14: LIMITING CONDITIONS AND APPENDICES</w:t>
      </w:r>
    </w:p>
    <w:p>
      <w:pPr>
        <w:pStyle w:val="Normal"/>
      </w:pPr>
      <w:r>
        <w:t>Content: Assumptions and limiting conditions, information relied upon, information not verified, professional standards compliance, independence declaration, detailed financial statements, forecast assumptions, comparable detail, market data sources, glossary of terms.</w:t>
      </w:r>
    </w:p>
    <w:p>
      <w:pPr>
        <w:pStyle w:val="Heading1"/>
      </w:pPr>
      <w:r>
        <w:t>Section 8: Data Requirements by Mode</w:t>
      </w:r>
    </w:p>
    <w:p>
      <w:pPr>
        <w:pStyle w:val="Heading2"/>
      </w:pPr>
      <w:r>
        <w:t>8.1 OWNER SELF-SERVE MODE</w:t>
      </w:r>
    </w:p>
    <w:p>
      <w:pPr>
        <w:pStyle w:val="Normal"/>
      </w:pPr>
      <w:r>
        <w:t>Purpose: Quick estimate for business owners considering sale. Time required: 30-45 minutes. Output: Indicative valuation with readiness assessment.</w:t>
      </w:r>
    </w:p>
    <w:p>
      <w:pPr>
        <w:pStyle w:val="Normal"/>
      </w:pPr>
      <w:r>
        <w:t>Minimum Data Requirements: Company information (name, year established, sector, business model), Financial data (last 3 years: revenue, gross profit, EBITDA, net profit, total assets, total liabilities, cash), Owner information (compensation, related-party transactions, personal expenses), Operational data (employees, customer concentration, owner involvement, management depth), Readiness questions (financial statement quality, contracts, compliance, governance).</w:t>
      </w:r>
    </w:p>
    <w:p>
      <w:pPr>
        <w:pStyle w:val="Normal"/>
      </w:pPr>
      <w:r>
        <w:t>Limitations: No detailed normalization, limited method selection, wider value range, not suitable for transaction use.</w:t>
      </w:r>
    </w:p>
    <w:p>
      <w:pPr>
        <w:pStyle w:val="Heading2"/>
      </w:pPr>
      <w:r>
        <w:t>8.2 ADVISOR MODE</w:t>
      </w:r>
    </w:p>
    <w:p>
      <w:pPr>
        <w:pStyle w:val="Normal"/>
      </w:pPr>
      <w:r>
        <w:t>Purpose: Professional valuation for transaction support. Time required: 4-8 hours spread over multiple sessions. Output: Defensible valuation with full documentation.</w:t>
      </w:r>
    </w:p>
    <w:p>
      <w:pPr>
        <w:pStyle w:val="Normal"/>
      </w:pPr>
      <w:r>
        <w:t>Data Requirements: Full company profile and corporate structure, Financial data (last 5 years + forecasts, complete income statements, balance sheets, cash flow statements, management accounts, forecasts with assumptions), Detailed normalization data (owner compensation breakdown, related-party rent, personal expense analysis, one-off documentation, non-operating items, related-party loans, working capital analysis, CapEx history), Operational data (revenue breakdown by product/customer/geography, customer/supplier concentration, contract summary, employee breakdown, management profiles), Market data (competitive landscape, market size, industry trends, comparable intelligence), Full readiness questionnaire with document checklist and gap analysis.</w:t>
      </w:r>
    </w:p>
    <w:p>
      <w:pPr>
        <w:pStyle w:val="Heading2"/>
      </w:pPr>
      <w:r>
        <w:t>8.3 ANALYST MODE</w:t>
      </w:r>
    </w:p>
    <w:p>
      <w:pPr>
        <w:pStyle w:val="Normal"/>
      </w:pPr>
      <w:r>
        <w:t>Purpose: Institutional-grade valuation with full audit trail. Time required: 20-40 hours over 2-4 weeks. Output: Comprehensive valuation suitable for regulatory, dispute, or institutional investment purposes.</w:t>
      </w:r>
    </w:p>
    <w:p>
      <w:pPr>
        <w:pStyle w:val="Normal"/>
      </w:pPr>
      <w:r>
        <w:t>Data Requirements: All Advisor Mode data PLUS General ledger review, trial balance analysis, bank statement analysis, detailed working capital verification, fixed asset register review, debt schedule verification, related-party transaction full documentation, tax return review, audit working papers, forensic analysis (revenue recognition, expense verification, cash-to-earnings reconciliation), management interviews, third-party verification (customer/supplier confirmations, bank confirmations, legal review, property valuation, equipment valuation), market research, data room setup with document index and verification procedures.</w:t>
      </w:r>
    </w:p>
    <w:p>
      <w:pPr>
        <w:pStyle w:val="Heading2"/>
      </w:pPr>
      <w:r>
        <w:t>8.4 DATA QUALITY SCORING</w:t>
      </w:r>
    </w:p>
    <w:p>
      <w:pPr>
        <w:pStyle w:val="Normal"/>
      </w:pPr>
      <w:r>
        <w:t>Data quality affects confidence score:</w:t>
      </w:r>
    </w:p>
    <w:p>
      <w:pPr>
        <w:numPr>
          <w:ilvl w:val="0"/>
          <w:numId w:val="1"/>
        </w:numPr>
      </w:pPr>
      <w:r>
        <w:t>Data Source Quality: Audited financials = 5, Reviewed = 4, Compiled = 3, Management accounts = 2, Owner estimates = 1</w:t>
      </w:r>
    </w:p>
    <w:p>
      <w:pPr>
        <w:numPr>
          <w:ilvl w:val="0"/>
          <w:numId w:val="1"/>
        </w:numPr>
      </w:pPr>
      <w:r>
        <w:t>Data Completeness: 5+ years = 5, 3-4 years = 4, 2 years = 3, 1 year = 2, Partial = 1</w:t>
      </w:r>
    </w:p>
    <w:p>
      <w:pPr>
        <w:numPr>
          <w:ilvl w:val="0"/>
          <w:numId w:val="1"/>
        </w:numPr>
      </w:pPr>
      <w:r>
        <w:t>Verification Level: Third-party verified = 5, Internally verified = 4, Documented but unverified = 3, Estimated with basis = 2, Estimated without basis = 1</w:t>
      </w:r>
    </w:p>
    <w:p>
      <w:pPr>
        <w:pStyle w:val="Normal"/>
      </w:pPr>
      <w:r>
        <w:t>Overall Data Quality = Average of component scores.</w:t>
      </w:r>
    </w:p>
    <w:p>
      <w:pPr>
        <w:pStyle w:val="Heading1"/>
      </w:pPr>
      <w:r>
        <w:t>Section 9: Automation vs Review Boundaries</w:t>
      </w:r>
    </w:p>
    <w:p>
      <w:pPr>
        <w:pStyle w:val="Heading2"/>
      </w:pPr>
      <w:r>
        <w:t>9.1 AUTOMATION PRINCIPLES</w:t>
      </w:r>
    </w:p>
    <w:p>
      <w:pPr>
        <w:pStyle w:val="Normal"/>
      </w:pPr>
      <w:r>
        <w:t>The valuation engine must balance efficiency with professional judgment. Some elements can be automated; others require analyst review.</w:t>
      </w:r>
    </w:p>
    <w:p>
      <w:pPr>
        <w:numPr>
          <w:ilvl w:val="0"/>
          <w:numId w:val="1"/>
        </w:numPr>
      </w:pPr>
      <w:r>
        <w:t>Fully Automated (No Review Required): Mathematical calculations, data aggregation, ratio computations, multiple applications, discount rate mathematics, DCF mechanics, report formatting</w:t>
      </w:r>
    </w:p>
    <w:p>
      <w:pPr>
        <w:numPr>
          <w:ilvl w:val="0"/>
          <w:numId w:val="1"/>
        </w:numPr>
      </w:pPr>
      <w:r>
        <w:t>Requires Analyst Review (Semi-Automated): Comparable selection, multiple selection, forecast reasonableness, normalization magnitude, risk premium adjustments, method weighting, final value conclusion</w:t>
      </w:r>
    </w:p>
    <w:p>
      <w:pPr>
        <w:numPr>
          <w:ilvl w:val="0"/>
          <w:numId w:val="1"/>
        </w:numPr>
      </w:pPr>
      <w:r>
        <w:t>Fully Analyst-Driven (No Automation): Business model classification, key assumptions, professional judgment calls, limiting conditions, opinion formation</w:t>
      </w:r>
    </w:p>
    <w:p>
      <w:pPr>
        <w:pStyle w:val="Heading2"/>
      </w:pPr>
      <w:r>
        <w:t>9.2 AUTOMATION BOUNDARY DETAIL</w:t>
      </w:r>
    </w:p>
    <w:p>
      <w:pPr>
        <w:pStyle w:val="Normal"/>
      </w:pPr>
      <w:r>
        <w:t>Financial Normalization: Calculation mechanics and adjustment aggregation are automated. Each normalization item magnitude and rationale requires review. Analyst can add/remove adjustments with documentation.</w:t>
      </w:r>
    </w:p>
    <w:p>
      <w:pPr>
        <w:pStyle w:val="Normal"/>
      </w:pPr>
      <w:r>
        <w:t>Market Approach: Database search and multiple calculation are automated. Comparable selection and adjustment factors require review. Analyst can exclude/add comparables.</w:t>
      </w:r>
    </w:p>
    <w:p>
      <w:pPr>
        <w:pStyle w:val="Normal"/>
      </w:pPr>
      <w:r>
        <w:t>Income Approach: DCF mechanics and terminal value math are automated. Forecast reasonableness and assumption validity require review. Analyst can modify forecasts with documentation.</w:t>
      </w:r>
    </w:p>
    <w:p>
      <w:pPr>
        <w:pStyle w:val="Normal"/>
      </w:pPr>
      <w:r>
        <w:t>Asset Approach: Book value adjustment calculations are automated. Asset valuation assumptions require review. Specialist valuation for significant assets.</w:t>
      </w:r>
    </w:p>
    <w:p>
      <w:pPr>
        <w:pStyle w:val="Heading2"/>
      </w:pPr>
      <w:r>
        <w:t>9.3 EXCEPTION FLAGGING</w:t>
      </w:r>
    </w:p>
    <w:p>
      <w:pPr>
        <w:pStyle w:val="Normal"/>
      </w:pPr>
      <w:r>
        <w:t>The system must flag items requiring analyst attention:</w:t>
      </w:r>
    </w:p>
    <w:p>
      <w:pPr>
        <w:numPr>
          <w:ilvl w:val="0"/>
          <w:numId w:val="1"/>
        </w:numPr>
      </w:pPr>
      <w:r>
        <w:t>Auto-Flag Conditions: Normalization adjustment &gt; 20% of reported EBITDA, Valuation method indication varies &gt; 40% from others, Confidence score &lt; 50, Readiness score &lt; 40, Forecast growth &gt; 25% annually, Discount rate &gt; 35% or &lt; 15%, Negative working capital, Customer concentration &gt; 50%, Related-party transactions &gt; 30% of revenue, Any data quality score = 1</w:t>
      </w:r>
    </w:p>
    <w:p>
      <w:pPr>
        <w:pStyle w:val="Normal"/>
      </w:pPr>
      <w:r>
        <w:t>Flag Actions: Yellow flag = Review recommended, Red flag = Review required before output, Block = Output cannot be generated until resolved.</w:t>
      </w:r>
    </w:p>
    <w:p>
      <w:pPr>
        <w:pStyle w:val="Heading2"/>
      </w:pPr>
      <w:r>
        <w:t>9.4 NIGERIAN CONTEXT ADJUSTMENTS</w:t>
      </w:r>
    </w:p>
    <w:p>
      <w:pPr>
        <w:pStyle w:val="Normal"/>
      </w:pPr>
      <w:r>
        <w:t>Given Nigerian market realities, additional review is required for: Related-party transaction identification, Owner dependence assessment, FX risk evaluation, Regulatory compliance verification, Informal earnings verification, Working capital normalization. These areas should have lower automation thresholds and higher analyst review requirements.</w:t>
      </w:r>
    </w:p>
    <w:p>
      <w:pPr>
        <w:pStyle w:val="Heading1"/>
      </w:pPr>
      <w:r>
        <w:t>Section 10: Calibration and Backtesting Framework</w:t>
      </w:r>
    </w:p>
    <w:p>
      <w:pPr>
        <w:pStyle w:val="Heading2"/>
      </w:pPr>
      <w:r>
        <w:t>10.1 CALIBRATION OBJECTIVES</w:t>
      </w:r>
    </w:p>
    <w:p>
      <w:pPr>
        <w:pStyle w:val="Normal"/>
      </w:pPr>
      <w:r>
        <w:t>The valuation engine must be calibrated against actual market outcomes to ensure accuracy and relevance. Primary objectives: Validate multiple selection and calibration, verify discount rate appropriateness, test normalization assumptions, confirm method weighting, improve confidence scoring.</w:t>
      </w:r>
    </w:p>
    <w:p>
      <w:pPr>
        <w:pStyle w:val="Heading2"/>
      </w:pPr>
      <w:r>
        <w:t>10.2 DATA COLLECTION FRAMEWORK</w:t>
      </w:r>
    </w:p>
    <w:p>
      <w:pPr>
        <w:pStyle w:val="Normal"/>
      </w:pPr>
      <w:r>
        <w:t>Transaction Database Requirements: For each transaction, collect company sector and business model (Level 1 and 2), transaction date, transaction value (EV and equity), financial metrics at transaction, deal structure, buyer type, rationale for transaction, post-transaction performance.</w:t>
      </w:r>
    </w:p>
    <w:p>
      <w:pPr>
        <w:pStyle w:val="Normal"/>
      </w:pPr>
      <w:r>
        <w:t>Data Sources: Advisory firm transaction databases, public disclosures, industry associations, press releases, direct buyer/seller interviews.</w:t>
      </w:r>
    </w:p>
    <w:p>
      <w:pPr>
        <w:pStyle w:val="Normal"/>
      </w:pPr>
      <w:r>
        <w:t>Nigerian Context: Many transactions are undisclosed. Willingness to share data may be limited. May need to offer anonymized benchmarking in exchange. Regional SSA data may supplement Nigerian data.</w:t>
      </w:r>
    </w:p>
    <w:p>
      <w:pPr>
        <w:pStyle w:val="Heading2"/>
      </w:pPr>
      <w:r>
        <w:t>10.3 BACKTESTING METHODOLOGY</w:t>
      </w:r>
    </w:p>
    <w:p>
      <w:pPr>
        <w:pStyle w:val="Normal"/>
      </w:pPr>
      <w:r>
        <w:t>Step 1: Valuation Reconstruction - For each historical transaction, reconstruct company financials at transaction date, apply valuation engine methodology, generate valuation as of transaction date, record all assumptions and outputs.</w:t>
      </w:r>
    </w:p>
    <w:p>
      <w:pPr>
        <w:pStyle w:val="Normal"/>
      </w:pPr>
      <w:r>
        <w:t>Step 2: Comparison - Compare engine valuation to actual transaction value, calculate variance, analyze variance by sector, business model, size, method used, confidence score.</w:t>
      </w:r>
    </w:p>
    <w:p>
      <w:pPr>
        <w:pStyle w:val="Normal"/>
      </w:pPr>
      <w:r>
        <w:t>Step 3: Analysis - Identify systematic over/under-valuation patterns, correlate variance with input factors, assess confidence score predictive power, evaluate method selection accuracy.</w:t>
      </w:r>
    </w:p>
    <w:p>
      <w:pPr>
        <w:pStyle w:val="Normal"/>
      </w:pPr>
      <w:r>
        <w:t>Step 4: Calibration - Adjust multiples based on observed outcomes, refine discount rate components, update normalization benchmarks, modify method weighting rules, improve confidence scoring.</w:t>
      </w:r>
    </w:p>
    <w:p>
      <w:pPr>
        <w:pStyle w:val="Heading2"/>
      </w:pPr>
      <w:r>
        <w:t>10.4 CALIBRATION METRICS</w:t>
      </w:r>
    </w:p>
    <w:p>
      <w:pPr>
        <w:pStyle w:val="Normal"/>
      </w:pPr>
      <w:r>
        <w:t>Accuracy Metrics: Mean Absolute Percentage Error (MAPE), Root Mean Square Error (RMSE), Percentage within +/-10%, +/-20%, +/-30% of transaction value.</w:t>
      </w:r>
    </w:p>
    <w:p>
      <w:pPr>
        <w:pStyle w:val="Normal"/>
      </w:pPr>
      <w:r>
        <w:t>Target Metrics: MAPE &lt; 20%, +/-10% accuracy &gt; 30% of transactions, +/-20% accuracy &gt; 60% of transactions, +/-30% accuracy &gt; 80% of transactions.</w:t>
      </w:r>
    </w:p>
    <w:p>
      <w:pPr>
        <w:pStyle w:val="Normal"/>
      </w:pPr>
      <w:r>
        <w:t>Bias Metrics: Mean variance (positive = overvaluation bias), variance by sector, method, confidence score. Target: Mean variance between -10% and +10%.</w:t>
      </w:r>
    </w:p>
    <w:p>
      <w:pPr>
        <w:pStyle w:val="Normal"/>
      </w:pPr>
      <w:r>
        <w:t>Confidence Score Validation: Actual variance vs predicted confidence range, percentage of transactions within predicted range. Target: &gt; 80% of transactions within predicted confidence range.</w:t>
      </w:r>
    </w:p>
    <w:p>
      <w:pPr>
        <w:pStyle w:val="Heading2"/>
      </w:pPr>
      <w:r>
        <w:t>10.5 CONTINUOUS CALIBRATION PROCESS</w:t>
      </w:r>
    </w:p>
    <w:p>
      <w:pPr>
        <w:pStyle w:val="Normal"/>
      </w:pPr>
      <w:r>
        <w:t>Quarterly: Add new transactions to database, run backtesting analysis, identify calibration needs, implement minor adjustments.</w:t>
      </w:r>
    </w:p>
    <w:p>
      <w:pPr>
        <w:pStyle w:val="Normal"/>
      </w:pPr>
      <w:r>
        <w:t>Annually: Comprehensive backtesting review, major calibration updates, methodology refinement, documentation update.</w:t>
      </w:r>
    </w:p>
    <w:p>
      <w:pPr>
        <w:pStyle w:val="Normal"/>
      </w:pPr>
      <w:r>
        <w:t>Trigger Events: Significant market change, regulatory change affecting valuations, new transaction data &gt; 20% of database, systematic bias identified.</w:t>
      </w:r>
    </w:p>
    <w:p>
      <w:pPr>
        <w:pStyle w:val="Heading2"/>
      </w:pPr>
      <w:r>
        <w:t>10.6 NIGERIAN MARKET SPECIFIC CALIBRATION</w:t>
      </w:r>
    </w:p>
    <w:p>
      <w:pPr>
        <w:pStyle w:val="Normal"/>
      </w:pPr>
      <w:r>
        <w:t>Given limited transaction data in Nigeria: Minimum sample size for sector-level calibration is 10 transactions, for business model calibration is 5 transactions. If insufficient data, use SSA regional data with Nigeria adjustment.</w:t>
      </w:r>
    </w:p>
    <w:p>
      <w:pPr>
        <w:pStyle w:val="Normal"/>
      </w:pPr>
      <w:r>
        <w:t>Adjustment Factors: Nigeria discount to SSA multiples 10-20%, Nigeria risk premium addition 2-4%. Document basis for adjustments.</w:t>
      </w:r>
    </w:p>
    <w:p>
      <w:pPr>
        <w:pStyle w:val="Heading1"/>
      </w:pPr>
      <w:r>
        <w:t>Section 11: Phased Roadmap</w:t>
      </w:r>
    </w:p>
    <w:p>
      <w:pPr>
        <w:pStyle w:val="Heading2"/>
      </w:pPr>
      <w:r>
        <w:t>11.1 VERSION 1: DEFENSIBLE FIRST-PASS (Months 1-6)</w:t>
      </w:r>
    </w:p>
    <w:p>
      <w:pPr>
        <w:pStyle w:val="Normal"/>
      </w:pPr>
      <w:r>
        <w:t>Objective: Launch a valuation engine that produces defensible first-pass valuations for Nigerian SMEs, suitable for owner education and advisor screening.</w:t>
      </w:r>
    </w:p>
    <w:p>
      <w:pPr>
        <w:pStyle w:val="Normal"/>
      </w:pPr>
      <w:r>
        <w:t>Core Features: All 12 modules implemented at basic level, Owner self-serve and Advisor modes, Nigeria-specific risk factors, Local currency (NGN) primary, FX risk flagging, Related-party transaction focus, Owner dependence assessment.</w:t>
      </w:r>
    </w:p>
    <w:p>
      <w:pPr>
        <w:pStyle w:val="Normal"/>
      </w:pPr>
      <w:r>
        <w:t>Limitations (Documented): Limited comparable database (target: 50+ transactions), DCF simplified, No specialist asset valuation, Confidence ceiling: "Good" (not "High").</w:t>
      </w:r>
    </w:p>
    <w:p>
      <w:pPr>
        <w:pStyle w:val="Normal"/>
      </w:pPr>
      <w:r>
        <w:t>Success Criteria: Valuations completed: 100+, Backtesting initiated: 20+ transactions, User satisfaction: &gt; 4.0/5.0, No material calculation errors.</w:t>
      </w:r>
    </w:p>
    <w:p>
      <w:pPr>
        <w:pStyle w:val="Heading2"/>
      </w:pPr>
      <w:r>
        <w:t>11.2 VERSION 2: ADVISOR-GRADE (Months 7-12)</w:t>
      </w:r>
    </w:p>
    <w:p>
      <w:pPr>
        <w:pStyle w:val="Normal"/>
      </w:pPr>
      <w:r>
        <w:t>Objective: Enhance the engine to produce advisor-grade valuations suitable for transaction support and professional reliance.</w:t>
      </w:r>
    </w:p>
    <w:p>
      <w:pPr>
        <w:pStyle w:val="Normal"/>
      </w:pPr>
      <w:r>
        <w:t>Enhancements: All modules enhanced, Exception flagging system, Workflow management, Review and approval process, Comparative benchmarking, Scenario analysis, Sensitivity analysis, Analyst mode (institutional-grade).</w:t>
      </w:r>
    </w:p>
    <w:p>
      <w:pPr>
        <w:pStyle w:val="Normal"/>
      </w:pPr>
      <w:r>
        <w:t>Comparable Database: Target 200+ transactions (Nigeria 100+, SSA 100+), Sector coverage 10+, Updated quarterly.</w:t>
      </w:r>
    </w:p>
    <w:p>
      <w:pPr>
        <w:pStyle w:val="Normal"/>
      </w:pPr>
      <w:r>
        <w:t>Success Criteria: Valuations completed: 500+, Backtesting database: 100+ transactions, Advisor adoption: 20+ firms, Accuracy: MAPE &lt; 25%, Confidence calibration: &gt; 75% within range.</w:t>
      </w:r>
    </w:p>
    <w:p>
      <w:pPr>
        <w:pStyle w:val="Heading2"/>
      </w:pPr>
      <w:r>
        <w:t>11.3 VERSION 3: INSTITUTIONAL WORKBENCH (Months 13-24)</w:t>
      </w:r>
    </w:p>
    <w:p>
      <w:pPr>
        <w:pStyle w:val="Normal"/>
      </w:pPr>
      <w:r>
        <w:t>Objective: Transform the engine into a comprehensive institutional valuation workbench suitable for banks, PE firms, and corporate M&amp;A.</w:t>
      </w:r>
    </w:p>
    <w:p>
      <w:pPr>
        <w:pStyle w:val="Normal"/>
      </w:pPr>
      <w:r>
        <w:t>Advanced Features: Multi-company portfolio valuation, Consolidation handling, Complex capital structures, Earn-out modeling, Monte Carlo simulation, Real options valuation, Full IVS and NIVA compliance, API access, White-label options.</w:t>
      </w:r>
    </w:p>
    <w:p>
      <w:pPr>
        <w:pStyle w:val="Normal"/>
      </w:pPr>
      <w:r>
        <w:t>Comparable Database: Target 500+ transactions, Pan-African coverage, Real-time updates, Proprietary data partnerships.</w:t>
      </w:r>
    </w:p>
    <w:p>
      <w:pPr>
        <w:pStyle w:val="Normal"/>
      </w:pPr>
      <w:r>
        <w:t>Success Criteria: Valuations completed: 2,000+, Institutional clients: 10+, Advisor clients: 100+, Accuracy: MAPE &lt; 20%, Confidence calibration: &gt; 80% within range, Market recognition as leading African valuation platform.</w:t>
      </w:r>
    </w:p>
    <w:p>
      <w:pPr>
        <w:pStyle w:val="Heading2"/>
      </w:pPr>
      <w:r>
        <w:t>11.4 IMPLEMENTATION PRIORITIES</w:t>
      </w:r>
    </w:p>
    <w:p>
      <w:pPr>
        <w:pStyle w:val="Normal"/>
      </w:pPr>
      <w:r>
        <w:t>Months 1-2: Foundation - Finalize architecture, build core modules, establish database structure, develop calculation engine.</w:t>
      </w:r>
    </w:p>
    <w:p>
      <w:pPr>
        <w:pStyle w:val="Normal"/>
      </w:pPr>
      <w:r>
        <w:t>Months 3-4: Development - Complete v1 modules, build user interfaces, implement reporting, begin data collection.</w:t>
      </w:r>
    </w:p>
    <w:p>
      <w:pPr>
        <w:pStyle w:val="Normal"/>
      </w:pPr>
      <w:r>
        <w:t>Months 5-6: Testing &amp; Launch - Beta testing with advisors, calibration with historical data, documentation completion, v1 launch.</w:t>
      </w:r>
    </w:p>
    <w:p>
      <w:pPr>
        <w:pStyle w:val="Normal"/>
      </w:pPr>
      <w:r>
        <w:t>Months 7-9: Enhancement - v2 feature development, database expansion, workflow implementation, advanced analytics.</w:t>
      </w:r>
    </w:p>
    <w:p>
      <w:pPr>
        <w:pStyle w:val="Normal"/>
      </w:pPr>
      <w:r>
        <w:t>Months 10-12: Scale - v2 launch, advisor onboarding, training programs, case study development.</w:t>
      </w:r>
    </w:p>
    <w:p>
      <w:pPr>
        <w:pStyle w:val="Normal"/>
      </w:pPr>
      <w:r>
        <w:t>Months 13-18: Institutional - v3 architecture, advanced modules, integration development, institutional pilot.</w:t>
      </w:r>
    </w:p>
    <w:p>
      <w:pPr>
        <w:pStyle w:val="Normal"/>
      </w:pPr>
      <w:r>
        <w:t>Months 19-24: Market Leadership - v3 launch, market expansion, partnership development, thought leadership.</w:t>
      </w:r>
    </w:p>
    <w:p>
      <w:pPr>
        <w:pStyle w:val="Heading2"/>
      </w:pPr>
      <w:r>
        <w:t>11.5 RESOURCE REQUIREMENTS</w:t>
      </w:r>
    </w:p>
    <w:p>
      <w:pPr>
        <w:pStyle w:val="Normal"/>
      </w:pPr>
      <w:r>
        <w:t>V1 (Months 1-6): Technical 3 FTE, Valuation 2 FTE, Product 1 FTE. Total ~5 FTE.</w:t>
      </w:r>
    </w:p>
    <w:p>
      <w:pPr>
        <w:pStyle w:val="Normal"/>
      </w:pPr>
      <w:r>
        <w:t>V2 (Months 7-12): Technical 6 FTE, Valuation 4 FTE, Product 2 FTE, Operations 1 FTE. Total ~12 FTE.</w:t>
      </w:r>
    </w:p>
    <w:p>
      <w:pPr>
        <w:pStyle w:val="Normal"/>
      </w:pPr>
      <w:r>
        <w:t>V3 (Months 13-24): Technical 11 FTE, Valuation 7 FTE, Product 4 FTE, Operations 3 FTE, Sales/Marketing 3 FTE. Total ~30 FTE.</w:t>
      </w:r>
    </w:p>
    <w:p>
      <w:pPr>
        <w:pStyle w:val="Heading2"/>
      </w:pPr>
      <w:r>
        <w:t>11.6 SUCCESS METRICS</w:t>
      </w:r>
    </w:p>
    <w:p>
      <w:pPr>
        <w:pStyle w:val="Normal"/>
      </w:pPr>
      <w:r>
        <w:t>Technical Metrics: System uptime &gt; 99.5%, Calculation accuracy 100%, Response time &lt; 3 seconds, Data completeness &gt; 95%.</w:t>
      </w:r>
    </w:p>
    <w:p>
      <w:pPr>
        <w:pStyle w:val="Normal"/>
      </w:pPr>
      <w:r>
        <w:t>Business Metrics: Monthly valuations 50 (v1), 200 (v2), 500 (v3), User retention &gt; 80%, Net Promoter Score &gt; 50.</w:t>
      </w:r>
    </w:p>
    <w:p>
      <w:pPr>
        <w:pStyle w:val="Normal"/>
      </w:pPr>
      <w:r>
        <w:t>Quality Metrics: Backtesting accuracy MAPE &lt; 25% (v1), &lt; 20% (v3), Confidence calibration &gt; 75% (v1), &gt; 80% (v3), Professional acceptance endorsement by 3+ major firms (v2).</w:t>
      </w:r>
    </w:p>
    <w:p>
      <w:pPr>
        <w:pStyle w:val="Heading1"/>
      </w:pPr>
      <w:r>
        <w:t>Section 12: Conclusion - What Gold Standard Can and Cannot Mean</w:t>
      </w:r>
    </w:p>
    <w:p>
      <w:pPr>
        <w:pStyle w:val="Heading2"/>
      </w:pPr>
      <w:r>
        <w:t>12.1 WHAT GOLD STANDARD MEANS</w:t>
      </w:r>
    </w:p>
    <w:p>
      <w:pPr>
        <w:pStyle w:val="Normal"/>
      </w:pPr>
      <w:r>
        <w:t>For the Afrexit valuation engine, "gold standard" means:</w:t>
      </w:r>
    </w:p>
    <w:p>
      <w:pPr>
        <w:numPr>
          <w:ilvl w:val="0"/>
          <w:numId w:val="1"/>
        </w:numPr>
      </w:pPr>
      <w:r>
        <w:t>Methodological Rigor: IVS-compliant methodology, Multi-method approach with reconciliation, Quantified adjustments (not binary flags), Clear separation of value concepts, Documented assumptions and judgments</w:t>
      </w:r>
    </w:p>
    <w:p>
      <w:pPr>
        <w:numPr>
          <w:ilvl w:val="0"/>
          <w:numId w:val="1"/>
        </w:numPr>
      </w:pPr>
      <w:r>
        <w:t>Nigerian Market Relevance: Nigeria-specific risk factors, Local market data integration, Understanding of informal economy realities, Appropriate for local transaction contexts</w:t>
      </w:r>
    </w:p>
    <w:p>
      <w:pPr>
        <w:numPr>
          <w:ilvl w:val="0"/>
          <w:numId w:val="1"/>
        </w:numPr>
      </w:pPr>
      <w:r>
        <w:t>Professional Defensibility: Audit trail for all inputs and changes, Transparent calculation methodology, Clear limitation documentation, Appropriate confidence scoring, Review and approval workflows</w:t>
      </w:r>
    </w:p>
    <w:p>
      <w:pPr>
        <w:numPr>
          <w:ilvl w:val="0"/>
          <w:numId w:val="1"/>
        </w:numPr>
      </w:pPr>
      <w:r>
        <w:t>Usability: Accessible to owners (self-serve mode), Powerful for advisors (advisor mode), Comprehensive for analysts (analyst mode), Clear output structure, Actionable recommendations</w:t>
      </w:r>
    </w:p>
    <w:p>
      <w:pPr>
        <w:pStyle w:val="Heading2"/>
      </w:pPr>
      <w:r>
        <w:t>12.2 WHAT GOLD STANDARD CANNOT MEAN</w:t>
      </w:r>
    </w:p>
    <w:p>
      <w:pPr>
        <w:pStyle w:val="Normal"/>
      </w:pPr>
      <w:r>
        <w:t>In a self-serve product context, gold standard CANNOT mean:</w:t>
      </w:r>
    </w:p>
    <w:p>
      <w:pPr>
        <w:numPr>
          <w:ilvl w:val="0"/>
          <w:numId w:val="1"/>
        </w:numPr>
      </w:pPr>
      <w:r>
        <w:t>Perfect Accuracy: Valuation is inherently uncertain, All values are estimates with ranges, Market conditions change, Buyer-specific factors affect price</w:t>
      </w:r>
    </w:p>
    <w:p>
      <w:pPr>
        <w:numPr>
          <w:ilvl w:val="0"/>
          <w:numId w:val="1"/>
        </w:numPr>
      </w:pPr>
      <w:r>
        <w:t>Replacement for Professional Judgment: Automated systems cannot replace experienced valuers, Complex situations require analyst review, Professional opinion requires human accountability, Dispute/litigation contexts require expert involvement</w:t>
      </w:r>
    </w:p>
    <w:p>
      <w:pPr>
        <w:numPr>
          <w:ilvl w:val="0"/>
          <w:numId w:val="1"/>
        </w:numPr>
      </w:pPr>
      <w:r>
        <w:t>Guaranteed Transaction Price: Valuation is not a price, Actual transaction price depends on negotiation dynamics, buyer-specific synergies, financing availability, timing and market conditions, seller motivation</w:t>
      </w:r>
    </w:p>
    <w:p>
      <w:pPr>
        <w:numPr>
          <w:ilvl w:val="0"/>
          <w:numId w:val="1"/>
        </w:numPr>
      </w:pPr>
      <w:r>
        <w:t>Complete Automation: Key judgments require analyst input, Data quality issues require review, Unusual situations require professional assessment, Regulatory compliance requires human oversight</w:t>
      </w:r>
    </w:p>
    <w:p>
      <w:pPr>
        <w:pStyle w:val="Heading2"/>
      </w:pPr>
      <w:r>
        <w:t>12.3 APPROPRIATE USE CASES</w:t>
      </w:r>
    </w:p>
    <w:p>
      <w:pPr>
        <w:pStyle w:val="Normal"/>
      </w:pPr>
      <w:r>
        <w:t>Appropriate for: Owner education and expectation setting, Advisor screening and preliminary analysis, Transaction preparation and readiness assessment, Portfolio monitoring and benchmarking, Internal planning and strategy, Dispute resolution support (with expert involvement).</w:t>
      </w:r>
    </w:p>
    <w:p>
      <w:pPr>
        <w:pStyle w:val="Normal"/>
      </w:pPr>
      <w:r>
        <w:t>Not appropriate for: Final transaction price determination, Regulatory filing without review, Litigation expert testimony (automated output alone), Complex situations without analyst involvement, Situations with limited information.</w:t>
      </w:r>
    </w:p>
    <w:p>
      <w:pPr>
        <w:pStyle w:val="Heading2"/>
      </w:pPr>
      <w:r>
        <w:t>12.4 CONTINUOUS IMPROVEMENT</w:t>
      </w:r>
    </w:p>
    <w:p>
      <w:pPr>
        <w:pStyle w:val="Normal"/>
      </w:pPr>
      <w:r>
        <w:t>Gold standard is a journey, not a destination. Version 1 provides defensible first-pass suitable for owner education and advisor screening. Version 2 provides advisor-grade suitable for transaction support with professional reliance possible. Version 3 provides institutional workbench with advanced analytics and market leadership.</w:t>
      </w:r>
    </w:p>
    <w:p>
      <w:pPr>
        <w:pStyle w:val="Heading2"/>
      </w:pPr>
      <w:r>
        <w:t>12.5 FINAL PRINCIPLES</w:t>
      </w:r>
    </w:p>
    <w:p>
      <w:pPr>
        <w:pStyle w:val="Normal"/>
      </w:pPr>
      <w:r>
        <w:t>Transparency: All assumptions visible and documented. Rigor: Methodology follows professional standards. Relevance: Designed for Nigerian market realities. Usability: Accessible to multiple user types. Humility: Acknowledges limitations and uncertainty. Improvement: Continuous calibration and enhancement.</w:t>
      </w:r>
    </w:p>
    <w:p>
      <w:pPr>
        <w:pStyle w:val="Normal"/>
      </w:pPr>
      <w:r>
        <w:t>The Afrexit valuation engine aims to be the most rigorous, relevant, and usable valuation tool for Nigerian SMEs, while maintaining professional humility about the inherent uncertainties in valuation.</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18096"/>
        <w:sz w:val="18"/>
      </w:rPr>
      <w:t xml:space="preserve">Page </w:t>
    </w:r>
    <w:r>
      <w:fldChar w:fldCharType="begin"/>
    </w:r>
    <w:r>
      <w:instrText> PAGE </w:instrText>
    </w:r>
    <w:r>
      <w:fldChar w:fldCharType="separate"/>
    </w:r>
    <w:r>
      <w:t>1</w:t>
    </w:r>
    <w:r>
      <w:fldChar w:fldCharType="end"/>
    </w:r>
    <w:r>
      <w:rPr>
        <w:color w:val="718096"/>
        <w:sz w:val="18"/>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Pr>
    <w:r>
      <w:rPr>
        <w:color w:val="718096"/>
        <w:sz w:val="18"/>
      </w:rPr>
      <w:t>Afrexit Valuation Engine - Technical Specification</w:t>
    </w:r>
  </w:p>
</w:hdr>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jc w:val="both"/>
    </w:pPr>
    <w:rPr>
      <w:rFonts w:ascii="Calibri" w:hAnsi="Calibri"/>
      <w:color w:val="1a202c"/>
      <w:sz w:val="22"/>
    </w:rPr>
  </w:style>
  <w:style w:type="paragraph" w:styleId="Heading1">
    <w:name w:val="heading 1"/>
    <w:basedOn w:val="Normal"/>
    <w:pPr>
      <w:keepNext/>
      <w:keepLines/>
      <w:pageBreakBefore/>
      <w:spacing w:before="480" w:after="240"/>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4a5568"/>
      <w:sz w:val="24"/>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f7abcbcf2e4c4577" /><Relationship Type="http://schemas.openxmlformats.org/officeDocument/2006/relationships/numbering" Target="/word/numbering.xml" Id="R4043d9219ce84479" /><Relationship Type="http://schemas.openxmlformats.org/officeDocument/2006/relationships/header" Target="/word/header1.xml" Id="Re4873ca4215b4071" /><Relationship Type="http://schemas.openxmlformats.org/officeDocument/2006/relationships/footer" Target="/word/footer1.xml" Id="R7042b4f68e444bdd" /></Relationships>
</file>