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3864"/>
          <w:sz w:val="48"/>
          <w:szCs w:val="48"/>
        </w:rPr>
        <w:t xml:space="preserve">AFREXIT</w:t>
      </w:r>
    </w:p>
    <w:p>
      <w:pPr>
        <w:spacing w:after="200" w:before="0"/>
        <w:jc w:val="center"/>
      </w:pPr>
      <w:r>
        <w:rPr>
          <w:rFonts w:ascii="Arial" w:cs="Arial" w:eastAsia="Arial" w:hAnsi="Arial"/>
          <w:color w:val="2E5F8A"/>
          <w:sz w:val="32"/>
          <w:szCs w:val="32"/>
        </w:rPr>
        <w:t xml:space="preserve">Business Valuation Engine</w:t>
      </w:r>
    </w:p>
    <w:p>
      <w:pPr>
        <w:spacing w:after="80" w:before="0"/>
        <w:jc w:val="center"/>
      </w:pPr>
      <w:r>
        <w:rPr>
          <w:rFonts w:ascii="Arial" w:cs="Arial" w:eastAsia="Arial" w:hAnsi="Arial"/>
          <w:b/>
          <w:bCs/>
          <w:color w:val="4A4A4A"/>
          <w:sz w:val="26"/>
          <w:szCs w:val="26"/>
        </w:rPr>
        <w:t xml:space="preserve">Architecture Critique &amp; Gold-Standard Redesign</w:t>
      </w:r>
    </w:p>
    <w:p>
      <w:pPr>
        <w:spacing w:after="400" w:before="0"/>
        <w:jc w:val="center"/>
      </w:pPr>
      <w:r>
        <w:rPr>
          <w:rFonts w:ascii="Arial" w:cs="Arial" w:eastAsia="Arial" w:hAnsi="Arial"/>
          <w:i/>
          <w:iCs/>
          <w:color w:val="2E5F8A"/>
          <w:sz w:val="22"/>
          <w:szCs w:val="22"/>
        </w:rPr>
        <w:t xml:space="preserve">Nigerian SME Focus | Institutional-Grade First-Pass Framework</w:t>
      </w:r>
    </w:p>
    <w:p>
      <w:pPr>
        <w:spacing w:after="0" w:before="200"/>
      </w:pPr>
      <w:r>
        <w:t xml:space="preserve"/>
      </w:r>
    </w:p>
    <w:p>
      <w:pPr>
        <w:jc w:val="center"/>
      </w:pPr>
      <w:r>
        <w:rPr>
          <w:rFonts w:ascii="Arial" w:cs="Arial" w:eastAsia="Arial" w:hAnsi="Arial"/>
          <w:color w:val="4A4A4A"/>
          <w:sz w:val="20"/>
          <w:szCs w:val="20"/>
        </w:rPr>
        <w:t xml:space="preserve">Confidential Design Memorandum</w:t>
      </w:r>
    </w:p>
    <w:p>
      <w:pPr>
        <w:spacing w:before="40"/>
        <w:jc w:val="center"/>
      </w:pPr>
      <w:r>
        <w:rPr>
          <w:rFonts w:ascii="Arial" w:cs="Arial" w:eastAsia="Arial" w:hAnsi="Arial"/>
          <w:color w:val="4A4A4A"/>
          <w:sz w:val="20"/>
          <w:szCs w:val="20"/>
        </w:rPr>
        <w:t xml:space="preserve">March 2026</w:t>
      </w:r>
    </w:p>
    <w:p>
      <w:r>
        <w:br w:type="page"/>
      </w:r>
    </w:p>
    <w:p>
      <w:pPr>
        <w:pStyle w:val="Heading1"/>
        <w:spacing w:after="160" w:before="360"/>
      </w:pPr>
      <w:r>
        <w:rPr>
          <w:rFonts w:ascii="Arial" w:cs="Arial" w:eastAsia="Arial" w:hAnsi="Arial"/>
          <w:b/>
          <w:bCs/>
          <w:color w:val="1F3864"/>
          <w:sz w:val="32"/>
          <w:szCs w:val="32"/>
        </w:rPr>
        <w:t xml:space="preserve">Executive Summary</w:t>
      </w:r>
    </w:p>
    <w:p>
      <w:pPr>
        <w:spacing w:after="100" w:before="60"/>
      </w:pPr>
      <w:r>
        <w:rPr>
          <w:rFonts w:ascii="Arial" w:cs="Arial" w:eastAsia="Arial" w:hAnsi="Arial"/>
          <w:b w:val="false"/>
          <w:bCs w:val="false"/>
          <w:i w:val="false"/>
          <w:iCs w:val="false"/>
          <w:color w:val="222222"/>
          <w:sz w:val="20"/>
          <w:szCs w:val="20"/>
        </w:rPr>
        <w:t xml:space="preserve">The current Afrexit valuation engine has the bones of something useful but the rigour of a back-of-envelope estimate. It applies sector-level heuristics where defensible methodology should live, conflates four conceptually distinct value constructs into a single multiplier, and outputs a point number without range, confidence, or audit trail. No serious buyer-side advisor, no boutique M&amp;A firm, and certainly no institutional screener will accept an output built on that foundation.</w:t>
      </w:r>
    </w:p>
    <w:p>
      <w:pPr>
        <w:spacing w:after="100" w:before="60"/>
      </w:pPr>
      <w:r>
        <w:rPr>
          <w:rFonts w:ascii="Arial" w:cs="Arial" w:eastAsia="Arial" w:hAnsi="Arial"/>
          <w:b w:val="false"/>
          <w:bCs w:val="false"/>
          <w:i w:val="false"/>
          <w:iCs w:val="false"/>
          <w:color w:val="222222"/>
          <w:sz w:val="20"/>
          <w:szCs w:val="20"/>
        </w:rPr>
        <w:t xml:space="preserve">This document redesigns the engine from first principles. It defines eleven distinct modules, a quantified normalization framework, a multi-method reconciliation approach, a formal EV-to-equity bridge, and a structured output that separates intrinsic value from readiness from market conditions. It is Nigeria-first in its risk assumptions but extensible by design.</w:t>
      </w:r>
    </w:p>
    <w:p>
      <w:pPr>
        <w:spacing w:after="100" w:before="60"/>
      </w:pPr>
      <w:r>
        <w:rPr>
          <w:rFonts w:ascii="Arial" w:cs="Arial" w:eastAsia="Arial" w:hAnsi="Arial"/>
          <w:b w:val="false"/>
          <w:bCs w:val="false"/>
          <w:i w:val="false"/>
          <w:iCs w:val="false"/>
          <w:color w:val="222222"/>
          <w:sz w:val="20"/>
          <w:szCs w:val="20"/>
        </w:rPr>
        <w:t xml:space="preserve">The honest ceiling on what a self-serve product can do is also stated plainly: certain judgment calls cannot be automated and pretending otherwise produces liability, not insight.</w:t>
      </w:r>
    </w:p>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01</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Critique: Every Flaw a Serious Valuation Professional Will Attack</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1.1 Sector-Level Multiples Without Business-Model Discrimination</w:t>
      </w:r>
    </w:p>
    <w:p>
      <w:pPr>
        <w:spacing w:after="100" w:before="60"/>
      </w:pPr>
      <w:r>
        <w:rPr>
          <w:rFonts w:ascii="Arial" w:cs="Arial" w:eastAsia="Arial" w:hAnsi="Arial"/>
          <w:b w:val="false"/>
          <w:bCs w:val="false"/>
          <w:i w:val="false"/>
          <w:iCs w:val="false"/>
          <w:color w:val="222222"/>
          <w:sz w:val="20"/>
          <w:szCs w:val="20"/>
        </w:rPr>
        <w:t xml:space="preserve">Applying a 'Technology sector' multiple of 4-6x EBITDA to any technology company is analytically indefensible. A SaaS business with 85% gross margins and 120% net revenue retention is not the same asset as an IT services firm billing time and materials on 30% margins. Comparable selection must start at Level 2 business-model classification, not Level 1 sector. The current engine skips this entirely. The result is a valuation range so wide it communicates nothing.</w:t>
      </w:r>
    </w:p>
    <w:p>
      <w:pPr>
        <w:pStyle w:val="Heading2"/>
        <w:pBdr>
          <w:bottom w:val="single" w:color="2E5F8A" w:sz="4" w:space="4"/>
        </w:pBdr>
        <w:spacing w:after="120" w:before="280"/>
      </w:pPr>
      <w:r>
        <w:rPr>
          <w:rFonts w:ascii="Arial" w:cs="Arial" w:eastAsia="Arial" w:hAnsi="Arial"/>
          <w:b/>
          <w:bCs/>
          <w:color w:val="2E5F8A"/>
          <w:sz w:val="26"/>
          <w:szCs w:val="26"/>
        </w:rPr>
        <w:t xml:space="preserve">1.2 Binary Normalization Flags</w:t>
      </w:r>
    </w:p>
    <w:p>
      <w:pPr>
        <w:spacing w:after="100" w:before="60"/>
      </w:pPr>
      <w:r>
        <w:rPr>
          <w:rFonts w:ascii="Arial" w:cs="Arial" w:eastAsia="Arial" w:hAnsi="Arial"/>
          <w:b w:val="false"/>
          <w:bCs w:val="false"/>
          <w:i w:val="false"/>
          <w:iCs w:val="false"/>
          <w:color w:val="222222"/>
          <w:sz w:val="20"/>
          <w:szCs w:val="20"/>
        </w:rPr>
        <w:t xml:space="preserve">'Owner compensation: adjusted (Y/N)' is not a normalization. It is a checkbox that a buyer's advisor will immediately dismiss. The adjustment must be quantified: reported owner take-home minus market replacement cost equals the normalized adjustment. Every line has a direction, an amount, a confidence level, and a recurrence assessment. Without that, the normalized earnings figure is meaningless.</w:t>
      </w:r>
    </w:p>
    <w:p>
      <w:pPr>
        <w:pStyle w:val="Heading2"/>
        <w:pBdr>
          <w:bottom w:val="single" w:color="2E5F8A" w:sz="4" w:space="4"/>
        </w:pBdr>
        <w:spacing w:after="120" w:before="280"/>
      </w:pPr>
      <w:r>
        <w:rPr>
          <w:rFonts w:ascii="Arial" w:cs="Arial" w:eastAsia="Arial" w:hAnsi="Arial"/>
          <w:b/>
          <w:bCs/>
          <w:color w:val="2E5F8A"/>
          <w:sz w:val="26"/>
          <w:szCs w:val="26"/>
        </w:rPr>
        <w:t xml:space="preserve">1.3 Conflation of Four Distinct Value Concepts</w:t>
      </w:r>
    </w:p>
    <w:p>
      <w:pPr>
        <w:spacing w:after="100" w:before="60"/>
      </w:pPr>
      <w:r>
        <w:rPr>
          <w:rFonts w:ascii="Arial" w:cs="Arial" w:eastAsia="Arial" w:hAnsi="Arial"/>
          <w:b w:val="false"/>
          <w:bCs w:val="false"/>
          <w:i w:val="false"/>
          <w:iCs w:val="false"/>
          <w:color w:val="222222"/>
          <w:sz w:val="20"/>
          <w:szCs w:val="20"/>
        </w:rPr>
        <w:t xml:space="preserve">The engine appears to merge intrinsic value, sell-side readiness, data quality, and sellability into a single 'confidence multiplier' that discounts the output. These are not the same thing. A business with poor records has lower-quality inputs but its fundamental value is what it is. A business that is hard to sell has a market liquidity discount but its earnings power has not changed. Merging these into one number destroys the analytical signal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DC" w:sz="1"/>
              <w:left w:val="single" w:color="C5D0DC" w:sz="1"/>
              <w:bottom w:val="single" w:color="C5D0DC" w:sz="1"/>
              <w:right w:val="single" w:color="C5D0DC" w:sz="1"/>
            </w:tcBorders>
            <w:shd w:fill="D9E4F0" w:val="clear"/>
            <w:tcMar>
              <w:top w:type="dxa" w:w="120"/>
              <w:left w:type="dxa" w:w="200"/>
              <w:bottom w:type="dxa" w:w="120"/>
              <w:right w:type="dxa" w:w="200"/>
            </w:tcMar>
          </w:tcPr>
          <w:p>
            <w:r>
              <w:rPr>
                <w:rFonts w:ascii="Arial" w:cs="Arial" w:eastAsia="Arial" w:hAnsi="Arial"/>
                <w:i/>
                <w:iCs/>
                <w:color w:val="333333"/>
                <w:sz w:val="18"/>
                <w:szCs w:val="18"/>
              </w:rPr>
              <w:t xml:space="preserve">Intrinsic value is a property of the business. Readiness is a property of the seller. Data quality is a property of the inputs. Market liquidity is a property of the deal environment. They must be measured and reported separately.</w:t>
            </w:r>
          </w:p>
        </w:tc>
      </w:tr>
    </w:tbl>
    <w:p>
      <w:pPr>
        <w:pStyle w:val="Heading2"/>
        <w:pBdr>
          <w:bottom w:val="single" w:color="2E5F8A" w:sz="4" w:space="4"/>
        </w:pBdr>
        <w:spacing w:after="120" w:before="280"/>
      </w:pPr>
      <w:r>
        <w:rPr>
          <w:rFonts w:ascii="Arial" w:cs="Arial" w:eastAsia="Arial" w:hAnsi="Arial"/>
          <w:b/>
          <w:bCs/>
          <w:color w:val="2E5F8A"/>
          <w:sz w:val="26"/>
          <w:szCs w:val="26"/>
        </w:rPr>
        <w:t xml:space="preserve">1.4 No Enterprise Value to Equity Value Bridge</w:t>
      </w:r>
    </w:p>
    <w:p>
      <w:pPr>
        <w:spacing w:after="100" w:before="60"/>
      </w:pPr>
      <w:r>
        <w:rPr>
          <w:rFonts w:ascii="Arial" w:cs="Arial" w:eastAsia="Arial" w:hAnsi="Arial"/>
          <w:b w:val="false"/>
          <w:bCs w:val="false"/>
          <w:i w:val="false"/>
          <w:iCs w:val="false"/>
          <w:color w:val="222222"/>
          <w:sz w:val="20"/>
          <w:szCs w:val="20"/>
        </w:rPr>
        <w:t xml:space="preserve">The engine outputs what appears to be enterprise value, then presents it to the owner as 'what your business is worth' without deducting debt, debt-like items, and working capital deficits, and without adding cash and non-operating assets. In Nigerian SME contexts, this gap is routinely 20-40% of the stated number. An owner who owes ₦30M in director loans and holds ₦50M in personal-use property inside the company needs both of those facts reflected before they see an equity value.</w:t>
      </w:r>
    </w:p>
    <w:p>
      <w:pPr>
        <w:pStyle w:val="Heading2"/>
        <w:pBdr>
          <w:bottom w:val="single" w:color="2E5F8A" w:sz="4" w:space="4"/>
        </w:pBdr>
        <w:spacing w:after="120" w:before="280"/>
      </w:pPr>
      <w:r>
        <w:rPr>
          <w:rFonts w:ascii="Arial" w:cs="Arial" w:eastAsia="Arial" w:hAnsi="Arial"/>
          <w:b/>
          <w:bCs/>
          <w:color w:val="2E5F8A"/>
          <w:sz w:val="26"/>
          <w:szCs w:val="26"/>
        </w:rPr>
        <w:t xml:space="preserve">1.5 Single-Method Output</w:t>
      </w:r>
    </w:p>
    <w:p>
      <w:pPr>
        <w:spacing w:after="100" w:before="60"/>
      </w:pPr>
      <w:r>
        <w:rPr>
          <w:rFonts w:ascii="Arial" w:cs="Arial" w:eastAsia="Arial" w:hAnsi="Arial"/>
          <w:b w:val="false"/>
          <w:bCs w:val="false"/>
          <w:i w:val="false"/>
          <w:iCs w:val="false"/>
          <w:color w:val="222222"/>
          <w:sz w:val="20"/>
          <w:szCs w:val="20"/>
        </w:rPr>
        <w:t xml:space="preserve">A valuation based on one method is not a valuation. It is a calculation. Defensible valuations use multiple methods, explain why each is appropriate, note where they diverge, and weight them based on the quality of inputs for each method. The current engine cannot survive the first question from a counterpart advisor: 'What does your DCF show, and how does it compare?'</w:t>
      </w:r>
    </w:p>
    <w:p>
      <w:pPr>
        <w:pStyle w:val="Heading2"/>
        <w:pBdr>
          <w:bottom w:val="single" w:color="2E5F8A" w:sz="4" w:space="4"/>
        </w:pBdr>
        <w:spacing w:after="120" w:before="280"/>
      </w:pPr>
      <w:r>
        <w:rPr>
          <w:rFonts w:ascii="Arial" w:cs="Arial" w:eastAsia="Arial" w:hAnsi="Arial"/>
          <w:b/>
          <w:bCs/>
          <w:color w:val="2E5F8A"/>
          <w:sz w:val="26"/>
          <w:szCs w:val="26"/>
        </w:rPr>
        <w:t xml:space="preserve">1.6 No Confidence Framework or Range</w:t>
      </w:r>
    </w:p>
    <w:p>
      <w:pPr>
        <w:spacing w:after="100" w:before="60"/>
      </w:pPr>
      <w:r>
        <w:rPr>
          <w:rFonts w:ascii="Arial" w:cs="Arial" w:eastAsia="Arial" w:hAnsi="Arial"/>
          <w:b w:val="false"/>
          <w:bCs w:val="false"/>
          <w:i w:val="false"/>
          <w:iCs w:val="false"/>
          <w:color w:val="222222"/>
          <w:sz w:val="20"/>
          <w:szCs w:val="20"/>
        </w:rPr>
        <w:t xml:space="preserve">Outputting a single number implies precision the model does not have. A business with one year of unaudited management accounts in a sector with no public transaction data should produce a wide range and a low confidence score. A business with three years of audited accounts in a sector with eight recent comparable transactions should produce a narrower range and a higher score. The current engine makes no distinction between these two cases.</w:t>
      </w:r>
    </w:p>
    <w:p>
      <w:pPr>
        <w:pStyle w:val="Heading2"/>
        <w:pBdr>
          <w:bottom w:val="single" w:color="2E5F8A" w:sz="4" w:space="4"/>
        </w:pBdr>
        <w:spacing w:after="120" w:before="280"/>
      </w:pPr>
      <w:r>
        <w:rPr>
          <w:rFonts w:ascii="Arial" w:cs="Arial" w:eastAsia="Arial" w:hAnsi="Arial"/>
          <w:b/>
          <w:bCs/>
          <w:color w:val="2E5F8A"/>
          <w:sz w:val="26"/>
          <w:szCs w:val="26"/>
        </w:rPr>
        <w:t xml:space="preserve">1.7 No Audit Trail or Governance</w:t>
      </w:r>
    </w:p>
    <w:p>
      <w:pPr>
        <w:spacing w:after="100" w:before="60"/>
      </w:pPr>
      <w:r>
        <w:rPr>
          <w:rFonts w:ascii="Arial" w:cs="Arial" w:eastAsia="Arial" w:hAnsi="Arial"/>
          <w:b w:val="false"/>
          <w:bCs w:val="false"/>
          <w:i w:val="false"/>
          <w:iCs w:val="false"/>
          <w:color w:val="222222"/>
          <w:sz w:val="20"/>
          <w:szCs w:val="20"/>
        </w:rPr>
        <w:t xml:space="preserve">There is no record of what inputs produced the output, no version control, no analyst override log, and no documented assumptions. This means the output cannot be defended in a negotiation, cannot be reproduced if questioned, and cannot be improved over time by comparing predicted values to actual deal outcomes.</w:t>
      </w:r>
    </w:p>
    <w:p>
      <w:pPr>
        <w:pStyle w:val="Heading2"/>
        <w:pBdr>
          <w:bottom w:val="single" w:color="2E5F8A" w:sz="4" w:space="4"/>
        </w:pBdr>
        <w:spacing w:after="120" w:before="280"/>
      </w:pPr>
      <w:r>
        <w:rPr>
          <w:rFonts w:ascii="Arial" w:cs="Arial" w:eastAsia="Arial" w:hAnsi="Arial"/>
          <w:b/>
          <w:bCs/>
          <w:color w:val="2E5F8A"/>
          <w:sz w:val="26"/>
          <w:szCs w:val="26"/>
        </w:rPr>
        <w:t xml:space="preserve">1.8 Discount Rate Construction Is Missing</w:t>
      </w:r>
    </w:p>
    <w:p>
      <w:pPr>
        <w:spacing w:after="100" w:before="60"/>
      </w:pPr>
      <w:r>
        <w:rPr>
          <w:rFonts w:ascii="Arial" w:cs="Arial" w:eastAsia="Arial" w:hAnsi="Arial"/>
          <w:b w:val="false"/>
          <w:bCs w:val="false"/>
          <w:i w:val="false"/>
          <w:iCs w:val="false"/>
          <w:color w:val="222222"/>
          <w:sz w:val="20"/>
          <w:szCs w:val="20"/>
        </w:rPr>
        <w:t xml:space="preserve">In Nigeria, the discount rate in any income approach is doing a lot of work. It must capture: the risk-free rate (currently reflecting a high-inflation environment), equity risk premium, country risk premium, sector risk, size premium, and company-specific risk. Applying a flat 'SME discount rate' of 25-30% without derivation is heuristic, not analysis.</w:t>
      </w:r>
    </w:p>
    <w:p>
      <w:pPr>
        <w:pStyle w:val="Heading2"/>
        <w:pBdr>
          <w:bottom w:val="single" w:color="2E5F8A" w:sz="4" w:space="4"/>
        </w:pBdr>
        <w:spacing w:after="120" w:before="280"/>
      </w:pPr>
      <w:r>
        <w:rPr>
          <w:rFonts w:ascii="Arial" w:cs="Arial" w:eastAsia="Arial" w:hAnsi="Arial"/>
          <w:b/>
          <w:bCs/>
          <w:color w:val="2E5F8A"/>
          <w:sz w:val="26"/>
          <w:szCs w:val="26"/>
        </w:rPr>
        <w:t xml:space="preserve">1.9 FX and Macro Risk Are Invisible</w:t>
      </w:r>
    </w:p>
    <w:p>
      <w:pPr>
        <w:spacing w:after="100" w:before="60"/>
      </w:pPr>
      <w:r>
        <w:rPr>
          <w:rFonts w:ascii="Arial" w:cs="Arial" w:eastAsia="Arial" w:hAnsi="Arial"/>
          <w:b w:val="false"/>
          <w:bCs w:val="false"/>
          <w:i w:val="false"/>
          <w:iCs w:val="false"/>
          <w:color w:val="222222"/>
          <w:sz w:val="20"/>
          <w:szCs w:val="20"/>
        </w:rPr>
        <w:t xml:space="preserve">A Nigerian SME with significant USD-denominated costs or revenue presents a fundamentally different risk profile from a pure naira business. The engine currently treats both identically. FX exposure, naira devaluation sensitivity, and the resulting earnings volatility must be explicit inputs, not ignored.</w:t>
      </w:r>
    </w:p>
    <w:p>
      <w:pPr>
        <w:pStyle w:val="Heading2"/>
        <w:pBdr>
          <w:bottom w:val="single" w:color="2E5F8A" w:sz="4" w:space="4"/>
        </w:pBdr>
        <w:spacing w:after="120" w:before="280"/>
      </w:pPr>
      <w:r>
        <w:rPr>
          <w:rFonts w:ascii="Arial" w:cs="Arial" w:eastAsia="Arial" w:hAnsi="Arial"/>
          <w:b/>
          <w:bCs/>
          <w:color w:val="2E5F8A"/>
          <w:sz w:val="26"/>
          <w:szCs w:val="26"/>
        </w:rPr>
        <w:t xml:space="preserve">1.10 Working Capital Is Not Normalized</w:t>
      </w:r>
    </w:p>
    <w:p>
      <w:pPr>
        <w:spacing w:after="100" w:before="60"/>
      </w:pPr>
      <w:r>
        <w:rPr>
          <w:rFonts w:ascii="Arial" w:cs="Arial" w:eastAsia="Arial" w:hAnsi="Arial"/>
          <w:b w:val="false"/>
          <w:bCs w:val="false"/>
          <w:i w:val="false"/>
          <w:iCs w:val="false"/>
          <w:color w:val="222222"/>
          <w:sz w:val="20"/>
          <w:szCs w:val="20"/>
        </w:rPr>
        <w:t xml:space="preserve">Enterprise value is the value of the operating business assuming a normalized level of working capital is handed to the buyer. If the seller has run the business with artificially low inventory or stretched payables beyond normal terms, the buyer must fund the gap. That gap reduces equity value and must be calculated explicitly.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02</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Target Engine Architecture: Eleven Modules</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The engine must be modular. Each module has defined inputs, defined outputs, and a clear handoff to the next. Modules can be populated in different levels of depth depending on user mode (owner self-serve, advisor, analyst) without breaking the overall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440"/>
        <w:gridCol w:w="3000"/>
      </w:tblGrid>
      <w:tr>
        <w:trPr>
          <w:tblHeader/>
        </w:trPr>
        <w:tc>
          <w:tcPr>
            <w:tcW w:type="dxa" w:w="72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22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344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30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Automation Level</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M1</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Engagement Framing</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Purpose, standard of value, premise</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w:t>
            </w:r>
          </w:p>
        </w:tc>
      </w:tr>
      <w:tr>
        <w:tc>
          <w:tcPr>
            <w:tcW w:type="dxa" w:w="72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M2</w:t>
            </w:r>
          </w:p>
        </w:tc>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Basis &amp; Standard of Value</w:t>
            </w:r>
          </w:p>
        </w:tc>
        <w:tc>
          <w:tcPr>
            <w:tcW w:type="dxa" w:w="34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FMV / investment / liquidation selection</w:t>
            </w:r>
          </w:p>
        </w:tc>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Guided</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M3</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Financial Normalization / QoE</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Quantified earnings adjustments</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Partial</w:t>
            </w:r>
          </w:p>
        </w:tc>
      </w:tr>
      <w:tr>
        <w:tc>
          <w:tcPr>
            <w:tcW w:type="dxa" w:w="72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M4</w:t>
            </w:r>
          </w:p>
        </w:tc>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Business-Model Classification</w:t>
            </w:r>
          </w:p>
        </w:tc>
        <w:tc>
          <w:tcPr>
            <w:tcW w:type="dxa" w:w="34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L1 sector / L2 model taxonomy</w:t>
            </w:r>
          </w:p>
        </w:tc>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Guided</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M5</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Approach</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Comparable multiples &amp; transactions</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Partial</w:t>
            </w:r>
          </w:p>
        </w:tc>
      </w:tr>
      <w:tr>
        <w:tc>
          <w:tcPr>
            <w:tcW w:type="dxa" w:w="72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M6</w:t>
            </w:r>
          </w:p>
        </w:tc>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Income Approach</w:t>
            </w:r>
          </w:p>
        </w:tc>
        <w:tc>
          <w:tcPr>
            <w:tcW w:type="dxa" w:w="34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DCF and/or capitalized earnings</w:t>
            </w:r>
          </w:p>
        </w:tc>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Partial</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M7</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Approach</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NAV, adjusted book value, liquidation floor</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Partial</w:t>
            </w:r>
          </w:p>
        </w:tc>
      </w:tr>
      <w:tr>
        <w:tc>
          <w:tcPr>
            <w:tcW w:type="dxa" w:w="72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M8</w:t>
            </w:r>
          </w:p>
        </w:tc>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EV-to-Equity Bridge</w:t>
            </w:r>
          </w:p>
        </w:tc>
        <w:tc>
          <w:tcPr>
            <w:tcW w:type="dxa" w:w="34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Debt, cash, non-op assets, WC adjustment</w:t>
            </w:r>
          </w:p>
        </w:tc>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Full (given inputs)</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M9</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Sell-Side Readiness</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Independent readiness score</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(given inputs)</w:t>
            </w:r>
          </w:p>
        </w:tc>
      </w:tr>
      <w:tr>
        <w:tc>
          <w:tcPr>
            <w:tcW w:type="dxa" w:w="72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M10</w:t>
            </w:r>
          </w:p>
        </w:tc>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Confidence / Valuation Risk</w:t>
            </w:r>
          </w:p>
        </w:tc>
        <w:tc>
          <w:tcPr>
            <w:tcW w:type="dxa" w:w="34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Data quality, range, and risk flags</w:t>
            </w:r>
          </w:p>
        </w:tc>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Full</w:t>
            </w:r>
          </w:p>
        </w:tc>
      </w:tr>
      <w:tr>
        <w:tc>
          <w:tcPr>
            <w:tcW w:type="dxa" w:w="72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M11</w:t>
            </w:r>
          </w:p>
        </w:tc>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Audit Trail &amp; Governance</w:t>
            </w:r>
          </w:p>
        </w:tc>
        <w:tc>
          <w:tcPr>
            <w:tcW w:type="dxa" w:w="34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Input log, assumptions, version control</w:t>
            </w:r>
          </w:p>
        </w:tc>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Module 1: Engagement Framing</w:t>
      </w:r>
    </w:p>
    <w:p>
      <w:pPr>
        <w:spacing w:after="100" w:before="60"/>
      </w:pPr>
      <w:r>
        <w:rPr>
          <w:rFonts w:ascii="Arial" w:cs="Arial" w:eastAsia="Arial" w:hAnsi="Arial"/>
          <w:b w:val="false"/>
          <w:bCs w:val="false"/>
          <w:i w:val="false"/>
          <w:iCs w:val="false"/>
          <w:color w:val="222222"/>
          <w:sz w:val="20"/>
          <w:szCs w:val="20"/>
        </w:rPr>
        <w:t xml:space="preserve">This module captures why the valuation is being done, for whom, and under what constraints. The purpose changes what gets measured. A sale valuation and a minority fundraise valuation start from different assumptions. An estate valuation may require a different standard of value entirely.</w:t>
      </w:r>
    </w:p>
    <w:p>
      <w:pPr>
        <w:spacing w:after="100" w:before="60"/>
      </w:pPr>
      <w:r>
        <w:rPr>
          <w:rFonts w:ascii="Arial" w:cs="Arial" w:eastAsia="Arial" w:hAnsi="Arial"/>
          <w:b/>
          <w:bCs/>
          <w:i w:val="false"/>
          <w:iCs w:val="false"/>
          <w:color w:val="1F3864"/>
          <w:sz w:val="20"/>
          <w:szCs w:val="20"/>
        </w:rPr>
        <w:t xml:space="preserve">Inputs: </w:t>
      </w:r>
      <w:r>
        <w:rPr>
          <w:rFonts w:ascii="Arial" w:cs="Arial" w:eastAsia="Arial" w:hAnsi="Arial"/>
          <w:b w:val="false"/>
          <w:bCs w:val="false"/>
          <w:i w:val="false"/>
          <w:iCs w:val="false"/>
          <w:color w:val="222222"/>
          <w:sz w:val="20"/>
          <w:szCs w:val="20"/>
        </w:rPr>
        <w:t xml:space="preserve">purpose (sale / fundraise / estate / internal benchmark / dispute / lending), requestor type (owner / advisor / institution), urgency (orderly / accelerated / forced), jurisdiction</w:t>
      </w:r>
    </w:p>
    <w:p>
      <w:pPr>
        <w:spacing w:after="100" w:before="60"/>
      </w:pPr>
      <w:r>
        <w:rPr>
          <w:rFonts w:ascii="Arial" w:cs="Arial" w:eastAsia="Arial" w:hAnsi="Arial"/>
          <w:b/>
          <w:bCs/>
          <w:i w:val="false"/>
          <w:iCs w:val="false"/>
          <w:color w:val="1F3864"/>
          <w:sz w:val="20"/>
          <w:szCs w:val="20"/>
        </w:rPr>
        <w:t xml:space="preserve">Outputs: </w:t>
      </w:r>
      <w:r>
        <w:rPr>
          <w:rFonts w:ascii="Arial" w:cs="Arial" w:eastAsia="Arial" w:hAnsi="Arial"/>
          <w:b w:val="false"/>
          <w:bCs w:val="false"/>
          <w:i w:val="false"/>
          <w:iCs w:val="false"/>
          <w:color w:val="222222"/>
          <w:sz w:val="20"/>
          <w:szCs w:val="20"/>
        </w:rPr>
        <w:t xml:space="preserve">standard_of_value, premise_of_value, applicable_methodology_set, analyst_mode</w:t>
      </w:r>
    </w:p>
    <w:p>
      <w:pPr>
        <w:pStyle w:val="Heading2"/>
        <w:pBdr>
          <w:bottom w:val="single" w:color="2E5F8A" w:sz="4" w:space="4"/>
        </w:pBdr>
        <w:spacing w:after="120" w:before="280"/>
      </w:pPr>
      <w:r>
        <w:rPr>
          <w:rFonts w:ascii="Arial" w:cs="Arial" w:eastAsia="Arial" w:hAnsi="Arial"/>
          <w:b/>
          <w:bCs/>
          <w:color w:val="2E5F8A"/>
          <w:sz w:val="26"/>
          <w:szCs w:val="26"/>
        </w:rPr>
        <w:t xml:space="preserve">Module 2: Basis and Standard of Value</w:t>
      </w:r>
    </w:p>
    <w:p>
      <w:pPr>
        <w:spacing w:after="100" w:before="60"/>
      </w:pPr>
      <w:r>
        <w:rPr>
          <w:rFonts w:ascii="Arial" w:cs="Arial" w:eastAsia="Arial" w:hAnsi="Arial"/>
          <w:b w:val="false"/>
          <w:bCs w:val="false"/>
          <w:i w:val="false"/>
          <w:iCs w:val="false"/>
          <w:color w:val="222222"/>
          <w:sz w:val="20"/>
          <w:szCs w:val="20"/>
        </w:rPr>
        <w:t xml:space="preserve">The standard of value determines whose perspective the valuation reflects. This is not a technical detail. Two valuations of the same business can produce legitimately different numbers if they use different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Standard</w:t>
            </w:r>
          </w:p>
        </w:tc>
        <w:tc>
          <w:tcPr>
            <w:tcW w:type="dxa" w:w="45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26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Typical Use Case</w:t>
            </w:r>
          </w:p>
        </w:tc>
      </w:tr>
      <w:tr>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Fair Market Value (FMV)</w:t>
            </w:r>
          </w:p>
        </w:tc>
        <w:tc>
          <w:tcPr>
            <w:tcW w:type="dxa" w:w="4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Hypothetical willing buyer / willing seller, neither compelled</w:t>
            </w:r>
          </w:p>
        </w:tc>
        <w:tc>
          <w:tcPr>
            <w:tcW w:type="dxa" w:w="2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Sale, estate, litigation</w:t>
            </w:r>
          </w:p>
        </w:tc>
      </w:tr>
      <w:tr>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Investment Value</w:t>
            </w:r>
          </w:p>
        </w:tc>
        <w:tc>
          <w:tcPr>
            <w:tcW w:type="dxa" w:w="4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Value to a specific buyer given their synergies and cost of capital</w:t>
            </w:r>
          </w:p>
        </w:tc>
        <w:tc>
          <w:tcPr>
            <w:tcW w:type="dxa" w:w="2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Strategic acquisition</w:t>
            </w:r>
          </w:p>
        </w:tc>
      </w:tr>
      <w:tr>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Intrinsic / Fundamental Value</w:t>
            </w:r>
          </w:p>
        </w:tc>
        <w:tc>
          <w:tcPr>
            <w:tcW w:type="dxa" w:w="4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Standalone DCF based on business fundamentals</w:t>
            </w:r>
          </w:p>
        </w:tc>
        <w:tc>
          <w:tcPr>
            <w:tcW w:type="dxa" w:w="2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Internal benchmarking</w:t>
            </w:r>
          </w:p>
        </w:tc>
      </w:tr>
      <w:tr>
        <w:tc>
          <w:tcPr>
            <w:tcW w:type="dxa" w:w="22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Liquidation Value (Orderly)</w:t>
            </w:r>
          </w:p>
        </w:tc>
        <w:tc>
          <w:tcPr>
            <w:tcW w:type="dxa" w:w="4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Net realisable from asset sale over 6-24 months</w:t>
            </w:r>
          </w:p>
        </w:tc>
        <w:tc>
          <w:tcPr>
            <w:tcW w:type="dxa" w:w="2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Distressed, lender</w:t>
            </w:r>
          </w:p>
        </w:tc>
      </w:tr>
      <w:tr>
        <w:tc>
          <w:tcPr>
            <w:tcW w:type="dxa" w:w="22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Liquidation Value (Forced)</w:t>
            </w:r>
          </w:p>
        </w:tc>
        <w:tc>
          <w:tcPr>
            <w:tcW w:type="dxa" w:w="4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Net realisable from asset sale in 30-90 days</w:t>
            </w:r>
          </w:p>
        </w:tc>
        <w:tc>
          <w:tcPr>
            <w:tcW w:type="dxa" w:w="2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Forced sale, receivership</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Module 3: Financial Normalization / Quality of Earnings</w:t>
      </w:r>
    </w:p>
    <w:p>
      <w:pPr>
        <w:spacing w:after="100" w:before="60"/>
      </w:pPr>
      <w:r>
        <w:rPr>
          <w:rFonts w:ascii="Arial" w:cs="Arial" w:eastAsia="Arial" w:hAnsi="Arial"/>
          <w:b w:val="false"/>
          <w:bCs w:val="false"/>
          <w:i w:val="false"/>
          <w:iCs w:val="false"/>
          <w:color w:val="222222"/>
          <w:sz w:val="20"/>
          <w:szCs w:val="20"/>
        </w:rPr>
        <w:t xml:space="preserve">This is the most consequential module. It converts reported financials into defensible economic earnings. Every adjustment is quantified, directional, and assessed for recurrence. The module produces three normalized earnings metrics depending on business size and buyer type.</w:t>
      </w:r>
    </w:p>
    <w:p>
      <w:pPr>
        <w:pBdr>
          <w:left w:val="single" w:color="2E5F8A" w:sz="8" w:space="8"/>
        </w:pBdr>
        <w:spacing w:after="80" w:before="80"/>
        <w:ind w:left="720"/>
      </w:pPr>
      <w:r>
        <w:rPr>
          <w:rFonts w:ascii="Courier New" w:cs="Courier New" w:eastAsia="Courier New" w:hAnsi="Courier New"/>
          <w:color w:val="1F3864"/>
          <w:sz w:val="18"/>
          <w:szCs w:val="18"/>
        </w:rPr>
        <w:t xml:space="preserve">SDE  = Net Profit + Owner Comp (all forms) + Depreciation + Interest + Taxes + One-offs</w:t>
      </w:r>
    </w:p>
    <w:p>
      <w:pPr>
        <w:pBdr>
          <w:left w:val="single" w:color="2E5F8A" w:sz="8" w:space="8"/>
        </w:pBdr>
        <w:spacing w:after="80" w:before="80"/>
        <w:ind w:left="720"/>
      </w:pPr>
      <w:r>
        <w:rPr>
          <w:rFonts w:ascii="Courier New" w:cs="Courier New" w:eastAsia="Courier New" w:hAnsi="Courier New"/>
          <w:color w:val="1F3864"/>
          <w:sz w:val="18"/>
          <w:szCs w:val="18"/>
        </w:rPr>
        <w:t xml:space="preserve">Adj. EBITDA = EBITDA + Owner Comp Adj + Related-Party Adj + One-off Adj + Personal Expense Adj</w:t>
      </w:r>
    </w:p>
    <w:p>
      <w:pPr>
        <w:pBdr>
          <w:left w:val="single" w:color="2E5F8A" w:sz="8" w:space="8"/>
        </w:pBdr>
        <w:spacing w:after="80" w:before="80"/>
        <w:ind w:left="720"/>
      </w:pPr>
      <w:r>
        <w:rPr>
          <w:rFonts w:ascii="Courier New" w:cs="Courier New" w:eastAsia="Courier New" w:hAnsi="Courier New"/>
          <w:color w:val="1F3864"/>
          <w:sz w:val="18"/>
          <w:szCs w:val="18"/>
        </w:rPr>
        <w:t xml:space="preserve">Adj. EBIT   = Adj. EBITDA - Normalized Maintenance Capex</w:t>
      </w:r>
    </w:p>
    <w:p>
      <w:pPr>
        <w:spacing w:after="100" w:before="60"/>
      </w:pPr>
      <w:r>
        <w:rPr>
          <w:rFonts w:ascii="Arial" w:cs="Arial" w:eastAsia="Arial" w:hAnsi="Arial"/>
          <w:b w:val="false"/>
          <w:bCs w:val="false"/>
          <w:i w:val="false"/>
          <w:iCs w:val="false"/>
          <w:color w:val="222222"/>
          <w:sz w:val="20"/>
          <w:szCs w:val="20"/>
        </w:rPr>
        <w:t xml:space="preserve">SDE (Seller's Discretionary Earnings) is the appropriate metric for owner-operated businesses where the buyer intends to manage the business personally. EBITDA is appropriate for businesses large enough to have a management team the buyer would retain. EBIT (after maintenance capex) is the relevant income measure for DCF terminal value calculations.</w:t>
      </w:r>
    </w:p>
    <w:p>
      <w:pPr>
        <w:spacing w:after="100" w:before="60"/>
      </w:pPr>
      <w:r>
        <w:rPr>
          <w:rFonts w:ascii="Arial" w:cs="Arial" w:eastAsia="Arial" w:hAnsi="Arial"/>
          <w:b w:val="false"/>
          <w:bCs w:val="false"/>
          <w:i w:val="false"/>
          <w:iCs w:val="false"/>
          <w:color w:val="222222"/>
          <w:sz w:val="20"/>
          <w:szCs w:val="20"/>
        </w:rPr>
        <w:t xml:space="preserve">Section 4 of this document details all eight normalization adjustment types with formulas.</w:t>
      </w:r>
    </w:p>
    <w:p>
      <w:pPr>
        <w:pStyle w:val="Heading2"/>
        <w:pBdr>
          <w:bottom w:val="single" w:color="2E5F8A" w:sz="4" w:space="4"/>
        </w:pBdr>
        <w:spacing w:after="120" w:before="280"/>
      </w:pPr>
      <w:r>
        <w:rPr>
          <w:rFonts w:ascii="Arial" w:cs="Arial" w:eastAsia="Arial" w:hAnsi="Arial"/>
          <w:b/>
          <w:bCs/>
          <w:color w:val="2E5F8A"/>
          <w:sz w:val="26"/>
          <w:szCs w:val="26"/>
        </w:rPr>
        <w:t xml:space="preserve">Module 4: Business-Model Classification</w:t>
      </w:r>
    </w:p>
    <w:p>
      <w:pPr>
        <w:spacing w:after="100" w:before="60"/>
      </w:pPr>
      <w:r>
        <w:rPr>
          <w:rFonts w:ascii="Arial" w:cs="Arial" w:eastAsia="Arial" w:hAnsi="Arial"/>
          <w:b w:val="false"/>
          <w:bCs w:val="false"/>
          <w:i w:val="false"/>
          <w:iCs w:val="false"/>
          <w:color w:val="222222"/>
          <w:sz w:val="20"/>
          <w:szCs w:val="20"/>
        </w:rPr>
        <w:t xml:space="preserve">The classification drives everything downstream: which multiples apply, which primary valuation method is most appropriate, which risk factors dominate, and how to weight methods in reconciliation. Level 1 alone is insufficient. A Level 1 classification of 'Technology' tells you almost nothing useful about method selection.</w:t>
      </w:r>
    </w:p>
    <w:p>
      <w:pPr>
        <w:spacing w:after="100" w:before="60"/>
      </w:pPr>
      <w:r>
        <w:rPr>
          <w:rFonts w:ascii="Arial" w:cs="Arial" w:eastAsia="Arial" w:hAnsi="Arial"/>
          <w:b w:val="false"/>
          <w:bCs w:val="false"/>
          <w:i w:val="false"/>
          <w:iCs w:val="false"/>
          <w:color w:val="222222"/>
          <w:sz w:val="20"/>
          <w:szCs w:val="20"/>
        </w:rPr>
        <w:t xml:space="preserve">Section 3 of this document provides the full taxonomy matrix with method implications.</w:t>
      </w:r>
    </w:p>
    <w:p>
      <w:pPr>
        <w:pStyle w:val="Heading2"/>
        <w:pBdr>
          <w:bottom w:val="single" w:color="2E5F8A" w:sz="4" w:space="4"/>
        </w:pBdr>
        <w:spacing w:after="120" w:before="280"/>
      </w:pPr>
      <w:r>
        <w:rPr>
          <w:rFonts w:ascii="Arial" w:cs="Arial" w:eastAsia="Arial" w:hAnsi="Arial"/>
          <w:b/>
          <w:bCs/>
          <w:color w:val="2E5F8A"/>
          <w:sz w:val="26"/>
          <w:szCs w:val="26"/>
        </w:rPr>
        <w:t xml:space="preserve">Module 5: Market Approach</w:t>
      </w:r>
    </w:p>
    <w:p>
      <w:pPr>
        <w:spacing w:after="100" w:before="60"/>
      </w:pPr>
      <w:r>
        <w:rPr>
          <w:rFonts w:ascii="Arial" w:cs="Arial" w:eastAsia="Arial" w:hAnsi="Arial"/>
          <w:b w:val="false"/>
          <w:bCs w:val="false"/>
          <w:i w:val="false"/>
          <w:iCs w:val="false"/>
          <w:color w:val="222222"/>
          <w:sz w:val="20"/>
          <w:szCs w:val="20"/>
        </w:rPr>
        <w:t xml:space="preserve">The market approach applies observed multiples from comparable companies or transactions to the subject company's normalized financial metrics. It is the most intuitive approach for buyers and sellers but requires defensible comp selection, quality-adjusted multiples, and explicit adjustments for size, growth, margin, and market.</w:t>
      </w:r>
    </w:p>
    <w:p>
      <w:pPr>
        <w:spacing w:after="100" w:before="60"/>
      </w:pPr>
      <w:r>
        <w:rPr>
          <w:rFonts w:ascii="Arial" w:cs="Arial" w:eastAsia="Arial" w:hAnsi="Arial"/>
          <w:b/>
          <w:bCs/>
          <w:i w:val="false"/>
          <w:iCs w:val="false"/>
          <w:color w:val="1F3864"/>
          <w:sz w:val="20"/>
          <w:szCs w:val="20"/>
        </w:rPr>
        <w:t xml:space="preserve">Primary Inputs: </w:t>
      </w:r>
      <w:r>
        <w:rPr>
          <w:rFonts w:ascii="Arial" w:cs="Arial" w:eastAsia="Arial" w:hAnsi="Arial"/>
          <w:b w:val="false"/>
          <w:bCs w:val="false"/>
          <w:i w:val="false"/>
          <w:iCs w:val="false"/>
          <w:color w:val="222222"/>
          <w:sz w:val="20"/>
          <w:szCs w:val="20"/>
        </w:rPr>
        <w:t xml:space="preserve">L2 classification, normalized EBITDA / SDE / Revenue, EBITDA margin, revenue growth rate, country/market</w:t>
      </w:r>
    </w:p>
    <w:p>
      <w:pPr>
        <w:spacing w:after="100" w:before="60"/>
      </w:pPr>
      <w:r>
        <w:rPr>
          <w:rFonts w:ascii="Arial" w:cs="Arial" w:eastAsia="Arial" w:hAnsi="Arial"/>
          <w:b/>
          <w:bCs/>
          <w:i w:val="false"/>
          <w:iCs w:val="false"/>
          <w:color w:val="1F3864"/>
          <w:sz w:val="20"/>
          <w:szCs w:val="20"/>
        </w:rPr>
        <w:t xml:space="preserve">Primary Outputs: </w:t>
      </w:r>
      <w:r>
        <w:rPr>
          <w:rFonts w:ascii="Arial" w:cs="Arial" w:eastAsia="Arial" w:hAnsi="Arial"/>
          <w:b w:val="false"/>
          <w:bCs w:val="false"/>
          <w:i w:val="false"/>
          <w:iCs w:val="false"/>
          <w:color w:val="222222"/>
          <w:sz w:val="20"/>
          <w:szCs w:val="20"/>
        </w:rPr>
        <w:t xml:space="preserve">Indicated EV range from multiple application, comp quality score, applied multiple with rationale</w:t>
      </w:r>
    </w:p>
    <w:p>
      <w:pPr>
        <w:pBdr>
          <w:left w:val="single" w:color="2E5F8A" w:sz="8" w:space="8"/>
        </w:pBdr>
        <w:spacing w:after="80" w:before="80"/>
        <w:ind w:left="720"/>
      </w:pPr>
      <w:r>
        <w:rPr>
          <w:rFonts w:ascii="Courier New" w:cs="Courier New" w:eastAsia="Courier New" w:hAnsi="Courier New"/>
          <w:color w:val="1F3864"/>
          <w:sz w:val="18"/>
          <w:szCs w:val="18"/>
        </w:rPr>
        <w:t xml:space="preserve">EV_Market = Normalized_Metric x Selected_Multiple x Size_Adj x Growth_Adj x Country_Adj</w:t>
      </w:r>
    </w:p>
    <w:p>
      <w:pPr>
        <w:pStyle w:val="Heading2"/>
        <w:pBdr>
          <w:bottom w:val="single" w:color="2E5F8A" w:sz="4" w:space="4"/>
        </w:pBdr>
        <w:spacing w:after="120" w:before="280"/>
      </w:pPr>
      <w:r>
        <w:rPr>
          <w:rFonts w:ascii="Arial" w:cs="Arial" w:eastAsia="Arial" w:hAnsi="Arial"/>
          <w:b/>
          <w:bCs/>
          <w:color w:val="2E5F8A"/>
          <w:sz w:val="26"/>
          <w:szCs w:val="26"/>
        </w:rPr>
        <w:t xml:space="preserve">Module 6: Income Approach</w:t>
      </w:r>
    </w:p>
    <w:p>
      <w:pPr>
        <w:spacing w:after="100" w:before="60"/>
      </w:pPr>
      <w:r>
        <w:rPr>
          <w:rFonts w:ascii="Arial" w:cs="Arial" w:eastAsia="Arial" w:hAnsi="Arial"/>
          <w:b w:val="false"/>
          <w:bCs w:val="false"/>
          <w:i w:val="false"/>
          <w:iCs w:val="false"/>
          <w:color w:val="222222"/>
          <w:sz w:val="20"/>
          <w:szCs w:val="20"/>
        </w:rPr>
        <w:t xml:space="preserve">Two income methods are relevant for SMEs. Capitalized earnings is appropriate for stable, mature businesses with consistent earnings and no material near-term change in the earnings trajectory. DCF is appropriate when earnings are growing, the capital structure is complex, or the business has a defined asset life.</w:t>
      </w:r>
    </w:p>
    <w:p>
      <w:pPr>
        <w:pBdr>
          <w:left w:val="single" w:color="2E5F8A" w:sz="8" w:space="8"/>
        </w:pBdr>
        <w:spacing w:after="80" w:before="80"/>
        <w:ind w:left="720"/>
      </w:pPr>
      <w:r>
        <w:rPr>
          <w:rFonts w:ascii="Courier New" w:cs="Courier New" w:eastAsia="Courier New" w:hAnsi="Courier New"/>
          <w:color w:val="1F3864"/>
          <w:sz w:val="18"/>
          <w:szCs w:val="18"/>
        </w:rPr>
        <w:t xml:space="preserve">Capitalized Earnings:  EV = Normalized_Earnings / Cap_Rate</w:t>
      </w:r>
    </w:p>
    <w:p>
      <w:pPr>
        <w:pBdr>
          <w:left w:val="single" w:color="2E5F8A" w:sz="8" w:space="8"/>
        </w:pBdr>
        <w:spacing w:after="80" w:before="80"/>
        <w:ind w:left="720"/>
      </w:pPr>
      <w:r>
        <w:rPr>
          <w:rFonts w:ascii="Courier New" w:cs="Courier New" w:eastAsia="Courier New" w:hAnsi="Courier New"/>
          <w:color w:val="1F3864"/>
          <w:sz w:val="18"/>
          <w:szCs w:val="18"/>
        </w:rPr>
        <w:t xml:space="preserve">DCF:  EV = sum[FCF_t / (1 + WACC)^t] + Terminal_Value / (1 + WACC)^n</w:t>
      </w:r>
    </w:p>
    <w:p>
      <w:pPr>
        <w:pBdr>
          <w:left w:val="single" w:color="2E5F8A" w:sz="8" w:space="8"/>
        </w:pBdr>
        <w:spacing w:after="80" w:before="80"/>
        <w:ind w:left="720"/>
      </w:pPr>
      <w:r>
        <w:rPr>
          <w:rFonts w:ascii="Courier New" w:cs="Courier New" w:eastAsia="Courier New" w:hAnsi="Courier New"/>
          <w:color w:val="1F3864"/>
          <w:sz w:val="18"/>
          <w:szCs w:val="18"/>
        </w:rPr>
        <w:t xml:space="preserve">Terminal Value (Gordon Growth):  TV = FCF_n x (1 + g) / (WACC - g)</w:t>
      </w:r>
    </w:p>
    <w:p>
      <w:pPr>
        <w:pBdr>
          <w:left w:val="single" w:color="2E5F8A" w:sz="8" w:space="8"/>
        </w:pBdr>
        <w:spacing w:after="80" w:before="80"/>
        <w:ind w:left="720"/>
      </w:pPr>
      <w:r>
        <w:rPr>
          <w:rFonts w:ascii="Courier New" w:cs="Courier New" w:eastAsia="Courier New" w:hAnsi="Courier New"/>
          <w:color w:val="1F3864"/>
          <w:sz w:val="18"/>
          <w:szCs w:val="18"/>
        </w:rPr>
        <w:t xml:space="preserve">WACC = Ke x E/(D+E) + Kd x (1-T) x D/(D+E)</w:t>
      </w:r>
    </w:p>
    <w:p>
      <w:pPr>
        <w:pBdr>
          <w:left w:val="single" w:color="2E5F8A" w:sz="8" w:space="8"/>
        </w:pBdr>
        <w:spacing w:after="80" w:before="80"/>
        <w:ind w:left="720"/>
      </w:pPr>
      <w:r>
        <w:rPr>
          <w:rFonts w:ascii="Courier New" w:cs="Courier New" w:eastAsia="Courier New" w:hAnsi="Courier New"/>
          <w:color w:val="1F3864"/>
          <w:sz w:val="18"/>
          <w:szCs w:val="18"/>
        </w:rPr>
        <w:t xml:space="preserve">Ke = Rf + Beta x ERP + CRP + SP + CSRP</w:t>
      </w:r>
    </w:p>
    <w:p>
      <w:pPr>
        <w:spacing w:after="100" w:before="60"/>
      </w:pPr>
      <w:r>
        <w:rPr>
          <w:rFonts w:ascii="Arial" w:cs="Arial" w:eastAsia="Arial" w:hAnsi="Arial"/>
          <w:b w:val="false"/>
          <w:bCs w:val="false"/>
          <w:i w:val="false"/>
          <w:iCs w:val="false"/>
          <w:color w:val="222222"/>
          <w:sz w:val="20"/>
          <w:szCs w:val="20"/>
        </w:rPr>
        <w:t xml:space="preserve">Where: Rf = Nigeria risk-free rate (FGN bond yield), ERP = Equity Risk Premium, CRP = Country Risk Premium, SP = Size Premium, CSRP = Company-Specific Risk Premium.</w:t>
      </w:r>
    </w:p>
    <w:p>
      <w:pPr>
        <w:pStyle w:val="Heading2"/>
        <w:pBdr>
          <w:bottom w:val="single" w:color="2E5F8A" w:sz="4" w:space="4"/>
        </w:pBdr>
        <w:spacing w:after="120" w:before="280"/>
      </w:pPr>
      <w:r>
        <w:rPr>
          <w:rFonts w:ascii="Arial" w:cs="Arial" w:eastAsia="Arial" w:hAnsi="Arial"/>
          <w:b/>
          <w:bCs/>
          <w:color w:val="2E5F8A"/>
          <w:sz w:val="26"/>
          <w:szCs w:val="26"/>
        </w:rPr>
        <w:t xml:space="preserve">Module 7: Asset Approach</w:t>
      </w:r>
    </w:p>
    <w:p>
      <w:pPr>
        <w:spacing w:after="100" w:before="60"/>
      </w:pPr>
      <w:r>
        <w:rPr>
          <w:rFonts w:ascii="Arial" w:cs="Arial" w:eastAsia="Arial" w:hAnsi="Arial"/>
          <w:b w:val="false"/>
          <w:bCs w:val="false"/>
          <w:i w:val="false"/>
          <w:iCs w:val="false"/>
          <w:color w:val="222222"/>
          <w:sz w:val="20"/>
          <w:szCs w:val="20"/>
        </w:rPr>
        <w:t xml:space="preserve">The asset approach values the underlying balance sheet at fair market values. It is the primary method for asset-intensive businesses (manufacturing, real estate, natural resources). For service businesses it typically serves only as a floor value, confirming that liquidation proceeds would not exceed going-concern value. Omitting the floor entirely is an error.</w:t>
      </w:r>
    </w:p>
    <w:p>
      <w:pPr>
        <w:pBdr>
          <w:left w:val="single" w:color="2E5F8A" w:sz="8" w:space="8"/>
        </w:pBdr>
        <w:spacing w:after="80" w:before="80"/>
        <w:ind w:left="720"/>
      </w:pPr>
      <w:r>
        <w:rPr>
          <w:rFonts w:ascii="Courier New" w:cs="Courier New" w:eastAsia="Courier New" w:hAnsi="Courier New"/>
          <w:color w:val="1F3864"/>
          <w:sz w:val="18"/>
          <w:szCs w:val="18"/>
        </w:rPr>
        <w:t xml:space="preserve">Adjusted NAV = FMV of Operating Assets + FMV of Non-Operating Assets - FMV of All Liabilities</w:t>
      </w:r>
    </w:p>
    <w:p>
      <w:pPr>
        <w:pStyle w:val="Heading2"/>
        <w:pBdr>
          <w:bottom w:val="single" w:color="2E5F8A" w:sz="4" w:space="4"/>
        </w:pBdr>
        <w:spacing w:after="120" w:before="280"/>
      </w:pPr>
      <w:r>
        <w:rPr>
          <w:rFonts w:ascii="Arial" w:cs="Arial" w:eastAsia="Arial" w:hAnsi="Arial"/>
          <w:b/>
          <w:bCs/>
          <w:color w:val="2E5F8A"/>
          <w:sz w:val="26"/>
          <w:szCs w:val="26"/>
        </w:rPr>
        <w:t xml:space="preserve">Module 8: EV-to-Equity Bridge</w:t>
      </w:r>
    </w:p>
    <w:p>
      <w:pPr>
        <w:spacing w:after="100" w:before="60"/>
      </w:pPr>
      <w:r>
        <w:rPr>
          <w:rFonts w:ascii="Arial" w:cs="Arial" w:eastAsia="Arial" w:hAnsi="Arial"/>
          <w:b w:val="false"/>
          <w:bCs w:val="false"/>
          <w:i w:val="false"/>
          <w:iCs w:val="false"/>
          <w:color w:val="222222"/>
          <w:sz w:val="20"/>
          <w:szCs w:val="20"/>
        </w:rPr>
        <w:t xml:space="preserve">This module converts enterprise value to equity value. It is non-negotiable. An owner who sees a headline enterprise value without this bridge will consistently overestimate what they will receive at close.</w:t>
      </w:r>
    </w:p>
    <w:p>
      <w:pPr>
        <w:pBdr>
          <w:left w:val="single" w:color="2E5F8A" w:sz="8" w:space="8"/>
        </w:pBdr>
        <w:spacing w:after="80" w:before="80"/>
        <w:ind w:left="720"/>
      </w:pPr>
      <w:r>
        <w:rPr>
          <w:rFonts w:ascii="Courier New" w:cs="Courier New" w:eastAsia="Courier New" w:hAnsi="Courier New"/>
          <w:color w:val="1F3864"/>
          <w:sz w:val="18"/>
          <w:szCs w:val="18"/>
        </w:rPr>
        <w:t xml:space="preserve">Equity Value = EV - Interest-Bearing Debt - Debt-Like Items + Cash - Excess Cash Excluded + Non-Op Assets - Working Capital Deficit (or + Surplus)</w:t>
      </w:r>
    </w:p>
    <w:p>
      <w:pPr>
        <w:spacing w:after="100" w:before="60"/>
      </w:pPr>
      <w:r>
        <w:rPr>
          <w:rFonts w:ascii="Arial" w:cs="Arial" w:eastAsia="Arial" w:hAnsi="Arial"/>
          <w:b w:val="false"/>
          <w:bCs w:val="false"/>
          <w:i w:val="false"/>
          <w:iCs w:val="false"/>
          <w:color w:val="222222"/>
          <w:sz w:val="20"/>
          <w:szCs w:val="20"/>
        </w:rPr>
        <w:t xml:space="preserve">Debt-like items in Nigerian SME context: director loans, unfunded staff terminal benefits, deferred customer deposits (pre-revenue), operating lease liabilities, unfunded tax assessments, and personal liabilities guaranteed by the company.</w:t>
      </w:r>
    </w:p>
    <w:p>
      <w:pPr>
        <w:pStyle w:val="Heading2"/>
        <w:pBdr>
          <w:bottom w:val="single" w:color="2E5F8A" w:sz="4" w:space="4"/>
        </w:pBdr>
        <w:spacing w:after="120" w:before="280"/>
      </w:pPr>
      <w:r>
        <w:rPr>
          <w:rFonts w:ascii="Arial" w:cs="Arial" w:eastAsia="Arial" w:hAnsi="Arial"/>
          <w:b/>
          <w:bCs/>
          <w:color w:val="2E5F8A"/>
          <w:sz w:val="26"/>
          <w:szCs w:val="26"/>
        </w:rPr>
        <w:t xml:space="preserve">Module 9: Sell-Side Readiness Score</w:t>
      </w:r>
    </w:p>
    <w:p>
      <w:pPr>
        <w:spacing w:after="100" w:before="60"/>
      </w:pPr>
      <w:r>
        <w:rPr>
          <w:rFonts w:ascii="Arial" w:cs="Arial" w:eastAsia="Arial" w:hAnsi="Arial"/>
          <w:b w:val="false"/>
          <w:bCs w:val="false"/>
          <w:i w:val="false"/>
          <w:iCs w:val="false"/>
          <w:color w:val="222222"/>
          <w:sz w:val="20"/>
          <w:szCs w:val="20"/>
        </w:rPr>
        <w:t xml:space="preserve">This score is entirely separate from valuation. A business with a ₦500M fundamental value but a readiness score of 35 out of 100 will take 18 months to close at a 20% discount to FOMV, if it closes at all. The readiness score tells the owner what to fix before going to market, which has more practical value than the headline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Points</w:t>
            </w:r>
          </w:p>
        </w:tc>
        <w:tc>
          <w:tcPr>
            <w:tcW w:type="dxa" w:w="51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Questions</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Financial Records Quality</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20</w:t>
            </w:r>
          </w:p>
        </w:tc>
        <w:tc>
          <w:tcPr>
            <w:tcW w:type="dxa" w:w="5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Audited? 3 years available? Bank recs complete?</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Ownership Structure</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20</w:t>
            </w:r>
          </w:p>
        </w:tc>
        <w:tc>
          <w:tcPr>
            <w:tcW w:type="dxa" w:w="5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Clean cap table? Minority disputes? Related-party clarity?</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Customer Concentration</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15</w:t>
            </w:r>
          </w:p>
        </w:tc>
        <w:tc>
          <w:tcPr>
            <w:tcW w:type="dxa" w:w="5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Top 3 clients as % revenue? Written contracts in place?</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Management Depth</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15</w:t>
            </w:r>
          </w:p>
        </w:tc>
        <w:tc>
          <w:tcPr>
            <w:tcW w:type="dxa" w:w="5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Can business operate without owner for 90 days?</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Regulatory Compliance</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15</w:t>
            </w:r>
          </w:p>
        </w:tc>
        <w:tc>
          <w:tcPr>
            <w:tcW w:type="dxa" w:w="5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Taxes current? Licenses valid? CAC/NAFDAC/CBN filings?</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IP &amp; Contract Protection</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15</w:t>
            </w:r>
          </w:p>
        </w:tc>
        <w:tc>
          <w:tcPr>
            <w:tcW w:type="dxa" w:w="5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Trademarks registered? Key staff agreements signed?</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Module 10: Confidence Score and Valuation Risk</w:t>
      </w:r>
    </w:p>
    <w:p>
      <w:pPr>
        <w:spacing w:after="100" w:before="60"/>
      </w:pPr>
      <w:r>
        <w:rPr>
          <w:rFonts w:ascii="Arial" w:cs="Arial" w:eastAsia="Arial" w:hAnsi="Arial"/>
          <w:b w:val="false"/>
          <w:bCs w:val="false"/>
          <w:i w:val="false"/>
          <w:iCs w:val="false"/>
          <w:color w:val="222222"/>
          <w:sz w:val="20"/>
          <w:szCs w:val="20"/>
        </w:rPr>
        <w:t xml:space="preserve">The confidence score drives the valuation range. A narrow range on low-confidence inputs is a lie. The score is computed from four independent sub-scores and translates directly into the width of the valuation band presented to the user.</w:t>
      </w:r>
    </w:p>
    <w:p>
      <w:pPr>
        <w:pBdr>
          <w:left w:val="single" w:color="2E5F8A" w:sz="8" w:space="8"/>
        </w:pBdr>
        <w:spacing w:after="80" w:before="80"/>
        <w:ind w:left="720"/>
      </w:pPr>
      <w:r>
        <w:rPr>
          <w:rFonts w:ascii="Courier New" w:cs="Courier New" w:eastAsia="Courier New" w:hAnsi="Courier New"/>
          <w:color w:val="1F3864"/>
          <w:sz w:val="18"/>
          <w:szCs w:val="18"/>
        </w:rPr>
        <w:t xml:space="preserve">Confidence_Score = 0.30 x Data_Completeness + 0.30 x Records_Quality + 0.20 x Comp_Availability + 0.20 x Earnings_Stability</w:t>
      </w:r>
    </w:p>
    <w:p>
      <w:pPr>
        <w:pBdr>
          <w:left w:val="single" w:color="2E5F8A" w:sz="8" w:space="8"/>
        </w:pBdr>
        <w:spacing w:after="80" w:before="80"/>
        <w:ind w:left="720"/>
      </w:pPr>
      <w:r>
        <w:rPr>
          <w:rFonts w:ascii="Courier New" w:cs="Courier New" w:eastAsia="Courier New" w:hAnsi="Courier New"/>
          <w:color w:val="1F3864"/>
          <w:sz w:val="18"/>
          <w:szCs w:val="18"/>
        </w:rPr>
        <w:t xml:space="preserve">Range_Width = Base_Width x (1 + (1 - Confidence_Score/100) x 0.8)</w:t>
      </w:r>
    </w:p>
    <w:p>
      <w:pPr>
        <w:spacing w:after="100" w:before="60"/>
      </w:pPr>
      <w:r>
        <w:rPr>
          <w:rFonts w:ascii="Arial" w:cs="Arial" w:eastAsia="Arial" w:hAnsi="Arial"/>
          <w:b w:val="false"/>
          <w:bCs w:val="false"/>
          <w:i w:val="false"/>
          <w:iCs w:val="false"/>
          <w:color w:val="222222"/>
          <w:sz w:val="20"/>
          <w:szCs w:val="20"/>
        </w:rPr>
        <w:t xml:space="preserve">A confidence score of 90 might produce a ±12% range. A score of 40 should produce a ±40% range. Presenting ±15% on a 40-score engagement is irresponsible.</w:t>
      </w:r>
    </w:p>
    <w:p>
      <w:pPr>
        <w:pStyle w:val="Heading2"/>
        <w:pBdr>
          <w:bottom w:val="single" w:color="2E5F8A" w:sz="4" w:space="4"/>
        </w:pBdr>
        <w:spacing w:after="120" w:before="280"/>
      </w:pPr>
      <w:r>
        <w:rPr>
          <w:rFonts w:ascii="Arial" w:cs="Arial" w:eastAsia="Arial" w:hAnsi="Arial"/>
          <w:b/>
          <w:bCs/>
          <w:color w:val="2E5F8A"/>
          <w:sz w:val="26"/>
          <w:szCs w:val="26"/>
        </w:rPr>
        <w:t xml:space="preserve">Module 11: Audit Trail and Governance</w:t>
      </w:r>
    </w:p>
    <w:p>
      <w:pPr>
        <w:spacing w:after="100" w:before="60"/>
      </w:pPr>
      <w:r>
        <w:rPr>
          <w:rFonts w:ascii="Arial" w:cs="Arial" w:eastAsia="Arial" w:hAnsi="Arial"/>
          <w:b w:val="false"/>
          <w:bCs w:val="false"/>
          <w:i w:val="false"/>
          <w:iCs w:val="false"/>
          <w:color w:val="222222"/>
          <w:sz w:val="20"/>
          <w:szCs w:val="20"/>
        </w:rPr>
        <w:t xml:space="preserve">Every input is logged. Every assumption is documented. Every analyst override is flagged and must include a rationale string. Outputs are versioned and timestamped. The module also flags which fields were auto-calculated versus manually entered or analyst-adjusted, so any future reviewer can trace exactly where judgment calls were made.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03</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Level 1 / Level 2 Taxonomy: Method Implications</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Level 1 is sector. Level 2 is business model subtype within that sector. Every material valuation decision flows from Level 2, not Level 1. The table below maps L2 classifications to their method implications.</w:t>
      </w:r>
    </w:p>
    <w:p>
      <w:pPr>
        <w:spacing w:after="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700"/>
        <w:gridCol w:w="1700"/>
        <w:gridCol w:w="1700"/>
        <w:gridCol w:w="2960"/>
      </w:tblGrid>
      <w:tr>
        <w:trPr>
          <w:tblHeader/>
        </w:trPr>
        <w:tc>
          <w:tcPr>
            <w:tcW w:type="dxa" w:w="13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L1 Sector</w:t>
            </w:r>
          </w:p>
        </w:tc>
        <w:tc>
          <w:tcPr>
            <w:tcW w:type="dxa" w:w="20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L2 Model</w:t>
            </w:r>
          </w:p>
        </w:tc>
        <w:tc>
          <w:tcPr>
            <w:tcW w:type="dxa" w:w="17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Method</w:t>
            </w:r>
          </w:p>
        </w:tc>
        <w:tc>
          <w:tcPr>
            <w:tcW w:type="dxa" w:w="17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Secondary Method</w:t>
            </w:r>
          </w:p>
        </w:tc>
        <w:tc>
          <w:tcPr>
            <w:tcW w:type="dxa" w:w="17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Multiple(s)</w:t>
            </w:r>
          </w:p>
        </w:tc>
        <w:tc>
          <w:tcPr>
            <w:tcW w:type="dxa" w:w="29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Risk Driver</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Technology</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SaaS / Recurring Software</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DCF</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(Revenue)</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EV/ARR, EV/Revenue</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Churn rate, CAC payback</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Technology</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IT Services / Project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Cap. Earnings</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 (EBITDA)</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EV/EBITDA, EV/SDE</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Client concentration, key-man</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Healthcare</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Diagnostics / Labs</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(EBITDA)</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DCF</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EV/EBITDA, EV/Revenue</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Regulatory, equipment life</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Healthcare</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Pharma Distribution</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 (EBITDA)</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Asset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EV/EBITDA, EV/Revenue</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Inventory obsolescence, FX</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FMCG</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Manufacturing</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(EBITDA)</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EV/EBITDA</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Capex intensity, raw material FX</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FMCG</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Distribution / Trading</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Cap. Earnings</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Asset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EV/EBITDA, EV/SDE</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Working capital, margin compression</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Financial Services</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Microfinance</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Income (P/E)</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(P/B)</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 P/B</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NPL ratio, regulatory capital</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Professional Services</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Advisory / Consulting</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Cap. Earnings (SDE)</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EV/SDE, EV/EBITDA</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Owner dependence, key-man</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Real Estate</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Developer</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(NAV)</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DCF</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EV/NAV, P/GDV</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FX, permitting, off-plan risk</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Education</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Private School / Training</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Cap. Earnings</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EV/EBITDA, EV/Revenue</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Regulatory, enrollment concentration</w:t>
            </w:r>
          </w:p>
        </w:tc>
      </w:tr>
      <w:tr>
        <w:tc>
          <w:tcPr>
            <w:tcW w:type="dxa" w:w="13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Logistics</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Haulage / Last Mile</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 Earnings</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w:t>
            </w:r>
          </w:p>
        </w:tc>
        <w:tc>
          <w:tcPr>
            <w:tcW w:type="dxa" w:w="17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EV/EBITDA</w:t>
            </w:r>
          </w:p>
        </w:tc>
        <w:tc>
          <w:tcPr>
            <w:tcW w:type="dxa" w:w="2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Fleet age, fuel cost, driver retention</w:t>
            </w:r>
          </w:p>
        </w:tc>
      </w:tr>
      <w:tr>
        <w:tc>
          <w:tcPr>
            <w:tcW w:type="dxa" w:w="13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Hospitality</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Hotel / F&amp;B</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DCF or Asset</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 (EV/RevPAR)</w:t>
            </w:r>
          </w:p>
        </w:tc>
        <w:tc>
          <w:tcPr>
            <w:tcW w:type="dxa" w:w="17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EV/EBITDA, EV/RevPAR</w:t>
            </w:r>
          </w:p>
        </w:tc>
        <w:tc>
          <w:tcPr>
            <w:tcW w:type="dxa" w:w="2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Seasonality, location, brand</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Risk Adjustment by L2 Classification</w:t>
      </w:r>
    </w:p>
    <w:p>
      <w:pPr>
        <w:spacing w:after="100" w:before="60"/>
      </w:pPr>
      <w:r>
        <w:rPr>
          <w:rFonts w:ascii="Arial" w:cs="Arial" w:eastAsia="Arial" w:hAnsi="Arial"/>
          <w:b w:val="false"/>
          <w:bCs w:val="false"/>
          <w:i w:val="false"/>
          <w:iCs w:val="false"/>
          <w:color w:val="222222"/>
          <w:sz w:val="20"/>
          <w:szCs w:val="20"/>
        </w:rPr>
        <w:t xml:space="preserve">Beyond method selection, L2 classification drives company-specific risk premium (CSRP) in the discount rate and the size and direction of market approach adjustments. The following table provides indicative CSRP ranges for Nigerian SMEs. These are starting points, not defaults.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5000"/>
      </w:tblGrid>
      <w:tr>
        <w:trPr>
          <w:tblHeader/>
        </w:trPr>
        <w:tc>
          <w:tcPr>
            <w:tcW w:type="dxa" w:w="25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L2 Classification</w:t>
            </w:r>
          </w:p>
        </w:tc>
        <w:tc>
          <w:tcPr>
            <w:tcW w:type="dxa" w:w="18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CSRP Range (Nigeria)</w:t>
            </w:r>
          </w:p>
        </w:tc>
        <w:tc>
          <w:tcPr>
            <w:tcW w:type="dxa" w:w="50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Drivers</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SaaS / Recurring Revenue</w:t>
            </w:r>
          </w:p>
        </w:tc>
        <w:tc>
          <w:tcPr>
            <w:tcW w:type="dxa" w:w="18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4% - 8%</w:t>
            </w:r>
          </w:p>
        </w:tc>
        <w:tc>
          <w:tcPr>
            <w:tcW w:type="dxa" w:w="5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Churn predictability, product differentiation</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IT Services / Project Revenue</w:t>
            </w:r>
          </w:p>
        </w:tc>
        <w:tc>
          <w:tcPr>
            <w:tcW w:type="dxa" w:w="18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6% - 12%</w:t>
            </w:r>
          </w:p>
        </w:tc>
        <w:tc>
          <w:tcPr>
            <w:tcW w:type="dxa" w:w="5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Client concentration, key-person dependency</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Professional Services</w:t>
            </w:r>
          </w:p>
        </w:tc>
        <w:tc>
          <w:tcPr>
            <w:tcW w:type="dxa" w:w="18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8% - 15%</w:t>
            </w:r>
          </w:p>
        </w:tc>
        <w:tc>
          <w:tcPr>
            <w:tcW w:type="dxa" w:w="5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Owner dependence, non-recurring revenue</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Distribution / Trading</w:t>
            </w:r>
          </w:p>
        </w:tc>
        <w:tc>
          <w:tcPr>
            <w:tcW w:type="dxa" w:w="18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6% - 11%</w:t>
            </w:r>
          </w:p>
        </w:tc>
        <w:tc>
          <w:tcPr>
            <w:tcW w:type="dxa" w:w="5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Working capital risk, margin volatility, FX exposure</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Manufacturing</w:t>
            </w:r>
          </w:p>
        </w:tc>
        <w:tc>
          <w:tcPr>
            <w:tcW w:type="dxa" w:w="18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 - 10%</w:t>
            </w:r>
          </w:p>
        </w:tc>
        <w:tc>
          <w:tcPr>
            <w:tcW w:type="dxa" w:w="5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Capex cycle, raw material cost, power costs (Nigeria)</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Healthcare Services</w:t>
            </w:r>
          </w:p>
        </w:tc>
        <w:tc>
          <w:tcPr>
            <w:tcW w:type="dxa" w:w="18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4% - 9%</w:t>
            </w:r>
          </w:p>
        </w:tc>
        <w:tc>
          <w:tcPr>
            <w:tcW w:type="dxa" w:w="5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Regulatory risk, payer mix concentration</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Financial Services</w:t>
            </w:r>
          </w:p>
        </w:tc>
        <w:tc>
          <w:tcPr>
            <w:tcW w:type="dxa" w:w="18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7% - 14%</w:t>
            </w:r>
          </w:p>
        </w:tc>
        <w:tc>
          <w:tcPr>
            <w:tcW w:type="dxa" w:w="5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Credit risk, regulatory capital, NPL sensitivity</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Education</w:t>
            </w:r>
          </w:p>
        </w:tc>
        <w:tc>
          <w:tcPr>
            <w:tcW w:type="dxa" w:w="18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5% - 10%</w:t>
            </w:r>
          </w:p>
        </w:tc>
        <w:tc>
          <w:tcPr>
            <w:tcW w:type="dxa" w:w="5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Enrollment risk, regulatory, infrastructure</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Real Estate Development</w:t>
            </w:r>
          </w:p>
        </w:tc>
        <w:tc>
          <w:tcPr>
            <w:tcW w:type="dxa" w:w="18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10% - 20%</w:t>
            </w:r>
          </w:p>
        </w:tc>
        <w:tc>
          <w:tcPr>
            <w:tcW w:type="dxa" w:w="5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timing, construction risk, FX (USD costs)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04</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Quantified Normalization Model</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Each adjustment type has a formula, a direction, a Nigerian context note, and an analyst-review requirement. The normalization module must produce a complete adjustment schedule that can be reviewed line by line.</w:t>
      </w:r>
    </w:p>
    <w:p>
      <w:pPr>
        <w:pStyle w:val="Heading2"/>
        <w:pBdr>
          <w:bottom w:val="single" w:color="2E5F8A" w:sz="4" w:space="4"/>
        </w:pBdr>
        <w:spacing w:after="120" w:before="280"/>
      </w:pPr>
      <w:r>
        <w:rPr>
          <w:rFonts w:ascii="Arial" w:cs="Arial" w:eastAsia="Arial" w:hAnsi="Arial"/>
          <w:b/>
          <w:bCs/>
          <w:color w:val="2E5F8A"/>
          <w:sz w:val="26"/>
          <w:szCs w:val="26"/>
        </w:rPr>
        <w:t xml:space="preserve">4.1 Owner Compensation Adjustment (OCA)</w:t>
      </w:r>
    </w:p>
    <w:p>
      <w:pPr>
        <w:pBdr>
          <w:left w:val="single" w:color="2E5F8A" w:sz="8" w:space="8"/>
        </w:pBdr>
        <w:spacing w:after="80" w:before="80"/>
        <w:ind w:left="720"/>
      </w:pPr>
      <w:r>
        <w:rPr>
          <w:rFonts w:ascii="Courier New" w:cs="Courier New" w:eastAsia="Courier New" w:hAnsi="Courier New"/>
          <w:color w:val="1F3864"/>
          <w:sz w:val="18"/>
          <w:szCs w:val="18"/>
        </w:rPr>
        <w:t xml:space="preserve">OCA = Reported_Total_Owner_Comp - Market_Replacement_Cost_CEO</w:t>
      </w:r>
    </w:p>
    <w:p>
      <w:pPr>
        <w:spacing w:after="100" w:before="60"/>
      </w:pPr>
      <w:r>
        <w:rPr>
          <w:rFonts w:ascii="Arial" w:cs="Arial" w:eastAsia="Arial" w:hAnsi="Arial"/>
          <w:b w:val="false"/>
          <w:bCs w:val="false"/>
          <w:i w:val="false"/>
          <w:iCs w:val="false"/>
          <w:color w:val="222222"/>
          <w:sz w:val="20"/>
          <w:szCs w:val="20"/>
        </w:rPr>
        <w:t xml:space="preserve">Reported_Total_Owner_Comp includes: salary, director fees, car allowance, housing allowance, discretionary bonuses, insurance premiums paid personally, and pension contributions. Market_Replacement_Cost_CEO is the all-in cost to hire a professional managing director with equivalent responsibilities in the same sector and market.</w:t>
      </w:r>
    </w:p>
    <w:p>
      <w:pPr>
        <w:spacing w:after="100" w:before="60"/>
      </w:pPr>
      <w:r>
        <w:rPr>
          <w:rFonts w:ascii="Arial" w:cs="Arial" w:eastAsia="Arial" w:hAnsi="Arial"/>
          <w:b w:val="false"/>
          <w:bCs w:val="false"/>
          <w:i w:val="false"/>
          <w:iCs w:val="false"/>
          <w:color w:val="222222"/>
          <w:sz w:val="20"/>
          <w:szCs w:val="20"/>
        </w:rPr>
        <w:t xml:space="preserve">Direction: If owner is overpaid vs market, OCA is positive (add back to EBITDA). If owner is underpaid (common in early-stage), OCA is negative (reduces EBITDA). Both are real. Ignoring underpayment overstates maintainable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DC" w:sz="1"/>
              <w:left w:val="single" w:color="C5D0DC" w:sz="1"/>
              <w:bottom w:val="single" w:color="C5D0DC" w:sz="1"/>
              <w:right w:val="single" w:color="C5D0DC" w:sz="1"/>
            </w:tcBorders>
            <w:shd w:fill="D9E4F0" w:val="clear"/>
            <w:tcMar>
              <w:top w:type="dxa" w:w="120"/>
              <w:left w:type="dxa" w:w="200"/>
              <w:bottom w:type="dxa" w:w="120"/>
              <w:right w:type="dxa" w:w="200"/>
            </w:tcMar>
          </w:tcPr>
          <w:p>
            <w:r>
              <w:rPr>
                <w:rFonts w:ascii="Arial" w:cs="Arial" w:eastAsia="Arial" w:hAnsi="Arial"/>
                <w:i/>
                <w:iCs/>
                <w:color w:val="333333"/>
                <w:sz w:val="18"/>
                <w:szCs w:val="18"/>
              </w:rPr>
              <w:t xml:space="preserve">Nigerian context: Market MD salary for a ₦300M-700M revenue SME is approximately ₦20M-45M per annum all-in. Owners frequently pay themselves ₦80M+ in total compensation. The differential is a real, quantifiable adjustment. Analyst must confirm market rate; this cannot be auto-populated reliably.</w:t>
            </w:r>
          </w:p>
        </w:tc>
      </w:tr>
    </w:tbl>
    <w:p>
      <w:pPr>
        <w:pStyle w:val="Heading2"/>
        <w:pBdr>
          <w:bottom w:val="single" w:color="2E5F8A" w:sz="4" w:space="4"/>
        </w:pBdr>
        <w:spacing w:after="120" w:before="280"/>
      </w:pPr>
      <w:r>
        <w:rPr>
          <w:rFonts w:ascii="Arial" w:cs="Arial" w:eastAsia="Arial" w:hAnsi="Arial"/>
          <w:b/>
          <w:bCs/>
          <w:color w:val="2E5F8A"/>
          <w:sz w:val="26"/>
          <w:szCs w:val="26"/>
        </w:rPr>
        <w:t xml:space="preserve">4.2 Related-Party Rent Adjustment (RPRA)</w:t>
      </w:r>
    </w:p>
    <w:p>
      <w:pPr>
        <w:pBdr>
          <w:left w:val="single" w:color="2E5F8A" w:sz="8" w:space="8"/>
        </w:pBdr>
        <w:spacing w:after="80" w:before="80"/>
        <w:ind w:left="720"/>
      </w:pPr>
      <w:r>
        <w:rPr>
          <w:rFonts w:ascii="Courier New" w:cs="Courier New" w:eastAsia="Courier New" w:hAnsi="Courier New"/>
          <w:color w:val="1F3864"/>
          <w:sz w:val="18"/>
          <w:szCs w:val="18"/>
        </w:rPr>
        <w:t xml:space="preserve">RPRA = Reported_Rent_Paid_to_Related_Party - Market_Rent_Equivalent</w:t>
      </w:r>
    </w:p>
    <w:p>
      <w:pPr>
        <w:spacing w:after="100" w:before="60"/>
      </w:pPr>
      <w:r>
        <w:rPr>
          <w:rFonts w:ascii="Arial" w:cs="Arial" w:eastAsia="Arial" w:hAnsi="Arial"/>
          <w:b w:val="false"/>
          <w:bCs w:val="false"/>
          <w:i w:val="false"/>
          <w:iCs w:val="false"/>
          <w:color w:val="222222"/>
          <w:sz w:val="20"/>
          <w:szCs w:val="20"/>
        </w:rPr>
        <w:t xml:space="preserve">If the business rents its premises from the owner or a related party, the rent paid may be above or below market. Above-market rent is a hidden owner extraction and must be added back. Below-market rent is an implicit subsidy that a buyer may not enjoy post-acquisition and must be subtracted.</w:t>
      </w:r>
    </w:p>
    <w:p>
      <w:pPr>
        <w:spacing w:after="100" w:before="60"/>
      </w:pPr>
      <w:r>
        <w:rPr>
          <w:rFonts w:ascii="Arial" w:cs="Arial" w:eastAsia="Arial" w:hAnsi="Arial"/>
          <w:b w:val="false"/>
          <w:bCs w:val="false"/>
          <w:i w:val="false"/>
          <w:iCs w:val="false"/>
          <w:color w:val="222222"/>
          <w:sz w:val="20"/>
          <w:szCs w:val="20"/>
        </w:rPr>
        <w:t xml:space="preserve">Market rent should be assessed from comparable lease data for the specific location, size, and use class. In Lagos or Abuja, this requires at minimum a cursory market check. The analyst cannot auto-populate this from a formula.</w:t>
      </w:r>
    </w:p>
    <w:p>
      <w:pPr>
        <w:pStyle w:val="Heading2"/>
        <w:pBdr>
          <w:bottom w:val="single" w:color="2E5F8A" w:sz="4" w:space="4"/>
        </w:pBdr>
        <w:spacing w:after="120" w:before="280"/>
      </w:pPr>
      <w:r>
        <w:rPr>
          <w:rFonts w:ascii="Arial" w:cs="Arial" w:eastAsia="Arial" w:hAnsi="Arial"/>
          <w:b/>
          <w:bCs/>
          <w:color w:val="2E5F8A"/>
          <w:sz w:val="26"/>
          <w:szCs w:val="26"/>
        </w:rPr>
        <w:t xml:space="preserve">4.3 Personal Expense Adjustment (PEA)</w:t>
      </w:r>
    </w:p>
    <w:p>
      <w:pPr>
        <w:pBdr>
          <w:left w:val="single" w:color="2E5F8A" w:sz="8" w:space="8"/>
        </w:pBdr>
        <w:spacing w:after="80" w:before="80"/>
        <w:ind w:left="720"/>
      </w:pPr>
      <w:r>
        <w:rPr>
          <w:rFonts w:ascii="Courier New" w:cs="Courier New" w:eastAsia="Courier New" w:hAnsi="Courier New"/>
          <w:color w:val="1F3864"/>
          <w:sz w:val="18"/>
          <w:szCs w:val="18"/>
        </w:rPr>
        <w:t xml:space="preserve">PEA = Sum of all documented personal expenses charged to the business P&amp;L</w:t>
      </w:r>
    </w:p>
    <w:p>
      <w:pPr>
        <w:spacing w:after="100" w:before="60"/>
      </w:pPr>
      <w:r>
        <w:rPr>
          <w:rFonts w:ascii="Arial" w:cs="Arial" w:eastAsia="Arial" w:hAnsi="Arial"/>
          <w:b w:val="false"/>
          <w:bCs w:val="false"/>
          <w:i w:val="false"/>
          <w:iCs w:val="false"/>
          <w:color w:val="222222"/>
          <w:sz w:val="20"/>
          <w:szCs w:val="20"/>
        </w:rPr>
        <w:t xml:space="preserve">Common examples: school fees, personal travel, personal vehicle costs beyond business use, family members on payroll with no genuine role, personal insurance, personal subscriptions. Each item is identified, confirmed, and added back individually. A blanket estimate is not acceptable.</w:t>
      </w:r>
    </w:p>
    <w:p>
      <w:pPr>
        <w:pStyle w:val="Heading2"/>
        <w:pBdr>
          <w:bottom w:val="single" w:color="2E5F8A" w:sz="4" w:space="4"/>
        </w:pBdr>
        <w:spacing w:after="120" w:before="280"/>
      </w:pPr>
      <w:r>
        <w:rPr>
          <w:rFonts w:ascii="Arial" w:cs="Arial" w:eastAsia="Arial" w:hAnsi="Arial"/>
          <w:b/>
          <w:bCs/>
          <w:color w:val="2E5F8A"/>
          <w:sz w:val="26"/>
          <w:szCs w:val="26"/>
        </w:rPr>
        <w:t xml:space="preserve">4.4 One-Off Items (OOI)</w:t>
      </w:r>
    </w:p>
    <w:p>
      <w:pPr>
        <w:pBdr>
          <w:left w:val="single" w:color="2E5F8A" w:sz="8" w:space="8"/>
        </w:pBdr>
        <w:spacing w:after="80" w:before="80"/>
        <w:ind w:left="720"/>
      </w:pPr>
      <w:r>
        <w:rPr>
          <w:rFonts w:ascii="Courier New" w:cs="Courier New" w:eastAsia="Courier New" w:hAnsi="Courier New"/>
          <w:color w:val="1F3864"/>
          <w:sz w:val="18"/>
          <w:szCs w:val="18"/>
        </w:rPr>
        <w:t xml:space="preserve">Net_OOI = Sum_i [ Amount_i x Direction_i x (1 - P_Recurrence_i) ]</w:t>
      </w:r>
    </w:p>
    <w:p>
      <w:pPr>
        <w:spacing w:after="100" w:before="60"/>
      </w:pPr>
      <w:r>
        <w:rPr>
          <w:rFonts w:ascii="Arial" w:cs="Arial" w:eastAsia="Arial" w:hAnsi="Arial"/>
          <w:b w:val="false"/>
          <w:bCs w:val="false"/>
          <w:i w:val="false"/>
          <w:iCs w:val="false"/>
          <w:color w:val="222222"/>
          <w:sz w:val="20"/>
          <w:szCs w:val="20"/>
        </w:rPr>
        <w:t xml:space="preserve">Direction is +1 for expenses (add back) and -1 for non-recurring income (remove). P_Recurrence is the analyst's assessed probability that the item recurs. A legal settlement paid once is P_Recurrence = 0. A cyclical repair expense incurred every three years might be P_Recurrence = 0.33, meaning 67% of it is normalized out.</w:t>
      </w:r>
    </w:p>
    <w:p>
      <w:pPr>
        <w:spacing w:after="100" w:before="60"/>
      </w:pPr>
      <w:r>
        <w:rPr>
          <w:rFonts w:ascii="Arial" w:cs="Arial" w:eastAsia="Arial" w:hAnsi="Arial"/>
          <w:b w:val="false"/>
          <w:bCs w:val="false"/>
          <w:i w:val="false"/>
          <w:iCs w:val="false"/>
          <w:color w:val="222222"/>
          <w:sz w:val="20"/>
          <w:szCs w:val="20"/>
        </w:rPr>
        <w:t xml:space="preserve">One-off income items are frequently more significant than one-off expenses in Nigerian SMEs. A large government contract that landed once, or a forex gain on a single transaction, must be removed from the maintainable earnings base.</w:t>
      </w:r>
    </w:p>
    <w:p>
      <w:pPr>
        <w:pStyle w:val="Heading2"/>
        <w:pBdr>
          <w:bottom w:val="single" w:color="2E5F8A" w:sz="4" w:space="4"/>
        </w:pBdr>
        <w:spacing w:after="120" w:before="280"/>
      </w:pPr>
      <w:r>
        <w:rPr>
          <w:rFonts w:ascii="Arial" w:cs="Arial" w:eastAsia="Arial" w:hAnsi="Arial"/>
          <w:b/>
          <w:bCs/>
          <w:color w:val="2E5F8A"/>
          <w:sz w:val="26"/>
          <w:szCs w:val="26"/>
        </w:rPr>
        <w:t xml:space="preserve">4.5 Non-Operating Assets and Liabilities (NOAL)</w:t>
      </w:r>
    </w:p>
    <w:p>
      <w:pPr>
        <w:pBdr>
          <w:left w:val="single" w:color="2E5F8A" w:sz="8" w:space="8"/>
        </w:pBdr>
        <w:spacing w:after="80" w:before="80"/>
        <w:ind w:left="720"/>
      </w:pPr>
      <w:r>
        <w:rPr>
          <w:rFonts w:ascii="Courier New" w:cs="Courier New" w:eastAsia="Courier New" w:hAnsi="Courier New"/>
          <w:color w:val="1F3864"/>
          <w:sz w:val="18"/>
          <w:szCs w:val="18"/>
        </w:rPr>
        <w:t xml:space="preserve">NOAA = FMV of assets not required to generate operating earnings</w:t>
      </w:r>
    </w:p>
    <w:p>
      <w:pPr>
        <w:pBdr>
          <w:left w:val="single" w:color="2E5F8A" w:sz="8" w:space="8"/>
        </w:pBdr>
        <w:spacing w:after="80" w:before="80"/>
        <w:ind w:left="720"/>
      </w:pPr>
      <w:r>
        <w:rPr>
          <w:rFonts w:ascii="Courier New" w:cs="Courier New" w:eastAsia="Courier New" w:hAnsi="Courier New"/>
          <w:color w:val="1F3864"/>
          <w:sz w:val="18"/>
          <w:szCs w:val="18"/>
        </w:rPr>
        <w:t xml:space="preserve">NOAL = FMV of liabilities associated with non-operating assets</w:t>
      </w:r>
    </w:p>
    <w:p>
      <w:pPr>
        <w:spacing w:after="100" w:before="60"/>
      </w:pPr>
      <w:r>
        <w:rPr>
          <w:rFonts w:ascii="Arial" w:cs="Arial" w:eastAsia="Arial" w:hAnsi="Arial"/>
          <w:b w:val="false"/>
          <w:bCs w:val="false"/>
          <w:i w:val="false"/>
          <w:iCs w:val="false"/>
          <w:color w:val="222222"/>
          <w:sz w:val="20"/>
          <w:szCs w:val="20"/>
        </w:rPr>
        <w:t xml:space="preserve">These items bypass normalized EBITDA and go directly into the EV-to-equity bridge. Examples: personal-use property held inside the company, excess land not used in operations, investments in unrelated entities. The income from these assets (dividends, rent) must also be removed from normalized EBITDA if included.</w:t>
      </w:r>
    </w:p>
    <w:p>
      <w:pPr>
        <w:pStyle w:val="Heading2"/>
        <w:pBdr>
          <w:bottom w:val="single" w:color="2E5F8A" w:sz="4" w:space="4"/>
        </w:pBdr>
        <w:spacing w:after="120" w:before="280"/>
      </w:pPr>
      <w:r>
        <w:rPr>
          <w:rFonts w:ascii="Arial" w:cs="Arial" w:eastAsia="Arial" w:hAnsi="Arial"/>
          <w:b/>
          <w:bCs/>
          <w:color w:val="2E5F8A"/>
          <w:sz w:val="26"/>
          <w:szCs w:val="26"/>
        </w:rPr>
        <w:t xml:space="preserve">4.6 Debt-Like Items (DLI)</w:t>
      </w:r>
    </w:p>
    <w:p>
      <w:pPr>
        <w:spacing w:after="100" w:before="60"/>
      </w:pPr>
      <w:r>
        <w:rPr>
          <w:rFonts w:ascii="Arial" w:cs="Arial" w:eastAsia="Arial" w:hAnsi="Arial"/>
          <w:b w:val="false"/>
          <w:bCs w:val="false"/>
          <w:i w:val="false"/>
          <w:iCs w:val="false"/>
          <w:color w:val="222222"/>
          <w:sz w:val="20"/>
          <w:szCs w:val="20"/>
        </w:rPr>
        <w:t xml:space="preserve">Debt-like items reduce equity value but are not always captured on a formal balance sheet. In Nigerian SME contexts, the most material items are:</w:t>
      </w:r>
    </w:p>
    <w:p>
      <w:pPr>
        <w:pStyle w:val="ListParagraph"/>
        <w:numPr>
          <w:ilvl w:val="0"/>
          <w:numId w:val="2"/>
        </w:numPr>
        <w:spacing w:after="60" w:before="40"/>
      </w:pPr>
      <w:r>
        <w:rPr>
          <w:rFonts w:ascii="Arial" w:cs="Arial" w:eastAsia="Arial" w:hAnsi="Arial"/>
          <w:color w:val="222222"/>
          <w:sz w:val="20"/>
          <w:szCs w:val="20"/>
        </w:rPr>
        <w:t xml:space="preserve">Director / shareholder loans: actual balance outstanding at valuation date</w:t>
      </w:r>
    </w:p>
    <w:p>
      <w:pPr>
        <w:pStyle w:val="ListParagraph"/>
        <w:numPr>
          <w:ilvl w:val="0"/>
          <w:numId w:val="2"/>
        </w:numPr>
        <w:spacing w:after="60" w:before="40"/>
      </w:pPr>
      <w:r>
        <w:rPr>
          <w:rFonts w:ascii="Arial" w:cs="Arial" w:eastAsia="Arial" w:hAnsi="Arial"/>
          <w:color w:val="222222"/>
          <w:sz w:val="20"/>
          <w:szCs w:val="20"/>
        </w:rPr>
        <w:t xml:space="preserve">Deferred customer deposits: amounts received from customers for goods or services not yet delivered</w:t>
      </w:r>
    </w:p>
    <w:p>
      <w:pPr>
        <w:pStyle w:val="ListParagraph"/>
        <w:numPr>
          <w:ilvl w:val="0"/>
          <w:numId w:val="2"/>
        </w:numPr>
        <w:spacing w:after="60" w:before="40"/>
      </w:pPr>
      <w:r>
        <w:rPr>
          <w:rFonts w:ascii="Arial" w:cs="Arial" w:eastAsia="Arial" w:hAnsi="Arial"/>
          <w:color w:val="222222"/>
          <w:sz w:val="20"/>
          <w:szCs w:val="20"/>
        </w:rPr>
        <w:t xml:space="preserve">Unfunded terminal benefits: statutory gratuity obligations not accrued on the books</w:t>
      </w:r>
    </w:p>
    <w:p>
      <w:pPr>
        <w:pStyle w:val="ListParagraph"/>
        <w:numPr>
          <w:ilvl w:val="0"/>
          <w:numId w:val="2"/>
        </w:numPr>
        <w:spacing w:after="60" w:before="40"/>
      </w:pPr>
      <w:r>
        <w:rPr>
          <w:rFonts w:ascii="Arial" w:cs="Arial" w:eastAsia="Arial" w:hAnsi="Arial"/>
          <w:color w:val="222222"/>
          <w:sz w:val="20"/>
          <w:szCs w:val="20"/>
        </w:rPr>
        <w:t xml:space="preserve">Disputed tax assessments: any FIRS or LIRS assessments under review</w:t>
      </w:r>
    </w:p>
    <w:p>
      <w:pPr>
        <w:pStyle w:val="ListParagraph"/>
        <w:numPr>
          <w:ilvl w:val="0"/>
          <w:numId w:val="2"/>
        </w:numPr>
        <w:spacing w:after="60" w:before="40"/>
      </w:pPr>
      <w:r>
        <w:rPr>
          <w:rFonts w:ascii="Arial" w:cs="Arial" w:eastAsia="Arial" w:hAnsi="Arial"/>
          <w:color w:val="222222"/>
          <w:sz w:val="20"/>
          <w:szCs w:val="20"/>
        </w:rPr>
        <w:t xml:space="preserve">Contingent liabilities: warranties, pending litigation, guarantees</w:t>
      </w:r>
    </w:p>
    <w:p>
      <w:pPr>
        <w:pBdr>
          <w:left w:val="single" w:color="2E5F8A" w:sz="8" w:space="8"/>
        </w:pBdr>
        <w:spacing w:after="80" w:before="80"/>
        <w:ind w:left="720"/>
      </w:pPr>
      <w:r>
        <w:rPr>
          <w:rFonts w:ascii="Courier New" w:cs="Courier New" w:eastAsia="Courier New" w:hAnsi="Courier New"/>
          <w:color w:val="1F3864"/>
          <w:sz w:val="18"/>
          <w:szCs w:val="18"/>
        </w:rPr>
        <w:t xml:space="preserve">Total_DLI = Sum of all debt-like items at face or assessed market value</w:t>
      </w:r>
    </w:p>
    <w:p>
      <w:pPr>
        <w:pStyle w:val="Heading2"/>
        <w:pBdr>
          <w:bottom w:val="single" w:color="2E5F8A" w:sz="4" w:space="4"/>
        </w:pBdr>
        <w:spacing w:after="120" w:before="280"/>
      </w:pPr>
      <w:r>
        <w:rPr>
          <w:rFonts w:ascii="Arial" w:cs="Arial" w:eastAsia="Arial" w:hAnsi="Arial"/>
          <w:b/>
          <w:bCs/>
          <w:color w:val="2E5F8A"/>
          <w:sz w:val="26"/>
          <w:szCs w:val="26"/>
        </w:rPr>
        <w:t xml:space="preserve">4.7 Working Capital Normalization (WCN)</w:t>
      </w:r>
    </w:p>
    <w:p>
      <w:pPr>
        <w:pBdr>
          <w:left w:val="single" w:color="2E5F8A" w:sz="8" w:space="8"/>
        </w:pBdr>
        <w:spacing w:after="80" w:before="80"/>
        <w:ind w:left="720"/>
      </w:pPr>
      <w:r>
        <w:rPr>
          <w:rFonts w:ascii="Courier New" w:cs="Courier New" w:eastAsia="Courier New" w:hAnsi="Courier New"/>
          <w:color w:val="1F3864"/>
          <w:sz w:val="18"/>
          <w:szCs w:val="18"/>
        </w:rPr>
        <w:t xml:space="preserve">NWC_Actual = (Current Assets - Cash - Non-Op Assets) - (Current Liabilities - Short-Term Debt)</w:t>
      </w:r>
    </w:p>
    <w:p>
      <w:pPr>
        <w:pBdr>
          <w:left w:val="single" w:color="2E5F8A" w:sz="8" w:space="8"/>
        </w:pBdr>
        <w:spacing w:after="80" w:before="80"/>
        <w:ind w:left="720"/>
      </w:pPr>
      <w:r>
        <w:rPr>
          <w:rFonts w:ascii="Courier New" w:cs="Courier New" w:eastAsia="Courier New" w:hAnsi="Courier New"/>
          <w:color w:val="1F3864"/>
          <w:sz w:val="18"/>
          <w:szCs w:val="18"/>
        </w:rPr>
        <w:t xml:space="preserve">NWC_Normal = Average NWC over trailing 12 months, or Industry NWC % x Revenue</w:t>
      </w:r>
    </w:p>
    <w:p>
      <w:pPr>
        <w:pBdr>
          <w:left w:val="single" w:color="2E5F8A" w:sz="8" w:space="8"/>
        </w:pBdr>
        <w:spacing w:after="80" w:before="80"/>
        <w:ind w:left="720"/>
      </w:pPr>
      <w:r>
        <w:rPr>
          <w:rFonts w:ascii="Courier New" w:cs="Courier New" w:eastAsia="Courier New" w:hAnsi="Courier New"/>
          <w:color w:val="1F3864"/>
          <w:sz w:val="18"/>
          <w:szCs w:val="18"/>
        </w:rPr>
        <w:t xml:space="preserve">WCA = NWC_Actual - NWC_Normal</w:t>
      </w:r>
    </w:p>
    <w:p>
      <w:pPr>
        <w:spacing w:after="100" w:before="60"/>
      </w:pPr>
      <w:r>
        <w:rPr>
          <w:rFonts w:ascii="Arial" w:cs="Arial" w:eastAsia="Arial" w:hAnsi="Arial"/>
          <w:b w:val="false"/>
          <w:bCs w:val="false"/>
          <w:i w:val="false"/>
          <w:iCs w:val="false"/>
          <w:color w:val="222222"/>
          <w:sz w:val="20"/>
          <w:szCs w:val="20"/>
        </w:rPr>
        <w:t xml:space="preserve">If NWC_Actual &gt; NWC_Normal: surplus is handed to the buyer, potentially increasing equity value. If NWC_Actual &lt; NWC_Normal: buyer must fund the deficit, reducing equity value. The 'peg' (agreed NWC level at close) is a commercial negotiation but the analysis must start from a normalized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DC" w:sz="1"/>
              <w:left w:val="single" w:color="C5D0DC" w:sz="1"/>
              <w:bottom w:val="single" w:color="C5D0DC" w:sz="1"/>
              <w:right w:val="single" w:color="C5D0DC" w:sz="1"/>
            </w:tcBorders>
            <w:shd w:fill="D9E4F0" w:val="clear"/>
            <w:tcMar>
              <w:top w:type="dxa" w:w="120"/>
              <w:left w:type="dxa" w:w="200"/>
              <w:bottom w:type="dxa" w:w="120"/>
              <w:right w:type="dxa" w:w="200"/>
            </w:tcMar>
          </w:tcPr>
          <w:p>
            <w:r>
              <w:rPr>
                <w:rFonts w:ascii="Arial" w:cs="Arial" w:eastAsia="Arial" w:hAnsi="Arial"/>
                <w:i/>
                <w:iCs/>
                <w:color w:val="333333"/>
                <w:sz w:val="18"/>
                <w:szCs w:val="18"/>
              </w:rPr>
              <w:t xml:space="preserve">Nigerian context: Stretched payables are endemic. A business showing healthy cash but 180-day payable days is not healthy. The normalization must assess whether payables are at sustainable market terms or artificially compressed to inflate near-term cash.</w:t>
            </w:r>
          </w:p>
        </w:tc>
      </w:tr>
    </w:tbl>
    <w:p>
      <w:pPr>
        <w:pStyle w:val="Heading2"/>
        <w:pBdr>
          <w:bottom w:val="single" w:color="2E5F8A" w:sz="4" w:space="4"/>
        </w:pBdr>
        <w:spacing w:after="120" w:before="280"/>
      </w:pPr>
      <w:r>
        <w:rPr>
          <w:rFonts w:ascii="Arial" w:cs="Arial" w:eastAsia="Arial" w:hAnsi="Arial"/>
          <w:b/>
          <w:bCs/>
          <w:color w:val="2E5F8A"/>
          <w:sz w:val="26"/>
          <w:szCs w:val="26"/>
        </w:rPr>
        <w:t xml:space="preserve">4.8 Maintenance vs Growth Capex</w:t>
      </w:r>
    </w:p>
    <w:p>
      <w:pPr>
        <w:pBdr>
          <w:left w:val="single" w:color="2E5F8A" w:sz="8" w:space="8"/>
        </w:pBdr>
        <w:spacing w:after="80" w:before="80"/>
        <w:ind w:left="720"/>
      </w:pPr>
      <w:r>
        <w:rPr>
          <w:rFonts w:ascii="Courier New" w:cs="Courier New" w:eastAsia="Courier New" w:hAnsi="Courier New"/>
          <w:color w:val="1F3864"/>
          <w:sz w:val="18"/>
          <w:szCs w:val="18"/>
        </w:rPr>
        <w:t xml:space="preserve">Maint_Capex = capex required to maintain existing revenue and capacity</w:t>
      </w:r>
    </w:p>
    <w:p>
      <w:pPr>
        <w:pBdr>
          <w:left w:val="single" w:color="2E5F8A" w:sz="8" w:space="8"/>
        </w:pBdr>
        <w:spacing w:after="80" w:before="80"/>
        <w:ind w:left="720"/>
      </w:pPr>
      <w:r>
        <w:rPr>
          <w:rFonts w:ascii="Courier New" w:cs="Courier New" w:eastAsia="Courier New" w:hAnsi="Courier New"/>
          <w:color w:val="1F3864"/>
          <w:sz w:val="18"/>
          <w:szCs w:val="18"/>
        </w:rPr>
        <w:t xml:space="preserve">Growth_Capex = capex that expands capacity or drives future revenue growth</w:t>
      </w:r>
    </w:p>
    <w:p>
      <w:pPr>
        <w:pBdr>
          <w:left w:val="single" w:color="2E5F8A" w:sz="8" w:space="8"/>
        </w:pBdr>
        <w:spacing w:after="80" w:before="80"/>
        <w:ind w:left="720"/>
      </w:pPr>
      <w:r>
        <w:rPr>
          <w:rFonts w:ascii="Courier New" w:cs="Courier New" w:eastAsia="Courier New" w:hAnsi="Courier New"/>
          <w:color w:val="1F3864"/>
          <w:sz w:val="18"/>
          <w:szCs w:val="18"/>
        </w:rPr>
        <w:t xml:space="preserve">Total_Capex = Maint_Capex + Growth_Capex</w:t>
      </w:r>
    </w:p>
    <w:p>
      <w:pPr>
        <w:spacing w:after="100" w:before="60"/>
      </w:pPr>
      <w:r>
        <w:rPr>
          <w:rFonts w:ascii="Arial" w:cs="Arial" w:eastAsia="Arial" w:hAnsi="Arial"/>
          <w:b w:val="false"/>
          <w:bCs w:val="false"/>
          <w:i w:val="false"/>
          <w:iCs w:val="false"/>
          <w:color w:val="222222"/>
          <w:sz w:val="20"/>
          <w:szCs w:val="20"/>
        </w:rPr>
        <w:t xml:space="preserve">For earnings normalization: Adj_EBIT = Adj_EBITDA - Maint_Capex (not total capex). Growth capex is a value driver that belongs in the DCF model as an explicit outflow, not a deduction from normalized earnings. Conflating the two either penalizes growing businesses or flatters capital-intensive ones.</w:t>
      </w:r>
    </w:p>
    <w:p>
      <w:pPr>
        <w:spacing w:after="100" w:before="60"/>
      </w:pPr>
      <w:r>
        <w:rPr>
          <w:rFonts w:ascii="Arial" w:cs="Arial" w:eastAsia="Arial" w:hAnsi="Arial"/>
          <w:b w:val="false"/>
          <w:bCs w:val="false"/>
          <w:i w:val="false"/>
          <w:iCs w:val="false"/>
          <w:color w:val="222222"/>
          <w:sz w:val="20"/>
          <w:szCs w:val="20"/>
        </w:rPr>
        <w:t xml:space="preserve">A rough proxy for maintenance capex in asset-light service businesses is 1-3% of revenue, or average depreciation of the productive asset base. For capital-intensive businesses, a proper fixed asset review is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05</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Multi-Method Framework and Reconciliation</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5.1 Method Selection Logic</w:t>
      </w:r>
    </w:p>
    <w:p>
      <w:pPr>
        <w:spacing w:after="100" w:before="60"/>
      </w:pPr>
      <w:r>
        <w:rPr>
          <w:rFonts w:ascii="Arial" w:cs="Arial" w:eastAsia="Arial" w:hAnsi="Arial"/>
          <w:b w:val="false"/>
          <w:bCs w:val="false"/>
          <w:i w:val="false"/>
          <w:iCs w:val="false"/>
          <w:color w:val="222222"/>
          <w:sz w:val="20"/>
          <w:szCs w:val="20"/>
        </w:rPr>
        <w:t xml:space="preserve">The primary method is determined by L2 classification, earnings stability, and data quality. The selection tree below is not exhaustive but covers 90% of Nigerian SME cases.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60"/>
        <w:gridCol w:w="2000"/>
      </w:tblGrid>
      <w:tr>
        <w:trPr>
          <w:tblHeader/>
        </w:trPr>
        <w:tc>
          <w:tcPr>
            <w:tcW w:type="dxa" w:w="28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w:t>
            </w:r>
          </w:p>
        </w:tc>
        <w:tc>
          <w:tcPr>
            <w:tcW w:type="dxa" w:w="2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Method</w:t>
            </w:r>
          </w:p>
        </w:tc>
        <w:tc>
          <w:tcPr>
            <w:tcW w:type="dxa" w:w="21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Secondary Method</w:t>
            </w:r>
          </w:p>
        </w:tc>
        <w:tc>
          <w:tcPr>
            <w:tcW w:type="dxa" w:w="20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Asset Floor</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Stable earnings, L2 = services / distribution</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Capitalized Earnings (SDE or EBITDA)</w:t>
            </w:r>
          </w:p>
        </w:tc>
        <w:tc>
          <w:tcPr>
            <w:tcW w:type="dxa" w:w="2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Multiples</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Required</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Growth business, predictable FCF trajectory</w:t>
            </w:r>
          </w:p>
        </w:tc>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DCF (5-year)</w:t>
            </w:r>
          </w:p>
        </w:tc>
        <w:tc>
          <w:tcPr>
            <w:tcW w:type="dxa" w:w="2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 Multiples</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Required</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Asset-intensive (manufacturing, real estate)</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Approach (NAV)</w:t>
            </w:r>
          </w:p>
        </w:tc>
        <w:tc>
          <w:tcPr>
            <w:tcW w:type="dxa" w:w="2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Income (Cap. Earnings)</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Is primary</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Distressed or liquidation scenario</w:t>
            </w:r>
          </w:p>
        </w:tc>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Liquidation Value</w:t>
            </w:r>
          </w:p>
        </w:tc>
        <w:tc>
          <w:tcPr>
            <w:tcW w:type="dxa" w:w="2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Asset (Orderly)</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Is primary</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High-quality comps available, stable sector</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Multiples</w:t>
            </w:r>
          </w:p>
        </w:tc>
        <w:tc>
          <w:tcPr>
            <w:tcW w:type="dxa" w:w="2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Capitalized Earnings</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Required</w:t>
            </w:r>
          </w:p>
        </w:tc>
      </w:tr>
      <w:tr>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No reliable earnings history (&lt;2 years)</w:t>
            </w:r>
          </w:p>
        </w:tc>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Asset Approach + Revenue Multiple</w:t>
            </w:r>
          </w:p>
        </w:tc>
        <w:tc>
          <w:tcPr>
            <w:tcW w:type="dxa" w:w="21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DCF (scenario)</w:t>
            </w:r>
          </w:p>
        </w:tc>
        <w:tc>
          <w:tcPr>
            <w:tcW w:type="dxa" w:w="2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Required</w:t>
            </w:r>
          </w:p>
        </w:tc>
      </w:tr>
      <w:tr>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Financial services (banks, MFB)</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 and P/BV</w:t>
            </w:r>
          </w:p>
        </w:tc>
        <w:tc>
          <w:tcPr>
            <w:tcW w:type="dxa" w:w="21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Dividend Discount</w:t>
            </w:r>
          </w:p>
        </w:tc>
        <w:tc>
          <w:tcPr>
            <w:tcW w:type="dxa" w:w="2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Regulatory capital floor</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5.2 Method Weighting and Reconciliation</w:t>
      </w:r>
    </w:p>
    <w:p>
      <w:pPr>
        <w:spacing w:after="100" w:before="60"/>
      </w:pPr>
      <w:r>
        <w:rPr>
          <w:rFonts w:ascii="Arial" w:cs="Arial" w:eastAsia="Arial" w:hAnsi="Arial"/>
          <w:b w:val="false"/>
          <w:bCs w:val="false"/>
          <w:i w:val="false"/>
          <w:iCs w:val="false"/>
          <w:color w:val="222222"/>
          <w:sz w:val="20"/>
          <w:szCs w:val="20"/>
        </w:rPr>
        <w:t xml:space="preserve">Weighted reconciliation is not a naive average. Each method receives a quality score based on the reliability of its inputs, and weights are assigned proportionally. A divergence of more than 20% between any two methods triggers a mandatory reconciliation note explaining the source of the divergence.</w:t>
      </w:r>
    </w:p>
    <w:p>
      <w:pPr>
        <w:pBdr>
          <w:left w:val="single" w:color="2E5F8A" w:sz="8" w:space="8"/>
        </w:pBdr>
        <w:spacing w:after="80" w:before="80"/>
        <w:ind w:left="720"/>
      </w:pPr>
      <w:r>
        <w:rPr>
          <w:rFonts w:ascii="Courier New" w:cs="Courier New" w:eastAsia="Courier New" w:hAnsi="Courier New"/>
          <w:color w:val="1F3864"/>
          <w:sz w:val="18"/>
          <w:szCs w:val="18"/>
        </w:rPr>
        <w:t xml:space="preserve">Method_Quality_Score (0-100) = Data_Quality x 0.4 + Comp_Availability x 0.3 + Forecast_Reliability x 0.3</w:t>
      </w:r>
    </w:p>
    <w:p>
      <w:pPr>
        <w:pBdr>
          <w:left w:val="single" w:color="2E5F8A" w:sz="8" w:space="8"/>
        </w:pBdr>
        <w:spacing w:after="80" w:before="80"/>
        <w:ind w:left="720"/>
      </w:pPr>
      <w:r>
        <w:rPr>
          <w:rFonts w:ascii="Courier New" w:cs="Courier New" w:eastAsia="Courier New" w:hAnsi="Courier New"/>
          <w:color w:val="1F3864"/>
          <w:sz w:val="18"/>
          <w:szCs w:val="18"/>
        </w:rPr>
        <w:t xml:space="preserve">Method_Weight_i = Method_Quality_Score_i / Sum(Method_Quality_Score_j)</w:t>
      </w:r>
    </w:p>
    <w:p>
      <w:pPr>
        <w:pBdr>
          <w:left w:val="single" w:color="2E5F8A" w:sz="8" w:space="8"/>
        </w:pBdr>
        <w:spacing w:after="80" w:before="80"/>
        <w:ind w:left="720"/>
      </w:pPr>
      <w:r>
        <w:rPr>
          <w:rFonts w:ascii="Courier New" w:cs="Courier New" w:eastAsia="Courier New" w:hAnsi="Courier New"/>
          <w:color w:val="1F3864"/>
          <w:sz w:val="18"/>
          <w:szCs w:val="18"/>
        </w:rPr>
        <w:t xml:space="preserve">Reconciled_EV = Sum_i(Method_Value_i x Method_Weight_i)</w:t>
      </w:r>
    </w:p>
    <w:p>
      <w:pPr>
        <w:spacing w:after="100" w:before="60"/>
      </w:pPr>
      <w:r>
        <w:rPr>
          <w:rFonts w:ascii="Arial" w:cs="Arial" w:eastAsia="Arial" w:hAnsi="Arial"/>
          <w:b w:val="false"/>
          <w:bCs w:val="false"/>
          <w:i w:val="false"/>
          <w:iCs w:val="false"/>
          <w:color w:val="222222"/>
          <w:sz w:val="20"/>
          <w:szCs w:val="20"/>
        </w:rPr>
        <w:t xml:space="preserve">The reconciliation narrative is not optional. It must state: which method produced the highest value and why, which produced the lowest and why, what accounts for the spread, and which the analyst believes is most reliable given available information.</w:t>
      </w:r>
    </w:p>
    <w:p>
      <w:pPr>
        <w:pStyle w:val="Heading2"/>
        <w:pBdr>
          <w:bottom w:val="single" w:color="2E5F8A" w:sz="4" w:space="4"/>
        </w:pBdr>
        <w:spacing w:after="120" w:before="280"/>
      </w:pPr>
      <w:r>
        <w:rPr>
          <w:rFonts w:ascii="Arial" w:cs="Arial" w:eastAsia="Arial" w:hAnsi="Arial"/>
          <w:b/>
          <w:bCs/>
          <w:color w:val="2E5F8A"/>
          <w:sz w:val="26"/>
          <w:szCs w:val="26"/>
        </w:rPr>
        <w:t xml:space="preserve">5.3 Capitalized Earnings: Capitalization Rate Construction</w:t>
      </w:r>
    </w:p>
    <w:p>
      <w:pPr>
        <w:pBdr>
          <w:left w:val="single" w:color="2E5F8A" w:sz="8" w:space="8"/>
        </w:pBdr>
        <w:spacing w:after="80" w:before="80"/>
        <w:ind w:left="720"/>
      </w:pPr>
      <w:r>
        <w:rPr>
          <w:rFonts w:ascii="Courier New" w:cs="Courier New" w:eastAsia="Courier New" w:hAnsi="Courier New"/>
          <w:color w:val="1F3864"/>
          <w:sz w:val="18"/>
          <w:szCs w:val="18"/>
        </w:rPr>
        <w:t xml:space="preserve">Cap_Rate = WACC - Long_Term_Growth_Rate</w:t>
      </w:r>
    </w:p>
    <w:p>
      <w:pPr>
        <w:pBdr>
          <w:left w:val="single" w:color="2E5F8A" w:sz="8" w:space="8"/>
        </w:pBdr>
        <w:spacing w:after="80" w:before="80"/>
        <w:ind w:left="720"/>
      </w:pPr>
      <w:r>
        <w:rPr>
          <w:rFonts w:ascii="Courier New" w:cs="Courier New" w:eastAsia="Courier New" w:hAnsi="Courier New"/>
          <w:color w:val="1F3864"/>
          <w:sz w:val="18"/>
          <w:szCs w:val="18"/>
        </w:rPr>
        <w:t xml:space="preserve">Cap_Rate = Rf + ERP + CRP + SP + CSRP - g</w:t>
      </w:r>
    </w:p>
    <w:p>
      <w:pPr>
        <w:spacing w:after="100" w:before="60"/>
      </w:pPr>
      <w:r>
        <w:rPr>
          <w:rFonts w:ascii="Arial" w:cs="Arial" w:eastAsia="Arial" w:hAnsi="Arial"/>
          <w:b w:val="false"/>
          <w:bCs w:val="false"/>
          <w:i w:val="false"/>
          <w:iCs w:val="false"/>
          <w:color w:val="222222"/>
          <w:sz w:val="20"/>
          <w:szCs w:val="20"/>
        </w:rPr>
        <w:t xml:space="preserve">Where g is the analyst's assessed long-run sustainable growth rate for the business, not the sector or economy. For a stable Nigerian SME in a non-inflationary context, g = 3-5% in real terms plus inflation. In current conditions, nominal g = 8-14% is defensible for stable businesses, which produces cap rates of 20-35% for the typical Nigerian SME WACC range of 28-45%.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DC" w:sz="1"/>
              <w:left w:val="single" w:color="C5D0DC" w:sz="1"/>
              <w:bottom w:val="single" w:color="C5D0DC" w:sz="1"/>
              <w:right w:val="single" w:color="C5D0DC" w:sz="1"/>
            </w:tcBorders>
            <w:shd w:fill="D9E4F0" w:val="clear"/>
            <w:tcMar>
              <w:top w:type="dxa" w:w="120"/>
              <w:left w:type="dxa" w:w="200"/>
              <w:bottom w:type="dxa" w:w="120"/>
              <w:right w:type="dxa" w:w="200"/>
            </w:tcMar>
          </w:tcPr>
          <w:p>
            <w:r>
              <w:rPr>
                <w:rFonts w:ascii="Arial" w:cs="Arial" w:eastAsia="Arial" w:hAnsi="Arial"/>
                <w:i/>
                <w:iCs/>
                <w:color w:val="333333"/>
                <w:sz w:val="18"/>
                <w:szCs w:val="18"/>
              </w:rPr>
              <w:t xml:space="preserve">A cap rate of 33% means the business is valued at 3.0x normalized earnings. That is not a low multiple in Nigerian SME markets. It reflects genuine risk: FX, inflation, owner dependence, and illiquidity. Buyers and sellers both need to understand this clearly.</w:t>
            </w:r>
          </w:p>
        </w:tc>
      </w:tr>
    </w:tbl>
    <w:p>
      <w:pPr>
        <w:pStyle w:val="Heading2"/>
        <w:pBdr>
          <w:bottom w:val="single" w:color="2E5F8A" w:sz="4" w:space="4"/>
        </w:pBdr>
        <w:spacing w:after="120" w:before="280"/>
      </w:pPr>
      <w:r>
        <w:rPr>
          <w:rFonts w:ascii="Arial" w:cs="Arial" w:eastAsia="Arial" w:hAnsi="Arial"/>
          <w:b/>
          <w:bCs/>
          <w:color w:val="2E5F8A"/>
          <w:sz w:val="26"/>
          <w:szCs w:val="26"/>
        </w:rPr>
        <w:t xml:space="preserve">5.4 DCF: Discount Rate Construction for Nigeria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55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Nigerian Proxy / Current Range</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Risk-Free Rate</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Rf</w:t>
            </w:r>
          </w:p>
        </w:tc>
        <w:tc>
          <w:tcPr>
            <w:tcW w:type="dxa" w:w="55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FGN 10-year bond yield (currently ~18-20%)</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Equity Risk Premium</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ERP</w:t>
            </w:r>
          </w:p>
        </w:tc>
        <w:tc>
          <w:tcPr>
            <w:tcW w:type="dxa" w:w="55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Damodaran Implied ERP + Nigeria CRP (6-9%)</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Country Risk Premium</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CRP</w:t>
            </w:r>
          </w:p>
        </w:tc>
        <w:tc>
          <w:tcPr>
            <w:tcW w:type="dxa" w:w="55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Damodaran Nigeria CRP (~6-8%, naira-based)</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Size Premium</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SP</w:t>
            </w:r>
          </w:p>
        </w:tc>
        <w:tc>
          <w:tcPr>
            <w:tcW w:type="dxa" w:w="55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Duff &amp; Phelps micro-cap proxy adjusted (3-7%)</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Company-Specific Risk</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CSRP</w:t>
            </w:r>
          </w:p>
        </w:tc>
        <w:tc>
          <w:tcPr>
            <w:tcW w:type="dxa" w:w="55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Per L2 table in Section 3 (4-20%)</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Resulting Ke Range</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Ke</w:t>
            </w:r>
          </w:p>
        </w:tc>
        <w:tc>
          <w:tcPr>
            <w:tcW w:type="dxa" w:w="55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Approximately 28-45% for typical Nigerian SME</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Pre-Tax Kd</w:t>
            </w:r>
          </w:p>
        </w:tc>
        <w:tc>
          <w:tcPr>
            <w:tcW w:type="dxa" w:w="1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Kd_pretax</w:t>
            </w:r>
          </w:p>
        </w:tc>
        <w:tc>
          <w:tcPr>
            <w:tcW w:type="dxa" w:w="55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Bank lending rate: Prime + 3-8% (currently 22-30%)</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After-Tax Kd</w:t>
            </w:r>
          </w:p>
        </w:tc>
        <w:tc>
          <w:tcPr>
            <w:tcW w:type="dxa" w:w="1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Kd</w:t>
            </w:r>
          </w:p>
        </w:tc>
        <w:tc>
          <w:tcPr>
            <w:tcW w:type="dxa" w:w="55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Kd_pretax x (1 - CIT rate, 30% standard)</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A WACC below 25% for a Nigerian SME requires very strong justification. A WACC above 45% should also be questioned unless the business is early-stage with no earnings history. The analyst must document the derivation of each component, not just the final number.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06</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Separating Five Distinct Value Layers</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The engine must produce five distinct outputs, each answering a different question. Conflating them is the single most damaging flaw in any SME valuation product.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400"/>
        <w:gridCol w:w="3800"/>
      </w:tblGrid>
      <w:tr>
        <w:trPr>
          <w:tblHeader/>
        </w:trPr>
        <w:tc>
          <w:tcPr>
            <w:tcW w:type="dxa" w:w="3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28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Answers</w:t>
            </w:r>
          </w:p>
        </w:tc>
        <w:tc>
          <w:tcPr>
            <w:tcW w:type="dxa" w:w="38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Drivers</w:t>
            </w:r>
          </w:p>
        </w:tc>
      </w:tr>
      <w:tr>
        <w:tc>
          <w:tcPr>
            <w:tcW w:type="dxa" w:w="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L1</w:t>
            </w:r>
          </w:p>
        </w:tc>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Fundamental Orderly Market Value (FOMV)</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What is this business worth, fundamentally?</w:t>
            </w:r>
          </w:p>
        </w:tc>
        <w:tc>
          <w:tcPr>
            <w:tcW w:type="dxa" w:w="3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Normalized earnings, method reconciliation, going concern</w:t>
            </w:r>
          </w:p>
        </w:tc>
      </w:tr>
      <w:tr>
        <w:tc>
          <w:tcPr>
            <w:tcW w:type="dxa" w:w="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L2</w:t>
            </w:r>
          </w:p>
        </w:tc>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Achievable Value Today (AVT)</w:t>
            </w:r>
          </w:p>
        </w:tc>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What can we realistically close at right now?</w:t>
            </w:r>
          </w:p>
        </w:tc>
        <w:tc>
          <w:tcPr>
            <w:tcW w:type="dxa" w:w="3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FOMV x market condition factor x buyer pool factor</w:t>
            </w:r>
          </w:p>
        </w:tc>
      </w:tr>
      <w:tr>
        <w:tc>
          <w:tcPr>
            <w:tcW w:type="dxa" w:w="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L3</w:t>
            </w:r>
          </w:p>
        </w:tc>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Forced-Sale Value (FSV)</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What if we need to close in 90 days?</w:t>
            </w:r>
          </w:p>
        </w:tc>
        <w:tc>
          <w:tcPr>
            <w:tcW w:type="dxa" w:w="3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AVT x time compression discount (0.45-0.70 in Nigeria)</w:t>
            </w:r>
          </w:p>
        </w:tc>
      </w:tr>
      <w:tr>
        <w:tc>
          <w:tcPr>
            <w:tcW w:type="dxa" w:w="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L4</w:t>
            </w:r>
          </w:p>
        </w:tc>
        <w:tc>
          <w:tcPr>
            <w:tcW w:type="dxa" w:w="2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Sell-Side Readiness Score (SSRS)</w:t>
            </w:r>
          </w:p>
        </w:tc>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How ready is this business to sell?</w:t>
            </w:r>
          </w:p>
        </w:tc>
        <w:tc>
          <w:tcPr>
            <w:tcW w:type="dxa" w:w="38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Records, structure, concentration, management, compliance</w:t>
            </w:r>
          </w:p>
        </w:tc>
      </w:tr>
      <w:tr>
        <w:tc>
          <w:tcPr>
            <w:tcW w:type="dxa" w:w="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L5</w:t>
            </w:r>
          </w:p>
        </w:tc>
        <w:tc>
          <w:tcPr>
            <w:tcW w:type="dxa" w:w="2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Confidence Score (CS)</w:t>
            </w:r>
          </w:p>
        </w:tc>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How reliable is this entire analysis?</w:t>
            </w:r>
          </w:p>
        </w:tc>
        <w:tc>
          <w:tcPr>
            <w:tcW w:type="dxa" w:w="38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Data completeness, records quality, comp availability</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6.1 Market Condition Factor (MCF)</w:t>
      </w:r>
    </w:p>
    <w:p>
      <w:pPr>
        <w:pBdr>
          <w:left w:val="single" w:color="2E5F8A" w:sz="8" w:space="8"/>
        </w:pBdr>
        <w:spacing w:after="80" w:before="80"/>
        <w:ind w:left="720"/>
      </w:pPr>
      <w:r>
        <w:rPr>
          <w:rFonts w:ascii="Courier New" w:cs="Courier New" w:eastAsia="Courier New" w:hAnsi="Courier New"/>
          <w:color w:val="1F3864"/>
          <w:sz w:val="18"/>
          <w:szCs w:val="18"/>
        </w:rPr>
        <w:t xml:space="preserve">MCF = Base_MCF x FX_Stability_Adj x Sector_Sentiment_Adj x Liquidity_Adj</w:t>
      </w:r>
    </w:p>
    <w:p>
      <w:pPr>
        <w:spacing w:after="100" w:before="60"/>
      </w:pPr>
      <w:r>
        <w:rPr>
          <w:rFonts w:ascii="Arial" w:cs="Arial" w:eastAsia="Arial" w:hAnsi="Arial"/>
          <w:b w:val="false"/>
          <w:bCs w:val="false"/>
          <w:i w:val="false"/>
          <w:iCs w:val="false"/>
          <w:color w:val="222222"/>
          <w:sz w:val="20"/>
          <w:szCs w:val="20"/>
        </w:rPr>
        <w:t xml:space="preserve">Base MCF starts at 1.0. It is adjusted down in conditions of FX stress (naira devaluation cycle), elevated interest rates compressing buyer capacity, or sector-specific headwinds. In stable conditions it remains near 1.0. In distressed market conditions (e.g., 2023 naira devaluation period), MCF for naira-revenue businesses could reasonably be 0.75-0.85.</w:t>
      </w:r>
    </w:p>
    <w:p>
      <w:pPr>
        <w:pStyle w:val="Heading2"/>
        <w:pBdr>
          <w:bottom w:val="single" w:color="2E5F8A" w:sz="4" w:space="4"/>
        </w:pBdr>
        <w:spacing w:after="120" w:before="280"/>
      </w:pPr>
      <w:r>
        <w:rPr>
          <w:rFonts w:ascii="Arial" w:cs="Arial" w:eastAsia="Arial" w:hAnsi="Arial"/>
          <w:b/>
          <w:bCs/>
          <w:color w:val="2E5F8A"/>
          <w:sz w:val="26"/>
          <w:szCs w:val="26"/>
        </w:rPr>
        <w:t xml:space="preserve">6.2 Time Compression Discount (TCD)</w:t>
      </w:r>
    </w:p>
    <w:p>
      <w:pPr>
        <w:spacing w:after="100" w:before="60"/>
      </w:pPr>
      <w:r>
        <w:rPr>
          <w:rFonts w:ascii="Arial" w:cs="Arial" w:eastAsia="Arial" w:hAnsi="Arial"/>
          <w:b w:val="false"/>
          <w:bCs w:val="false"/>
          <w:i w:val="false"/>
          <w:iCs w:val="false"/>
          <w:color w:val="222222"/>
          <w:sz w:val="20"/>
          <w:szCs w:val="20"/>
        </w:rPr>
        <w:t xml:space="preserve">The forced-sale discount is not a fixed percentage. It depends on asset type, buyer pool depth, and time available. The table below provides starting-point ranges for Nigerian SME contexts.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60"/>
        <w:gridCol w:w="1660"/>
        <w:gridCol w:w="3540"/>
      </w:tblGrid>
      <w:tr>
        <w:trPr>
          <w:tblHeader/>
        </w:trPr>
        <w:tc>
          <w:tcPr>
            <w:tcW w:type="dxa" w:w="25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Business Type</w:t>
            </w:r>
          </w:p>
        </w:tc>
        <w:tc>
          <w:tcPr>
            <w:tcW w:type="dxa" w:w="16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TCD (90-day sale)</w:t>
            </w:r>
          </w:p>
        </w:tc>
        <w:tc>
          <w:tcPr>
            <w:tcW w:type="dxa" w:w="16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TCD (30-day sale)</w:t>
            </w:r>
          </w:p>
        </w:tc>
        <w:tc>
          <w:tcPr>
            <w:tcW w:type="dxa" w:w="354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Strong recurring revenue, clean records</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15% - 25%</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30% - 45%</w:t>
            </w:r>
          </w:p>
        </w:tc>
        <w:tc>
          <w:tcPr>
            <w:tcW w:type="dxa" w:w="35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Attractive to motivated buyers even on short timeline</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Service business, owner-dependent</w:t>
            </w:r>
          </w:p>
        </w:tc>
        <w:tc>
          <w:tcPr>
            <w:tcW w:type="dxa" w:w="1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30% - 45%</w:t>
            </w:r>
          </w:p>
        </w:tc>
        <w:tc>
          <w:tcPr>
            <w:tcW w:type="dxa" w:w="1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50% - 65%</w:t>
            </w:r>
          </w:p>
        </w:tc>
        <w:tc>
          <w:tcPr>
            <w:tcW w:type="dxa" w:w="35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Buyer pool thin, diligence complex without owner</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Asset-intensive, good underlying assets</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20% - 35%</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35% - 55%</w:t>
            </w:r>
          </w:p>
        </w:tc>
        <w:tc>
          <w:tcPr>
            <w:tcW w:type="dxa" w:w="35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value partially recoverable under pressure</w:t>
            </w:r>
          </w:p>
        </w:tc>
      </w:tr>
      <w:tr>
        <w:tc>
          <w:tcPr>
            <w:tcW w:type="dxa" w:w="25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Distribution / trading, thin margins</w:t>
            </w:r>
          </w:p>
        </w:tc>
        <w:tc>
          <w:tcPr>
            <w:tcW w:type="dxa" w:w="1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35% - 50%</w:t>
            </w:r>
          </w:p>
        </w:tc>
        <w:tc>
          <w:tcPr>
            <w:tcW w:type="dxa" w:w="16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55% - 70%</w:t>
            </w:r>
          </w:p>
        </w:tc>
        <w:tc>
          <w:tcPr>
            <w:tcW w:type="dxa" w:w="354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Working capital intensive, high execution risk for buyer</w:t>
            </w:r>
          </w:p>
        </w:tc>
      </w:tr>
      <w:tr>
        <w:tc>
          <w:tcPr>
            <w:tcW w:type="dxa" w:w="25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Distressed business (negative earnings)</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50% - 70%</w:t>
            </w:r>
          </w:p>
        </w:tc>
        <w:tc>
          <w:tcPr>
            <w:tcW w:type="dxa" w:w="16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65% - 80%</w:t>
            </w:r>
          </w:p>
        </w:tc>
        <w:tc>
          <w:tcPr>
            <w:tcW w:type="dxa" w:w="354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Turnaround buyers only, very limited pool</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07</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Exact Output Structure</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The tool must return a structured JSON output that powers both the user-facing report and any downstream integration with advisory platforms. Below is the canonical output schema. All monetary values in base currency (NGN by default, with USD equivalent if applicable).</w:t>
      </w:r>
    </w:p>
    <w:p>
      <w:pPr>
        <w:spacing w:after="0" w:before="80"/>
      </w:pPr>
      <w:r>
        <w:t xml:space="preserve"/>
      </w:r>
    </w:p>
    <w:p>
      <w:pPr>
        <w:pStyle w:val="Heading3"/>
        <w:spacing w:after="80" w:before="200"/>
      </w:pPr>
      <w:r>
        <w:rPr>
          <w:rFonts w:ascii="Arial" w:cs="Arial" w:eastAsia="Arial" w:hAnsi="Arial"/>
          <w:b/>
          <w:bCs/>
          <w:color w:val="4A4A4A"/>
          <w:sz w:val="22"/>
          <w:szCs w:val="22"/>
        </w:rPr>
        <w:t xml:space="preserve">Engagement Layer</w:t>
      </w:r>
    </w:p>
    <w:p>
      <w:pPr>
        <w:pBdr>
          <w:left w:val="single" w:color="2E5F8A" w:sz="8" w:space="8"/>
        </w:pBdr>
        <w:spacing w:after="80" w:before="80"/>
        <w:ind w:left="720"/>
      </w:pPr>
      <w:r>
        <w:rPr>
          <w:rFonts w:ascii="Courier New" w:cs="Courier New" w:eastAsia="Courier New" w:hAnsi="Courier New"/>
          <w:color w:val="1F3864"/>
          <w:sz w:val="18"/>
          <w:szCs w:val="18"/>
        </w:rPr>
        <w:t xml:space="preserve">engagement: {
  purpose, standard_of_value, premise_of_value,
  date, version, analyst_mode, requestor_type
}</w:t>
      </w:r>
    </w:p>
    <w:p>
      <w:pPr>
        <w:pStyle w:val="Heading3"/>
        <w:spacing w:after="80" w:before="200"/>
      </w:pPr>
      <w:r>
        <w:rPr>
          <w:rFonts w:ascii="Arial" w:cs="Arial" w:eastAsia="Arial" w:hAnsi="Arial"/>
          <w:b/>
          <w:bCs/>
          <w:color w:val="4A4A4A"/>
          <w:sz w:val="22"/>
          <w:szCs w:val="22"/>
        </w:rPr>
        <w:t xml:space="preserve">Normalized Financials Layer</w:t>
      </w:r>
    </w:p>
    <w:p>
      <w:pPr>
        <w:pBdr>
          <w:left w:val="single" w:color="2E5F8A" w:sz="8" w:space="8"/>
        </w:pBdr>
        <w:spacing w:after="80" w:before="80"/>
        <w:ind w:left="720"/>
      </w:pPr>
      <w:r>
        <w:rPr>
          <w:rFonts w:ascii="Courier New" w:cs="Courier New" w:eastAsia="Courier New" w:hAnsi="Courier New"/>
          <w:color w:val="1F3864"/>
          <w:sz w:val="18"/>
          <w:szCs w:val="18"/>
        </w:rPr>
        <w:t xml:space="preserve">normalized_financials: {
  reported_revenue, normalized_revenue,
  reported_ebitda, normalized_ebitda, normalized_sde,
  adjustments: [
    { type, reported_value, adjusted_value, net_adjustment,
      direction, recurrence_probability, confidence, analyst_reviewed }
  ],
  normalization_confidence: (0-100),
  qoe_flags: [ string ]
}</w:t>
      </w:r>
    </w:p>
    <w:p>
      <w:pPr>
        <w:pStyle w:val="Heading3"/>
        <w:spacing w:after="80" w:before="200"/>
      </w:pPr>
      <w:r>
        <w:rPr>
          <w:rFonts w:ascii="Arial" w:cs="Arial" w:eastAsia="Arial" w:hAnsi="Arial"/>
          <w:b/>
          <w:bCs/>
          <w:color w:val="4A4A4A"/>
          <w:sz w:val="22"/>
          <w:szCs w:val="22"/>
        </w:rPr>
        <w:t xml:space="preserve">Classification Layer</w:t>
      </w:r>
    </w:p>
    <w:p>
      <w:pPr>
        <w:pBdr>
          <w:left w:val="single" w:color="2E5F8A" w:sz="8" w:space="8"/>
        </w:pBdr>
        <w:spacing w:after="80" w:before="80"/>
        <w:ind w:left="720"/>
      </w:pPr>
      <w:r>
        <w:rPr>
          <w:rFonts w:ascii="Courier New" w:cs="Courier New" w:eastAsia="Courier New" w:hAnsi="Courier New"/>
          <w:color w:val="1F3864"/>
          <w:sz w:val="18"/>
          <w:szCs w:val="18"/>
        </w:rPr>
        <w:t xml:space="preserve">classification: {
  level_1, level_2, primary_method, secondary_method,
  relevant_multiples: [ string ],
  primary_risk_drivers: [ string ]
}</w:t>
      </w:r>
    </w:p>
    <w:p>
      <w:pPr>
        <w:pStyle w:val="Heading3"/>
        <w:spacing w:after="80" w:before="200"/>
      </w:pPr>
      <w:r>
        <w:rPr>
          <w:rFonts w:ascii="Arial" w:cs="Arial" w:eastAsia="Arial" w:hAnsi="Arial"/>
          <w:b/>
          <w:bCs/>
          <w:color w:val="4A4A4A"/>
          <w:sz w:val="22"/>
          <w:szCs w:val="22"/>
        </w:rPr>
        <w:t xml:space="preserve">Valuation Methods Layer</w:t>
      </w:r>
    </w:p>
    <w:p>
      <w:pPr>
        <w:pBdr>
          <w:left w:val="single" w:color="2E5F8A" w:sz="8" w:space="8"/>
        </w:pBdr>
        <w:spacing w:after="80" w:before="80"/>
        <w:ind w:left="720"/>
      </w:pPr>
      <w:r>
        <w:rPr>
          <w:rFonts w:ascii="Courier New" w:cs="Courier New" w:eastAsia="Courier New" w:hAnsi="Courier New"/>
          <w:color w:val="1F3864"/>
          <w:sz w:val="18"/>
          <w:szCs w:val="18"/>
        </w:rPr>
        <w:t xml:space="preserve">valuation_methods: {
  market_approach: {
    multiple_type, applied_multiple, comp_count, comp_quality_score,
    size_adjustment, growth_adjustment, country_adjustment,
    indicated_ev, weight
  },
  income_capitalized: {
    normalized_metric, cap_rate, rate_derivation,
    indicated_ev, weight
  },
  income_dcf: {
    wacc, terminal_growth, forecast_years, forecast_fcf: [ ],
    terminal_value, indicated_ev, weight
  },
  asset_floor: {
    adjusted_nav, liquidation_value, weight
  },
  reconciliation: {
    weighted_ev, divergence_pct_max, reconciliation_narrative,
    analyst_reviewed: bool
  }
}</w:t>
      </w:r>
    </w:p>
    <w:p>
      <w:pPr>
        <w:pStyle w:val="Heading3"/>
        <w:spacing w:after="80" w:before="200"/>
      </w:pPr>
      <w:r>
        <w:rPr>
          <w:rFonts w:ascii="Arial" w:cs="Arial" w:eastAsia="Arial" w:hAnsi="Arial"/>
          <w:b/>
          <w:bCs/>
          <w:color w:val="4A4A4A"/>
          <w:sz w:val="22"/>
          <w:szCs w:val="22"/>
        </w:rPr>
        <w:t xml:space="preserve">EV-to-Equity Bridge Layer</w:t>
      </w:r>
    </w:p>
    <w:p>
      <w:pPr>
        <w:pBdr>
          <w:left w:val="single" w:color="2E5F8A" w:sz="8" w:space="8"/>
        </w:pBdr>
        <w:spacing w:after="80" w:before="80"/>
        <w:ind w:left="720"/>
      </w:pPr>
      <w:r>
        <w:rPr>
          <w:rFonts w:ascii="Courier New" w:cs="Courier New" w:eastAsia="Courier New" w:hAnsi="Courier New"/>
          <w:color w:val="1F3864"/>
          <w:sz w:val="18"/>
          <w:szCs w:val="18"/>
        </w:rPr>
        <w:t xml:space="preserve">ev_to_equity: {
  enterprise_value,
  less_interest_bearing_debt,
  less_debt_like_items: [ { description, amount } ],
  plus_cash_and_equivalents,
  plus_non_operating_assets,
  working_capital_adjustment,
  equity_value
}</w:t>
      </w:r>
    </w:p>
    <w:p>
      <w:pPr>
        <w:pStyle w:val="Heading3"/>
        <w:spacing w:after="80" w:before="200"/>
      </w:pPr>
      <w:r>
        <w:rPr>
          <w:rFonts w:ascii="Arial" w:cs="Arial" w:eastAsia="Arial" w:hAnsi="Arial"/>
          <w:b/>
          <w:bCs/>
          <w:color w:val="4A4A4A"/>
          <w:sz w:val="22"/>
          <w:szCs w:val="22"/>
        </w:rPr>
        <w:t xml:space="preserve">Value Layers Output</w:t>
      </w:r>
    </w:p>
    <w:p>
      <w:pPr>
        <w:pBdr>
          <w:left w:val="single" w:color="2E5F8A" w:sz="8" w:space="8"/>
        </w:pBdr>
        <w:spacing w:after="80" w:before="80"/>
        <w:ind w:left="720"/>
      </w:pPr>
      <w:r>
        <w:rPr>
          <w:rFonts w:ascii="Courier New" w:cs="Courier New" w:eastAsia="Courier New" w:hAnsi="Courier New"/>
          <w:color w:val="1F3864"/>
          <w:sz w:val="18"/>
          <w:szCs w:val="18"/>
        </w:rPr>
        <w:t xml:space="preserve">value_layers: {
  fundamental_orderly_market_value,
  achievable_value_today,
  forced_sale_value_90day,
  market_condition_factor,
  time_compression_discount
}</w:t>
      </w:r>
    </w:p>
    <w:p>
      <w:pPr>
        <w:pStyle w:val="Heading3"/>
        <w:spacing w:after="80" w:before="200"/>
      </w:pPr>
      <w:r>
        <w:rPr>
          <w:rFonts w:ascii="Arial" w:cs="Arial" w:eastAsia="Arial" w:hAnsi="Arial"/>
          <w:b/>
          <w:bCs/>
          <w:color w:val="4A4A4A"/>
          <w:sz w:val="22"/>
          <w:szCs w:val="22"/>
        </w:rPr>
        <w:t xml:space="preserve">Readiness and Confidence Layer</w:t>
      </w:r>
    </w:p>
    <w:p>
      <w:pPr>
        <w:pBdr>
          <w:left w:val="single" w:color="2E5F8A" w:sz="8" w:space="8"/>
        </w:pBdr>
        <w:spacing w:after="80" w:before="80"/>
        <w:ind w:left="720"/>
      </w:pPr>
      <w:r>
        <w:rPr>
          <w:rFonts w:ascii="Courier New" w:cs="Courier New" w:eastAsia="Courier New" w:hAnsi="Courier New"/>
          <w:color w:val="1F3864"/>
          <w:sz w:val="18"/>
          <w:szCs w:val="18"/>
        </w:rPr>
        <w:t xml:space="preserve">sell_side_readiness: {
  score: (0-100),
  breakdown: { records, structure, concentration, management, compliance, ip },
  flags: [ string ],
  estimated_time_to_market_ready: string
}
confidence: {
  score: (0-100),
  breakdown: { data_completeness, records_quality, comp_availability, earnings_stability },
  valuation_range: { low, mid, high },
  flags: [ string ],
  analyst_review_required: [ string ]
}</w:t>
      </w:r>
    </w:p>
    <w:p>
      <w:pPr>
        <w:pStyle w:val="Heading3"/>
        <w:spacing w:after="80" w:before="200"/>
      </w:pPr>
      <w:r>
        <w:rPr>
          <w:rFonts w:ascii="Arial" w:cs="Arial" w:eastAsia="Arial" w:hAnsi="Arial"/>
          <w:b/>
          <w:bCs/>
          <w:color w:val="4A4A4A"/>
          <w:sz w:val="22"/>
          <w:szCs w:val="22"/>
        </w:rPr>
        <w:t xml:space="preserve">Audit Trail Layer</w:t>
      </w:r>
    </w:p>
    <w:p>
      <w:pPr>
        <w:pBdr>
          <w:left w:val="single" w:color="2E5F8A" w:sz="8" w:space="8"/>
        </w:pBdr>
        <w:spacing w:after="80" w:before="80"/>
        <w:ind w:left="720"/>
      </w:pPr>
      <w:r>
        <w:rPr>
          <w:rFonts w:ascii="Courier New" w:cs="Courier New" w:eastAsia="Courier New" w:hAnsi="Courier New"/>
          <w:color w:val="1F3864"/>
          <w:sz w:val="18"/>
          <w:szCs w:val="18"/>
        </w:rPr>
        <w:t xml:space="preserve">audit_trail: {
  inputs_logged: bool,
  analyst_overrides: [ { field, original, override, rationale, analyst_id } ],
  assumptions: [ { name, value, source } ],
  version, timestamp, engagement_id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08</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Data Requirements by Mode</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Three modes reflect three distinct user types with different data availability and different output expectations. The engine degrades gracefully: lower-quality inputs produce wider ranges and lower confidence scores, but still produce a usable output. The alternative (refusing to output without perfect data) is useless in the Nigerian SME context.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330"/>
        <w:gridCol w:w="2330"/>
      </w:tblGrid>
      <w:tr>
        <w:trPr>
          <w:tblHeader/>
        </w:trPr>
        <w:tc>
          <w:tcPr>
            <w:tcW w:type="dxa" w:w="26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Point</w:t>
            </w:r>
          </w:p>
        </w:tc>
        <w:tc>
          <w:tcPr>
            <w:tcW w:type="dxa" w:w="21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 Self-Serve</w:t>
            </w:r>
          </w:p>
        </w:tc>
        <w:tc>
          <w:tcPr>
            <w:tcW w:type="dxa" w:w="233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Advisor Mode</w:t>
            </w:r>
          </w:p>
        </w:tc>
        <w:tc>
          <w:tcPr>
            <w:tcW w:type="dxa" w:w="233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Analyst Mode</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Years of revenue data</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 year (estimated OK)</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 years (mgmt accounts)</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3-5 years (audited preferred)</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Expense breakdown</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High-level categories</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Line-item P&amp;L</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Full management accounts</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Balance sheet</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Approximate assets/liabilities</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Current year balance sheet</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3 years balance sheet</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Owner comp (all forms)</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Required</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Required + breakdown</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Required + payroll records</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Related-party transactions</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Yes/No flag</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Identified and estimated</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Documented and quantified</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Capex history</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Approximate total</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Annual totals by type</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Asset register + schedule</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Debt schedule</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Total debt</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Schedule with maturity/rate</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facility agreements</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Customer concentration</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Approximate top-3 %</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Named top-5 with revenue</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Signed contracts + terms</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Working capital history</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Snapshot</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12-month average</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Monthly for 24 months</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Tax compliance status</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Self-declared</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Advisor-confirmed</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Tax certificates + assessments</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Corporate structure</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Self-described</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CAC docs reviewed</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cap table + shareholding</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Comparable market data</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Auto (engine tables)</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Advisor-enhanced</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Custom transaction search</w:t>
            </w:r>
          </w:p>
        </w:tc>
      </w:tr>
      <w:tr>
        <w:tc>
          <w:tcPr>
            <w:tcW w:type="dxa" w:w="2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Discount rate inputs</w:t>
            </w:r>
          </w:p>
        </w:tc>
        <w:tc>
          <w:tcPr>
            <w:tcW w:type="dxa" w:w="21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Auto (engine defaults)</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Guided inputs</w:t>
            </w:r>
          </w:p>
        </w:tc>
        <w:tc>
          <w:tcPr>
            <w:tcW w:type="dxa" w:w="233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Analyst-derived + documented</w:t>
            </w:r>
          </w:p>
        </w:tc>
      </w:tr>
      <w:tr>
        <w:tc>
          <w:tcPr>
            <w:tcW w:type="dxa" w:w="2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Forecast (DCF)</w:t>
            </w:r>
          </w:p>
        </w:tc>
        <w:tc>
          <w:tcPr>
            <w:tcW w:type="dxa" w:w="21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Not available</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Owner projections reviewed</w:t>
            </w:r>
          </w:p>
        </w:tc>
        <w:tc>
          <w:tcPr>
            <w:tcW w:type="dxa" w:w="233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Analyst-built 3-scenario model</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09</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What Can Be Automated vs What Requires Analyst Review</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Overstating automation capability in a valuation product does not save time. It creates liability. The distinction below is not about technical difficulty but about where the risk of systematic error is high enough that human judgment is genuinely irreplaceable.</w:t>
      </w:r>
    </w:p>
    <w:p>
      <w:pPr>
        <w:pStyle w:val="Heading2"/>
        <w:pBdr>
          <w:bottom w:val="single" w:color="2E5F8A" w:sz="4" w:space="4"/>
        </w:pBdr>
        <w:spacing w:after="120" w:before="280"/>
      </w:pPr>
      <w:r>
        <w:rPr>
          <w:rFonts w:ascii="Arial" w:cs="Arial" w:eastAsia="Arial" w:hAnsi="Arial"/>
          <w:b/>
          <w:bCs/>
          <w:color w:val="2E5F8A"/>
          <w:sz w:val="26"/>
          <w:szCs w:val="26"/>
        </w:rPr>
        <w:t xml:space="preserve">Can Be Automated Reliably</w:t>
      </w:r>
    </w:p>
    <w:p>
      <w:pPr>
        <w:pStyle w:val="ListParagraph"/>
        <w:numPr>
          <w:ilvl w:val="0"/>
          <w:numId w:val="2"/>
        </w:numPr>
        <w:spacing w:after="60" w:before="40"/>
      </w:pPr>
      <w:r>
        <w:rPr>
          <w:rFonts w:ascii="Arial" w:cs="Arial" w:eastAsia="Arial" w:hAnsi="Arial"/>
          <w:color w:val="222222"/>
          <w:sz w:val="20"/>
          <w:szCs w:val="20"/>
        </w:rPr>
        <w:t xml:space="preserve">Multiple application once normalized earnings are confirmed</w:t>
      </w:r>
    </w:p>
    <w:p>
      <w:pPr>
        <w:pStyle w:val="ListParagraph"/>
        <w:numPr>
          <w:ilvl w:val="0"/>
          <w:numId w:val="2"/>
        </w:numPr>
        <w:spacing w:after="60" w:before="40"/>
      </w:pPr>
      <w:r>
        <w:rPr>
          <w:rFonts w:ascii="Arial" w:cs="Arial" w:eastAsia="Arial" w:hAnsi="Arial"/>
          <w:color w:val="222222"/>
          <w:sz w:val="20"/>
          <w:szCs w:val="20"/>
        </w:rPr>
        <w:t xml:space="preserve">DCF cash flow discounting once assumptions are set</w:t>
      </w:r>
    </w:p>
    <w:p>
      <w:pPr>
        <w:pStyle w:val="ListParagraph"/>
        <w:numPr>
          <w:ilvl w:val="0"/>
          <w:numId w:val="2"/>
        </w:numPr>
        <w:spacing w:after="60" w:before="40"/>
      </w:pPr>
      <w:r>
        <w:rPr>
          <w:rFonts w:ascii="Arial" w:cs="Arial" w:eastAsia="Arial" w:hAnsi="Arial"/>
          <w:color w:val="222222"/>
          <w:sz w:val="20"/>
          <w:szCs w:val="20"/>
        </w:rPr>
        <w:t xml:space="preserve">EV-to-equity bridge calculation given all debt/asset inputs</w:t>
      </w:r>
    </w:p>
    <w:p>
      <w:pPr>
        <w:pStyle w:val="ListParagraph"/>
        <w:numPr>
          <w:ilvl w:val="0"/>
          <w:numId w:val="2"/>
        </w:numPr>
        <w:spacing w:after="60" w:before="40"/>
      </w:pPr>
      <w:r>
        <w:rPr>
          <w:rFonts w:ascii="Arial" w:cs="Arial" w:eastAsia="Arial" w:hAnsi="Arial"/>
          <w:color w:val="222222"/>
          <w:sz w:val="20"/>
          <w:szCs w:val="20"/>
        </w:rPr>
        <w:t xml:space="preserve">Working capital normalization given historical WC data</w:t>
      </w:r>
    </w:p>
    <w:p>
      <w:pPr>
        <w:pStyle w:val="ListParagraph"/>
        <w:numPr>
          <w:ilvl w:val="0"/>
          <w:numId w:val="2"/>
        </w:numPr>
        <w:spacing w:after="60" w:before="40"/>
      </w:pPr>
      <w:r>
        <w:rPr>
          <w:rFonts w:ascii="Arial" w:cs="Arial" w:eastAsia="Arial" w:hAnsi="Arial"/>
          <w:color w:val="222222"/>
          <w:sz w:val="20"/>
          <w:szCs w:val="20"/>
        </w:rPr>
        <w:t xml:space="preserve">Sell-side readiness score computation from structured inputs</w:t>
      </w:r>
    </w:p>
    <w:p>
      <w:pPr>
        <w:pStyle w:val="ListParagraph"/>
        <w:numPr>
          <w:ilvl w:val="0"/>
          <w:numId w:val="2"/>
        </w:numPr>
        <w:spacing w:after="60" w:before="40"/>
      </w:pPr>
      <w:r>
        <w:rPr>
          <w:rFonts w:ascii="Arial" w:cs="Arial" w:eastAsia="Arial" w:hAnsi="Arial"/>
          <w:color w:val="222222"/>
          <w:sz w:val="20"/>
          <w:szCs w:val="20"/>
        </w:rPr>
        <w:t xml:space="preserve">Confidence score computation from input quality assessment</w:t>
      </w:r>
    </w:p>
    <w:p>
      <w:pPr>
        <w:pStyle w:val="ListParagraph"/>
        <w:numPr>
          <w:ilvl w:val="0"/>
          <w:numId w:val="2"/>
        </w:numPr>
        <w:spacing w:after="60" w:before="40"/>
      </w:pPr>
      <w:r>
        <w:rPr>
          <w:rFonts w:ascii="Arial" w:cs="Arial" w:eastAsia="Arial" w:hAnsi="Arial"/>
          <w:color w:val="222222"/>
          <w:sz w:val="20"/>
          <w:szCs w:val="20"/>
        </w:rPr>
        <w:t xml:space="preserve">Valuation range width calculation from confidence score</w:t>
      </w:r>
    </w:p>
    <w:p>
      <w:pPr>
        <w:pStyle w:val="ListParagraph"/>
        <w:numPr>
          <w:ilvl w:val="0"/>
          <w:numId w:val="2"/>
        </w:numPr>
        <w:spacing w:after="60" w:before="40"/>
      </w:pPr>
      <w:r>
        <w:rPr>
          <w:rFonts w:ascii="Arial" w:cs="Arial" w:eastAsia="Arial" w:hAnsi="Arial"/>
          <w:color w:val="222222"/>
          <w:sz w:val="20"/>
          <w:szCs w:val="20"/>
        </w:rPr>
        <w:t xml:space="preserve">Method weighting calculation from quality scores</w:t>
      </w:r>
    </w:p>
    <w:p>
      <w:pPr>
        <w:pStyle w:val="ListParagraph"/>
        <w:numPr>
          <w:ilvl w:val="0"/>
          <w:numId w:val="2"/>
        </w:numPr>
        <w:spacing w:after="60" w:before="40"/>
      </w:pPr>
      <w:r>
        <w:rPr>
          <w:rFonts w:ascii="Arial" w:cs="Arial" w:eastAsia="Arial" w:hAnsi="Arial"/>
          <w:color w:val="222222"/>
          <w:sz w:val="20"/>
          <w:szCs w:val="20"/>
        </w:rPr>
        <w:t xml:space="preserve">FX-equivalence translation (NGN to USD/GBP)</w:t>
      </w:r>
    </w:p>
    <w:p>
      <w:pPr>
        <w:pStyle w:val="ListParagraph"/>
        <w:numPr>
          <w:ilvl w:val="0"/>
          <w:numId w:val="2"/>
        </w:numPr>
        <w:spacing w:after="60" w:before="40"/>
      </w:pPr>
      <w:r>
        <w:rPr>
          <w:rFonts w:ascii="Arial" w:cs="Arial" w:eastAsia="Arial" w:hAnsi="Arial"/>
          <w:color w:val="222222"/>
          <w:sz w:val="20"/>
          <w:szCs w:val="20"/>
        </w:rPr>
        <w:t xml:space="preserve">Output formatting, versioning, timestamping, and audit logging</w:t>
      </w:r>
    </w:p>
    <w:p>
      <w:pPr>
        <w:pStyle w:val="ListParagraph"/>
        <w:numPr>
          <w:ilvl w:val="0"/>
          <w:numId w:val="2"/>
        </w:numPr>
        <w:spacing w:after="60" w:before="40"/>
      </w:pPr>
      <w:r>
        <w:rPr>
          <w:rFonts w:ascii="Arial" w:cs="Arial" w:eastAsia="Arial" w:hAnsi="Arial"/>
          <w:color w:val="222222"/>
          <w:sz w:val="20"/>
          <w:szCs w:val="20"/>
        </w:rPr>
        <w:t xml:space="preserve">Flag generation from threshold rules (e.g., top customer &gt; 40% of revenue)</w:t>
      </w:r>
    </w:p>
    <w:p>
      <w:pPr>
        <w:pStyle w:val="Heading2"/>
        <w:pBdr>
          <w:bottom w:val="single" w:color="2E5F8A" w:sz="4" w:space="4"/>
        </w:pBdr>
        <w:spacing w:after="120" w:before="280"/>
      </w:pPr>
      <w:r>
        <w:rPr>
          <w:rFonts w:ascii="Arial" w:cs="Arial" w:eastAsia="Arial" w:hAnsi="Arial"/>
          <w:b/>
          <w:bCs/>
          <w:color w:val="2E5F8A"/>
          <w:sz w:val="26"/>
          <w:szCs w:val="26"/>
        </w:rPr>
        <w:t xml:space="preserve">Must Remain Analyst-Review Fields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63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Analyst Review is Required</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Owner comp market replacement rate</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Requires sector, seniority, and local market judgment. Nigerian market data is thin.</w:t>
            </w:r>
          </w:p>
        </w:tc>
      </w:tr>
      <w:tr>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Related-party transaction classification</w:t>
            </w:r>
          </w:p>
        </w:tc>
        <w:tc>
          <w:tcPr>
            <w:tcW w:type="dxa" w:w="6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Requires document review. Cannot be self-reported reliably.</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One-off vs recurring determination</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Context-dependent. Owner's characterization is not reliable.</w:t>
            </w:r>
          </w:p>
        </w:tc>
      </w:tr>
      <w:tr>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WACC / discount rate components</w:t>
            </w:r>
          </w:p>
        </w:tc>
        <w:tc>
          <w:tcPr>
            <w:tcW w:type="dxa" w:w="6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Requires current market data and professional judgment on CSRP.</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Terminal growth rate</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Business-specific. Cannot be derived from sector averages alone.</w:t>
            </w:r>
          </w:p>
        </w:tc>
      </w:tr>
      <w:tr>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Comparable selection and quality assessment</w:t>
            </w:r>
          </w:p>
        </w:tc>
        <w:tc>
          <w:tcPr>
            <w:tcW w:type="dxa" w:w="6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Requires judgment on comparability, not just sector match.</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Market condition factor</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Requires current deal market intelligence.</w:t>
            </w:r>
          </w:p>
        </w:tc>
      </w:tr>
      <w:tr>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Forced-sale discount quantum</w:t>
            </w:r>
          </w:p>
        </w:tc>
        <w:tc>
          <w:tcPr>
            <w:tcW w:type="dxa" w:w="6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Depends on buyer pool depth at a specific point in time.</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Final reconciliation narrative</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Requires professional judgment to explain and defend divergences.</w:t>
            </w:r>
          </w:p>
        </w:tc>
      </w:tr>
      <w:tr>
        <w:tc>
          <w:tcPr>
            <w:tcW w:type="dxa" w:w="30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Unusual items and structural flags</w:t>
            </w:r>
          </w:p>
        </w:tc>
        <w:tc>
          <w:tcPr>
            <w:tcW w:type="dxa" w:w="6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Anomalies require investigation, not just flagging.</w:t>
            </w:r>
          </w:p>
        </w:tc>
      </w:tr>
      <w:tr>
        <w:tc>
          <w:tcPr>
            <w:tcW w:type="dxa" w:w="30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Any input marked Low confidence by the data quality engine</w:t>
            </w:r>
          </w:p>
        </w:tc>
        <w:tc>
          <w:tcPr>
            <w:tcW w:type="dxa" w:w="6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Low-confidence inputs must be reviewed before output is presented.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10</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Calibration and Backtesting Framework</w:t>
            </w:r>
          </w:p>
        </w:tc>
      </w:tr>
    </w:tbl>
    <w:p>
      <w:pPr>
        <w:spacing w:after="0" w:before="80"/>
      </w:pPr>
      <w:r>
        <w:t xml:space="preserve"/>
      </w:r>
    </w:p>
    <w:p>
      <w:pPr>
        <w:spacing w:after="100" w:before="60"/>
      </w:pPr>
      <w:r>
        <w:rPr>
          <w:rFonts w:ascii="Arial" w:cs="Arial" w:eastAsia="Arial" w:hAnsi="Arial"/>
          <w:b w:val="false"/>
          <w:bCs w:val="false"/>
          <w:i w:val="false"/>
          <w:iCs w:val="false"/>
          <w:color w:val="222222"/>
          <w:sz w:val="20"/>
          <w:szCs w:val="20"/>
        </w:rPr>
        <w:t xml:space="preserve">A valuation engine that is never tested against real outcomes is not improving. It is decaying, because market conditions change and uncalibrated models systematically drift. The calibration framework below requires building a deal outcome database from day one, even if that database is small initially.</w:t>
      </w:r>
    </w:p>
    <w:p>
      <w:pPr>
        <w:pStyle w:val="Heading2"/>
        <w:pBdr>
          <w:bottom w:val="single" w:color="2E5F8A" w:sz="4" w:space="4"/>
        </w:pBdr>
        <w:spacing w:after="120" w:before="280"/>
      </w:pPr>
      <w:r>
        <w:rPr>
          <w:rFonts w:ascii="Arial" w:cs="Arial" w:eastAsia="Arial" w:hAnsi="Arial"/>
          <w:b/>
          <w:bCs/>
          <w:color w:val="2E5F8A"/>
          <w:sz w:val="26"/>
          <w:szCs w:val="26"/>
        </w:rPr>
        <w:t xml:space="preserve">10.1 Deal Outcome Database Schema</w:t>
      </w:r>
    </w:p>
    <w:p>
      <w:pPr>
        <w:pBdr>
          <w:left w:val="single" w:color="2E5F8A" w:sz="8" w:space="8"/>
        </w:pBdr>
        <w:spacing w:after="80" w:before="80"/>
        <w:ind w:left="720"/>
      </w:pPr>
      <w:r>
        <w:rPr>
          <w:rFonts w:ascii="Courier New" w:cs="Courier New" w:eastAsia="Courier New" w:hAnsi="Courier New"/>
          <w:color w:val="1F3864"/>
          <w:sz w:val="18"/>
          <w:szCs w:val="18"/>
        </w:rPr>
        <w:t xml:space="preserve">deal_record: {
  engagement_id,
  valuation_date,
  engine_version,
  l1_sector, l2_model,
  normalized_ebitda, normalized_sde,
  engine_fomv, engine_avt, engine_fsv,
  engine_confidence_score, engine_range_low, engine_range_high,
  actual_deal_price,
  actual_deal_date,
  time_to_close_days,
  deal_structure: (all_cash / earnout / equity_rollover),
  buyer_type: (strategic / financial / mbo / individual),
  fomv_vs_actual_pct_error,
  in_range: bool
}</w:t>
      </w:r>
    </w:p>
    <w:p>
      <w:pPr>
        <w:pStyle w:val="Heading2"/>
        <w:pBdr>
          <w:bottom w:val="single" w:color="2E5F8A" w:sz="4" w:space="4"/>
        </w:pBdr>
        <w:spacing w:after="120" w:before="280"/>
      </w:pPr>
      <w:r>
        <w:rPr>
          <w:rFonts w:ascii="Arial" w:cs="Arial" w:eastAsia="Arial" w:hAnsi="Arial"/>
          <w:b/>
          <w:bCs/>
          <w:color w:val="2E5F8A"/>
          <w:sz w:val="26"/>
          <w:szCs w:val="26"/>
        </w:rPr>
        <w:t xml:space="preserve">10.2 Calibration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6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33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(Mature Engine)</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Mean Absolute % Error (MAPE)</w:t>
            </w:r>
          </w:p>
        </w:tc>
        <w:tc>
          <w:tcPr>
            <w:tcW w:type="dxa" w:w="3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|actual - FOMV| / actual, averaged</w:t>
            </w:r>
          </w:p>
        </w:tc>
        <w:tc>
          <w:tcPr>
            <w:tcW w:type="dxa" w:w="3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&lt; 20% (first-pass is not a fairness opinion)</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Directional Bias</w:t>
            </w:r>
          </w:p>
        </w:tc>
        <w:tc>
          <w:tcPr>
            <w:tcW w:type="dxa" w:w="3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Mean (actual - FOMV) / actual</w:t>
            </w:r>
          </w:p>
        </w:tc>
        <w:tc>
          <w:tcPr>
            <w:tcW w:type="dxa" w:w="3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Near zero. Persistent positive = undervaluing. Negative = overvaluing.</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Range Accuracy</w:t>
            </w:r>
          </w:p>
        </w:tc>
        <w:tc>
          <w:tcPr>
            <w:tcW w:type="dxa" w:w="3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 of actuals falling within engine range</w:t>
            </w:r>
          </w:p>
        </w:tc>
        <w:tc>
          <w:tcPr>
            <w:tcW w:type="dxa" w:w="3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&gt; 70% at maturity</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Method Accuracy by L2</w:t>
            </w:r>
          </w:p>
        </w:tc>
        <w:tc>
          <w:tcPr>
            <w:tcW w:type="dxa" w:w="3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MAPE segmented by L2 classification</w:t>
            </w:r>
          </w:p>
        </w:tc>
        <w:tc>
          <w:tcPr>
            <w:tcW w:type="dxa" w:w="3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Identifies which L2 models need recalibration</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Confidence Score Calibration</w:t>
            </w:r>
          </w:p>
        </w:tc>
        <w:tc>
          <w:tcPr>
            <w:tcW w:type="dxa" w:w="36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Correlation between confidence score and actual MAPE</w:t>
            </w:r>
          </w:p>
        </w:tc>
        <w:tc>
          <w:tcPr>
            <w:tcW w:type="dxa" w:w="33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Higher confidence should produce lower MAPE</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TCD Calibration</w:t>
            </w:r>
          </w:p>
        </w:tc>
        <w:tc>
          <w:tcPr>
            <w:tcW w:type="dxa" w:w="36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Actual discount on accelerated deals vs predicted TCD</w:t>
            </w:r>
          </w:p>
        </w:tc>
        <w:tc>
          <w:tcPr>
            <w:tcW w:type="dxa" w:w="33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Calibrate TCD table quarterly</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10.3 Data Sourcing for Nigerian Market</w:t>
      </w:r>
    </w:p>
    <w:p>
      <w:pPr>
        <w:spacing w:after="100" w:before="60"/>
      </w:pPr>
      <w:r>
        <w:rPr>
          <w:rFonts w:ascii="Arial" w:cs="Arial" w:eastAsia="Arial" w:hAnsi="Arial"/>
          <w:b w:val="false"/>
          <w:bCs w:val="false"/>
          <w:i w:val="false"/>
          <w:iCs w:val="false"/>
          <w:color w:val="222222"/>
          <w:sz w:val="20"/>
          <w:szCs w:val="20"/>
        </w:rPr>
        <w:t xml:space="preserve">Public transaction data in Nigeria is sparse. The calibration database must be built primarily from: completed transactions advised by Afrexit and partner firms, anonymized data sharing agreements with boutique M&amp;A advisors, IFC/DFI-supported transaction data where available, and RMB/Stanbic/Vetiva corporate finance deal logs if accessible.</w:t>
      </w:r>
    </w:p>
    <w:p>
      <w:pPr>
        <w:spacing w:after="100" w:before="60"/>
      </w:pPr>
      <w:r>
        <w:rPr>
          <w:rFonts w:ascii="Arial" w:cs="Arial" w:eastAsia="Arial" w:hAnsi="Arial"/>
          <w:b w:val="false"/>
          <w:bCs w:val="false"/>
          <w:i w:val="false"/>
          <w:iCs w:val="false"/>
          <w:color w:val="222222"/>
          <w:sz w:val="20"/>
          <w:szCs w:val="20"/>
        </w:rPr>
        <w:t xml:space="preserve">Do not rely on the NASD OTC market or public company data as proxies for SME private market transactions. The liquidity premium and size adjustments required to make those numbers relevant are too large and too speculative to be useful for calibration.</w:t>
      </w:r>
    </w:p>
    <w:p>
      <w:pPr>
        <w:spacing w:after="100" w:before="60"/>
      </w:pPr>
      <w:r>
        <w:rPr>
          <w:rFonts w:ascii="Arial" w:cs="Arial" w:eastAsia="Arial" w:hAnsi="Arial"/>
          <w:b w:val="false"/>
          <w:bCs w:val="false"/>
          <w:i w:val="false"/>
          <w:iCs w:val="false"/>
          <w:color w:val="222222"/>
          <w:sz w:val="20"/>
          <w:szCs w:val="20"/>
        </w:rPr>
        <w:t xml:space="preserve">Initial calibration target: 50 completed transactions with outcome data before claiming any statistical significance in accuracy metrics. Below that threshold, use error bars on all reported accuracy figures.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11</w:t>
            </w:r>
          </w:p>
        </w:tc>
        <w:tc>
          <w:tcPr>
            <w:tcW w:type="dxa" w:w="8640"/>
            <w:tcBorders>
              <w:top w:val="none" w:color="FFFFFF" w:sz="0"/>
              <w:left w:val="none" w:color="FFFFFF" w:sz="0"/>
              <w:bottom w:val="none" w:color="FFFFFF" w:sz="0"/>
              <w:right w:val="none" w:color="FFFFFF" w:sz="0"/>
            </w:tcBorders>
            <w:shd w:fill="D9E4F0" w:val="clear"/>
            <w:tcMar>
              <w:top w:type="dxa" w:w="120"/>
              <w:left w:type="dxa" w:w="200"/>
              <w:bottom w:type="dxa" w:w="120"/>
              <w:right w:type="dxa" w:w="100"/>
            </w:tcMar>
            <w:vAlign w:val="center"/>
          </w:tcPr>
          <w:p>
            <w:r>
              <w:rPr>
                <w:rFonts w:ascii="Arial" w:cs="Arial" w:eastAsia="Arial" w:hAnsi="Arial"/>
                <w:b/>
                <w:bCs/>
                <w:color w:val="1F3864"/>
                <w:sz w:val="26"/>
                <w:szCs w:val="26"/>
              </w:rPr>
              <w:t xml:space="preserve">Phased Implementation Roadmap</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v1: Defensible First-Pass (Owner Self-Serve and Advisor Mode)</w:t>
      </w:r>
    </w:p>
    <w:p>
      <w:pPr>
        <w:spacing w:after="100" w:before="60"/>
      </w:pPr>
      <w:r>
        <w:rPr>
          <w:rFonts w:ascii="Arial" w:cs="Arial" w:eastAsia="Arial" w:hAnsi="Arial"/>
          <w:b w:val="false"/>
          <w:bCs w:val="false"/>
          <w:i w:val="false"/>
          <w:iCs w:val="false"/>
          <w:color w:val="222222"/>
          <w:sz w:val="20"/>
          <w:szCs w:val="20"/>
        </w:rPr>
        <w:t xml:space="preserve">The goal of v1 is not to be a full valuation workbench. It is to produce a number that a serious buyer-side advisor cannot immediately dismiss, and that an owner can use to anchor their expectations going into a sale process. That bar is achievable with the following scope.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6960"/>
            <w:tcBorders>
              <w:top w:val="single" w:color="C5D0DC" w:sz="1"/>
              <w:left w:val="single" w:color="C5D0DC" w:sz="1"/>
              <w:bottom w:val="single" w:color="C5D0DC" w:sz="1"/>
              <w:right w:val="single" w:color="C5D0D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v1 Scope</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Engagement Framing</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All standards and purposes supported.</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Financial Normalization</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All 8 adjustment types with quantified inputs. Analyst-review flags on OCA and RPRA.</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Classification</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L1/L2 taxonomy. Method implications hardcoded by L2.</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Market Approach</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Maintained multiple tables by L2. Auto-applied with size and margin adjustments. No live comp search.</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Income: Cap. Earnings</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WACC construction with guided inputs. Cap rate range calculated.</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Income: DCF</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Not in v1. Available in advisor override as a manual input.</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Asset Approach</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NAV floor calculation. Simplified liquidation estimate.</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EV-to-Equity Bridge</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Full, all debt-like items captured.</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Sell-Side Readiness</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100-point score.</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Confidence Score</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Full, drives output range width.</w:t>
            </w:r>
          </w:p>
        </w:tc>
      </w:tr>
      <w:tr>
        <w:tc>
          <w:tcPr>
            <w:tcW w:type="dxa" w:w="240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Audit Trail</w:t>
            </w:r>
          </w:p>
        </w:tc>
        <w:tc>
          <w:tcPr>
            <w:tcW w:type="dxa" w:w="6960"/>
            <w:tcBorders>
              <w:top w:val="single" w:color="C5D0DC" w:sz="1"/>
              <w:left w:val="single" w:color="C5D0DC" w:sz="1"/>
              <w:bottom w:val="single" w:color="C5D0DC" w:sz="1"/>
              <w:right w:val="single" w:color="C5D0D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Full logging of all inputs and assumptions.</w:t>
            </w:r>
          </w:p>
        </w:tc>
      </w:tr>
      <w:tr>
        <w:tc>
          <w:tcPr>
            <w:tcW w:type="dxa" w:w="240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Output</w:t>
            </w:r>
          </w:p>
        </w:tc>
        <w:tc>
          <w:tcPr>
            <w:tcW w:type="dxa" w:w="6960"/>
            <w:tcBorders>
              <w:top w:val="single" w:color="C5D0DC" w:sz="1"/>
              <w:left w:val="single" w:color="C5D0DC" w:sz="1"/>
              <w:bottom w:val="single" w:color="C5D0DC" w:sz="1"/>
              <w:right w:val="single" w:color="C5D0DC" w:sz="1"/>
            </w:tcBorders>
            <w:shd w:fill="F2F5F8" w:val="clear"/>
            <w:tcMar>
              <w:top w:type="dxa" w:w="80"/>
              <w:left w:type="dxa" w:w="120"/>
              <w:bottom w:type="dxa" w:w="80"/>
              <w:right w:type="dxa" w:w="120"/>
            </w:tcMar>
          </w:tcPr>
          <w:p>
            <w:r>
              <w:rPr>
                <w:rFonts w:ascii="Arial" w:cs="Arial" w:eastAsia="Arial" w:hAnsi="Arial"/>
                <w:color w:val="222222"/>
                <w:sz w:val="18"/>
                <w:szCs w:val="18"/>
              </w:rPr>
              <w:t xml:space="preserve">FOMV, AVT, FSV, SSRS, CS, with range. PDF summary report.</w:t>
            </w:r>
          </w:p>
        </w:tc>
      </w:tr>
    </w:tbl>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v2: Advisor-Grade Workbench</w:t>
      </w:r>
    </w:p>
    <w:p>
      <w:pPr>
        <w:spacing w:after="100" w:before="60"/>
      </w:pPr>
      <w:r>
        <w:rPr>
          <w:rFonts w:ascii="Arial" w:cs="Arial" w:eastAsia="Arial" w:hAnsi="Arial"/>
          <w:b w:val="false"/>
          <w:bCs w:val="false"/>
          <w:i w:val="false"/>
          <w:iCs w:val="false"/>
          <w:color w:val="222222"/>
          <w:sz w:val="20"/>
          <w:szCs w:val="20"/>
        </w:rPr>
        <w:t xml:space="preserve">v2 makes the engine usable for boutique advisory firms preparing an information memorandum or engaging in a buy-side screen. The key additions are a full DCF module, live (or frequently updated) comp data integration, and analyst-mode data entry.</w:t>
      </w:r>
    </w:p>
    <w:p>
      <w:pPr>
        <w:pStyle w:val="ListParagraph"/>
        <w:numPr>
          <w:ilvl w:val="0"/>
          <w:numId w:val="2"/>
        </w:numPr>
        <w:spacing w:after="60" w:before="40"/>
      </w:pPr>
      <w:r>
        <w:rPr>
          <w:rFonts w:ascii="Arial" w:cs="Arial" w:eastAsia="Arial" w:hAnsi="Arial"/>
          <w:color w:val="222222"/>
          <w:sz w:val="20"/>
          <w:szCs w:val="20"/>
        </w:rPr>
        <w:t xml:space="preserve">Full 5-year DCF with scenario modeling (base, bull, bear)</w:t>
      </w:r>
    </w:p>
    <w:p>
      <w:pPr>
        <w:pStyle w:val="ListParagraph"/>
        <w:numPr>
          <w:ilvl w:val="0"/>
          <w:numId w:val="2"/>
        </w:numPr>
        <w:spacing w:after="60" w:before="40"/>
      </w:pPr>
      <w:r>
        <w:rPr>
          <w:rFonts w:ascii="Arial" w:cs="Arial" w:eastAsia="Arial" w:hAnsi="Arial"/>
          <w:color w:val="222222"/>
          <w:sz w:val="20"/>
          <w:szCs w:val="20"/>
        </w:rPr>
        <w:t xml:space="preserve">WACC builder with step-by-step derivation and documentation</w:t>
      </w:r>
    </w:p>
    <w:p>
      <w:pPr>
        <w:pStyle w:val="ListParagraph"/>
        <w:numPr>
          <w:ilvl w:val="0"/>
          <w:numId w:val="2"/>
        </w:numPr>
        <w:spacing w:after="60" w:before="40"/>
      </w:pPr>
      <w:r>
        <w:rPr>
          <w:rFonts w:ascii="Arial" w:cs="Arial" w:eastAsia="Arial" w:hAnsi="Arial"/>
          <w:color w:val="222222"/>
          <w:sz w:val="20"/>
          <w:szCs w:val="20"/>
        </w:rPr>
        <w:t xml:space="preserve">Comparable transaction search (initially curated database, later integrated)</w:t>
      </w:r>
    </w:p>
    <w:p>
      <w:pPr>
        <w:pStyle w:val="ListParagraph"/>
        <w:numPr>
          <w:ilvl w:val="0"/>
          <w:numId w:val="2"/>
        </w:numPr>
        <w:spacing w:after="60" w:before="40"/>
      </w:pPr>
      <w:r>
        <w:rPr>
          <w:rFonts w:ascii="Arial" w:cs="Arial" w:eastAsia="Arial" w:hAnsi="Arial"/>
          <w:color w:val="222222"/>
          <w:sz w:val="20"/>
          <w:szCs w:val="20"/>
        </w:rPr>
        <w:t xml:space="preserve">Analyst mode with full data entry and review flags</w:t>
      </w:r>
    </w:p>
    <w:p>
      <w:pPr>
        <w:pStyle w:val="ListParagraph"/>
        <w:numPr>
          <w:ilvl w:val="0"/>
          <w:numId w:val="2"/>
        </w:numPr>
        <w:spacing w:after="60" w:before="40"/>
      </w:pPr>
      <w:r>
        <w:rPr>
          <w:rFonts w:ascii="Arial" w:cs="Arial" w:eastAsia="Arial" w:hAnsi="Arial"/>
          <w:color w:val="222222"/>
          <w:sz w:val="20"/>
          <w:szCs w:val="20"/>
        </w:rPr>
        <w:t xml:space="preserve">QoE summary report with adjustment schedule</w:t>
      </w:r>
    </w:p>
    <w:p>
      <w:pPr>
        <w:pStyle w:val="ListParagraph"/>
        <w:numPr>
          <w:ilvl w:val="0"/>
          <w:numId w:val="2"/>
        </w:numPr>
        <w:spacing w:after="60" w:before="40"/>
      </w:pPr>
      <w:r>
        <w:rPr>
          <w:rFonts w:ascii="Arial" w:cs="Arial" w:eastAsia="Arial" w:hAnsi="Arial"/>
          <w:color w:val="222222"/>
          <w:sz w:val="20"/>
          <w:szCs w:val="20"/>
        </w:rPr>
        <w:t xml:space="preserve">Multi-method reconciliation narrative (auto-drafted, analyst-editable)</w:t>
      </w:r>
    </w:p>
    <w:p>
      <w:pPr>
        <w:pStyle w:val="ListParagraph"/>
        <w:numPr>
          <w:ilvl w:val="0"/>
          <w:numId w:val="2"/>
        </w:numPr>
        <w:spacing w:after="60" w:before="40"/>
      </w:pPr>
      <w:r>
        <w:rPr>
          <w:rFonts w:ascii="Arial" w:cs="Arial" w:eastAsia="Arial" w:hAnsi="Arial"/>
          <w:color w:val="222222"/>
          <w:sz w:val="20"/>
          <w:szCs w:val="20"/>
        </w:rPr>
        <w:t xml:space="preserve">EV-to-equity bridge with deal structure modeling (earnout scenarios)</w:t>
      </w:r>
    </w:p>
    <w:p>
      <w:pPr>
        <w:pStyle w:val="ListParagraph"/>
        <w:numPr>
          <w:ilvl w:val="0"/>
          <w:numId w:val="2"/>
        </w:numPr>
        <w:spacing w:after="60" w:before="40"/>
      </w:pPr>
      <w:r>
        <w:rPr>
          <w:rFonts w:ascii="Arial" w:cs="Arial" w:eastAsia="Arial" w:hAnsi="Arial"/>
          <w:color w:val="222222"/>
          <w:sz w:val="20"/>
          <w:szCs w:val="20"/>
        </w:rPr>
        <w:t xml:space="preserve">PDF and Word output with advisor branding option</w:t>
      </w:r>
    </w:p>
    <w:p>
      <w:pPr>
        <w:pStyle w:val="ListParagraph"/>
        <w:numPr>
          <w:ilvl w:val="0"/>
          <w:numId w:val="2"/>
        </w:numPr>
        <w:spacing w:after="60" w:before="40"/>
      </w:pPr>
      <w:r>
        <w:rPr>
          <w:rFonts w:ascii="Arial" w:cs="Arial" w:eastAsia="Arial" w:hAnsi="Arial"/>
          <w:color w:val="222222"/>
          <w:sz w:val="20"/>
          <w:szCs w:val="20"/>
        </w:rPr>
        <w:t xml:space="preserve">Deal outcome logging for calibration database</w:t>
      </w:r>
    </w:p>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v3: Institutional Workbench</w:t>
      </w:r>
    </w:p>
    <w:p>
      <w:pPr>
        <w:spacing w:after="100" w:before="60"/>
      </w:pPr>
      <w:r>
        <w:rPr>
          <w:rFonts w:ascii="Arial" w:cs="Arial" w:eastAsia="Arial" w:hAnsi="Arial"/>
          <w:b w:val="false"/>
          <w:bCs w:val="false"/>
          <w:i w:val="false"/>
          <w:iCs w:val="false"/>
          <w:color w:val="222222"/>
          <w:sz w:val="20"/>
          <w:szCs w:val="20"/>
        </w:rPr>
        <w:t xml:space="preserve">v3 serves larger advisory firms and financial institutions using the engine for portfolio screening, credit assessment, or institutional-grade first-pass analysis before commissioning a full business valuation report.</w:t>
      </w:r>
    </w:p>
    <w:p>
      <w:pPr>
        <w:pStyle w:val="ListParagraph"/>
        <w:numPr>
          <w:ilvl w:val="0"/>
          <w:numId w:val="2"/>
        </w:numPr>
        <w:spacing w:after="60" w:before="40"/>
      </w:pPr>
      <w:r>
        <w:rPr>
          <w:rFonts w:ascii="Arial" w:cs="Arial" w:eastAsia="Arial" w:hAnsi="Arial"/>
          <w:color w:val="222222"/>
          <w:sz w:val="20"/>
          <w:szCs w:val="20"/>
        </w:rPr>
        <w:t xml:space="preserve">API access for bulk processing and CRM integration</w:t>
      </w:r>
    </w:p>
    <w:p>
      <w:pPr>
        <w:pStyle w:val="ListParagraph"/>
        <w:numPr>
          <w:ilvl w:val="0"/>
          <w:numId w:val="2"/>
        </w:numPr>
        <w:spacing w:after="60" w:before="40"/>
      </w:pPr>
      <w:r>
        <w:rPr>
          <w:rFonts w:ascii="Arial" w:cs="Arial" w:eastAsia="Arial" w:hAnsi="Arial"/>
          <w:color w:val="222222"/>
          <w:sz w:val="20"/>
          <w:szCs w:val="20"/>
        </w:rPr>
        <w:t xml:space="preserve">Monte Carlo simulation for uncertainty quantification (500-1000 iterations on key assumptions)</w:t>
      </w:r>
    </w:p>
    <w:p>
      <w:pPr>
        <w:pStyle w:val="ListParagraph"/>
        <w:numPr>
          <w:ilvl w:val="0"/>
          <w:numId w:val="2"/>
        </w:numPr>
        <w:spacing w:after="60" w:before="40"/>
      </w:pPr>
      <w:r>
        <w:rPr>
          <w:rFonts w:ascii="Arial" w:cs="Arial" w:eastAsia="Arial" w:hAnsi="Arial"/>
          <w:color w:val="222222"/>
          <w:sz w:val="20"/>
          <w:szCs w:val="20"/>
        </w:rPr>
        <w:t xml:space="preserve">Strategic buyer value calculator (investment value adjustment)</w:t>
      </w:r>
    </w:p>
    <w:p>
      <w:pPr>
        <w:pStyle w:val="ListParagraph"/>
        <w:numPr>
          <w:ilvl w:val="0"/>
          <w:numId w:val="2"/>
        </w:numPr>
        <w:spacing w:after="60" w:before="40"/>
      </w:pPr>
      <w:r>
        <w:rPr>
          <w:rFonts w:ascii="Arial" w:cs="Arial" w:eastAsia="Arial" w:hAnsi="Arial"/>
          <w:color w:val="222222"/>
          <w:sz w:val="20"/>
          <w:szCs w:val="20"/>
        </w:rPr>
        <w:t xml:space="preserve">Portfolio comparison dashboard</w:t>
      </w:r>
    </w:p>
    <w:p>
      <w:pPr>
        <w:pStyle w:val="ListParagraph"/>
        <w:numPr>
          <w:ilvl w:val="0"/>
          <w:numId w:val="2"/>
        </w:numPr>
        <w:spacing w:after="60" w:before="40"/>
      </w:pPr>
      <w:r>
        <w:rPr>
          <w:rFonts w:ascii="Arial" w:cs="Arial" w:eastAsia="Arial" w:hAnsi="Arial"/>
          <w:color w:val="222222"/>
          <w:sz w:val="20"/>
          <w:szCs w:val="20"/>
        </w:rPr>
        <w:t xml:space="preserve">Custom multiple tables and discount rate assumptions by client firm</w:t>
      </w:r>
    </w:p>
    <w:p>
      <w:pPr>
        <w:pStyle w:val="ListParagraph"/>
        <w:numPr>
          <w:ilvl w:val="0"/>
          <w:numId w:val="2"/>
        </w:numPr>
        <w:spacing w:after="60" w:before="40"/>
      </w:pPr>
      <w:r>
        <w:rPr>
          <w:rFonts w:ascii="Arial" w:cs="Arial" w:eastAsia="Arial" w:hAnsi="Arial"/>
          <w:color w:val="222222"/>
          <w:sz w:val="20"/>
          <w:szCs w:val="20"/>
        </w:rPr>
        <w:t xml:space="preserve">White-label output with client branding</w:t>
      </w:r>
    </w:p>
    <w:p>
      <w:pPr>
        <w:pStyle w:val="ListParagraph"/>
        <w:numPr>
          <w:ilvl w:val="0"/>
          <w:numId w:val="2"/>
        </w:numPr>
        <w:spacing w:after="60" w:before="40"/>
      </w:pPr>
      <w:r>
        <w:rPr>
          <w:rFonts w:ascii="Arial" w:cs="Arial" w:eastAsia="Arial" w:hAnsi="Arial"/>
          <w:color w:val="222222"/>
          <w:sz w:val="20"/>
          <w:szCs w:val="20"/>
        </w:rPr>
        <w:t xml:space="preserve">Backtesting dashboard showing calibration metrics by L2 and deal type</w:t>
      </w:r>
    </w:p>
    <w:p>
      <w:pPr>
        <w:pStyle w:val="ListParagraph"/>
        <w:numPr>
          <w:ilvl w:val="0"/>
          <w:numId w:val="2"/>
        </w:numPr>
        <w:spacing w:after="60" w:before="40"/>
      </w:pPr>
      <w:r>
        <w:rPr>
          <w:rFonts w:ascii="Arial" w:cs="Arial" w:eastAsia="Arial" w:hAnsi="Arial"/>
          <w:color w:val="222222"/>
          <w:sz w:val="20"/>
          <w:szCs w:val="20"/>
        </w:rPr>
        <w:t xml:space="preserve">Integration with commercial credit bureaus and CAC registry for entity validation</w:t>
      </w:r>
    </w:p>
    <w:p>
      <w:pPr>
        <w:pStyle w:val="ListParagraph"/>
        <w:numPr>
          <w:ilvl w:val="0"/>
          <w:numId w:val="2"/>
        </w:numPr>
        <w:spacing w:after="60" w:before="40"/>
      </w:pPr>
      <w:r>
        <w:rPr>
          <w:rFonts w:ascii="Arial" w:cs="Arial" w:eastAsia="Arial" w:hAnsi="Arial"/>
          <w:color w:val="222222"/>
          <w:sz w:val="20"/>
          <w:szCs w:val="20"/>
        </w:rPr>
        <w:t xml:space="preserve">Multi-currency support with FX sensitivity analysis</w:t>
      </w:r>
    </w:p>
    <w:p>
      <w:pPr>
        <w:spacing w:after="0" w:before="80"/>
      </w:pPr>
      <w:r>
        <w:t xml:space="preserve"/>
      </w:r>
    </w:p>
    <w:p>
      <w:pPr>
        <w:pStyle w:val="Heading2"/>
        <w:pBdr>
          <w:bottom w:val="single" w:color="2E5F8A" w:sz="4" w:space="4"/>
        </w:pBdr>
        <w:spacing w:after="120" w:before="280"/>
      </w:pPr>
      <w:r>
        <w:rPr>
          <w:rFonts w:ascii="Arial" w:cs="Arial" w:eastAsia="Arial" w:hAnsi="Arial"/>
          <w:b/>
          <w:bCs/>
          <w:color w:val="2E5F8A"/>
          <w:sz w:val="26"/>
          <w:szCs w:val="26"/>
        </w:rPr>
        <w:t xml:space="preserve">What 'Gold Standard' Can and Cannot Mean in a Self-Serve Product</w:t>
      </w:r>
    </w:p>
    <w:p>
      <w:pPr>
        <w:spacing w:after="100" w:before="60"/>
      </w:pPr>
      <w:r>
        <w:rPr>
          <w:rFonts w:ascii="Arial" w:cs="Arial" w:eastAsia="Arial" w:hAnsi="Arial"/>
          <w:b w:val="false"/>
          <w:bCs w:val="false"/>
          <w:i w:val="false"/>
          <w:iCs w:val="false"/>
          <w:color w:val="222222"/>
          <w:sz w:val="20"/>
          <w:szCs w:val="20"/>
        </w:rPr>
        <w:t xml:space="preserve">This question deserves a direct answer. A self-serve product can achieve: defensible structure, quantified inputs, transparent assumptions, correct method application, proper EV-to-equity conversion, honest confidence signalling, and a clear audit trail. Those are real, valuable properties that most current SME valuation tools lack entirely.</w:t>
      </w:r>
    </w:p>
    <w:p>
      <w:pPr>
        <w:spacing w:after="100" w:before="60"/>
      </w:pPr>
      <w:r>
        <w:rPr>
          <w:rFonts w:ascii="Arial" w:cs="Arial" w:eastAsia="Arial" w:hAnsi="Arial"/>
          <w:b w:val="false"/>
          <w:bCs w:val="false"/>
          <w:i w:val="false"/>
          <w:iCs w:val="false"/>
          <w:color w:val="222222"/>
          <w:sz w:val="20"/>
          <w:szCs w:val="20"/>
        </w:rPr>
        <w:t xml:space="preserve">A self-serve product cannot replace: the judgment of an experienced analyst on a contested normalization item, an independent assessment of asset fair values, a quality of earnings review backed by bank statement reconciliation, or a fairness opinion that would survive scrutiny in a legal dispute or regulatory review.</w:t>
      </w:r>
    </w:p>
    <w:p>
      <w:pPr>
        <w:spacing w:after="100" w:before="60"/>
      </w:pPr>
      <w:r>
        <w:rPr>
          <w:rFonts w:ascii="Arial" w:cs="Arial" w:eastAsia="Arial" w:hAnsi="Arial"/>
          <w:b w:val="false"/>
          <w:bCs w:val="false"/>
          <w:i w:val="false"/>
          <w:iCs w:val="false"/>
          <w:color w:val="222222"/>
          <w:sz w:val="20"/>
          <w:szCs w:val="20"/>
        </w:rPr>
        <w:t xml:space="preserve">The engine should communicate this honestly. The output should say, in plain language, that this is a first-pass analytical framework that provides a defensible starting point, not a certified business valuation. Users who need the latter should be directed to engage a qualified professional for a full engagement. That honesty does not undermine the product. It builds credibility with the advisory firms who will recommend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0DC" w:sz="1"/>
              <w:left w:val="single" w:color="C5D0DC" w:sz="1"/>
              <w:bottom w:val="single" w:color="C5D0DC" w:sz="1"/>
              <w:right w:val="single" w:color="C5D0DC" w:sz="1"/>
            </w:tcBorders>
            <w:shd w:fill="D9E4F0" w:val="clear"/>
            <w:tcMar>
              <w:top w:type="dxa" w:w="120"/>
              <w:left w:type="dxa" w:w="200"/>
              <w:bottom w:type="dxa" w:w="120"/>
              <w:right w:type="dxa" w:w="200"/>
            </w:tcMar>
          </w:tcPr>
          <w:p>
            <w:r>
              <w:rPr>
                <w:rFonts w:ascii="Arial" w:cs="Arial" w:eastAsia="Arial" w:hAnsi="Arial"/>
                <w:i/>
                <w:iCs/>
                <w:color w:val="333333"/>
                <w:sz w:val="18"/>
                <w:szCs w:val="18"/>
              </w:rPr>
              <w:t xml:space="preserve">Final note on the Nigerian context: the biggest single source of error in Nigerian SME valuations is not methodology. It is normalized earnings. An owner who has extracted ₦80M from a business reporting ₦20M net profit produces a ₦100M SDE figure that changes the entire valuation. Get the normalization right, be transparent about the assumptions, and the methodology will follow. Get the normalization wrong, and no amount of DCF sophistication will save the output.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4"/>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4"/>
      </w:pBdr>
      <w:spacing w:after="80"/>
    </w:pPr>
    <w:r>
      <w:rPr>
        <w:rFonts w:ascii="Arial" w:cs="Arial" w:eastAsia="Arial" w:hAnsi="Arial"/>
        <w:b/>
        <w:bCs/>
        <w:color w:val="2E5F8A"/>
        <w:sz w:val="18"/>
        <w:szCs w:val="18"/>
      </w:rPr>
      <w:t xml:space="preserve">AFREXIT  |  Valuation Engine Redesign</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1F3864"/>
      <w:sz w:val="32"/>
      <w:szCs w:val="32"/>
    </w:rPr>
  </w:style>
  <w:style w:type="paragraph" w:styleId="Heading2">
    <w:name w:val="Heading 2"/>
    <w:basedOn w:val="Normal"/>
    <w:next w:val="Normal"/>
    <w:pPr>
      <w:spacing w:after="120" w:before="280"/>
      <w:outlineLvl w:val="1"/>
    </w:pPr>
    <w:rPr>
      <w:rFonts w:ascii="Arial" w:cs="Arial" w:eastAsia="Arial" w:hAnsi="Arial"/>
      <w:b/>
      <w:bCs/>
      <w:color w:val="2E5F8A"/>
      <w:sz w:val="26"/>
      <w:szCs w:val="26"/>
    </w:rPr>
  </w:style>
  <w:style w:type="paragraph" w:styleId="Heading3">
    <w:name w:val="Heading 3"/>
    <w:basedOn w:val="Normal"/>
    <w:next w:val="Normal"/>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2026-03-07T19:46:19.315Z</dcterms:created>
  <dcterms:modified xsi:type="dcterms:W3CDTF">2026-03-07T19:46:19.316Z</dcterms:modified>
</cp:coreProperties>
</file>

<file path=docProps/custom.xml><?xml version="1.0" encoding="utf-8"?>
<Properties xmlns="http://schemas.openxmlformats.org/officeDocument/2006/custom-properties" xmlns:vt="http://schemas.openxmlformats.org/officeDocument/2006/docPropsVTypes"/>
</file>