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2">
      <w:pPr>
        <w:spacing w:after="200" w:lineRule="auto"/>
        <w:jc w:val="center"/>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EXHIBIT </w:t>
      </w:r>
      <w:r w:rsidDel="00000000" w:rsidR="00000000" w:rsidRPr="00000000">
        <w:rPr>
          <w:rFonts w:ascii="Proxima Nova" w:cs="Proxima Nova" w:eastAsia="Proxima Nova" w:hAnsi="Proxima Nova"/>
          <w:rtl w:val="0"/>
        </w:rPr>
        <w:t xml:space="preserve">B</w:t>
      </w:r>
      <w:r w:rsidDel="00000000" w:rsidR="00000000" w:rsidRPr="00000000">
        <w:rPr>
          <w:rFonts w:ascii="Proxima Nova" w:cs="Proxima Nova" w:eastAsia="Proxima Nova" w:hAnsi="Proxima Nova"/>
          <w:color w:val="000000"/>
          <w:rtl w:val="0"/>
        </w:rPr>
        <w:t xml:space="preserve">: </w:t>
      </w:r>
      <w:r w:rsidDel="00000000" w:rsidR="00000000" w:rsidRPr="00000000">
        <w:rPr>
          <w:rFonts w:ascii="Proxima Nova" w:cs="Proxima Nova" w:eastAsia="Proxima Nova" w:hAnsi="Proxima Nova"/>
          <w:rtl w:val="0"/>
        </w:rPr>
        <w:t xml:space="preserve">Very Big Things, LLC.</w:t>
      </w:r>
      <w:r w:rsidDel="00000000" w:rsidR="00000000" w:rsidRPr="00000000">
        <w:rPr>
          <w:rFonts w:ascii="Proxima Nova" w:cs="Proxima Nova" w:eastAsia="Proxima Nova" w:hAnsi="Proxima Nova"/>
          <w:color w:val="000000"/>
          <w:rtl w:val="0"/>
        </w:rPr>
        <w:t xml:space="preserve"> STATEMENT OF WORK</w:t>
      </w:r>
    </w:p>
    <w:p w:rsidR="00000000" w:rsidDel="00000000" w:rsidP="00000000" w:rsidRDefault="00000000" w:rsidRPr="00000000" w14:paraId="00000003">
      <w:pPr>
        <w:widowControl w:val="0"/>
        <w:rPr>
          <w:rFonts w:ascii="Proxima Nova" w:cs="Proxima Nova" w:eastAsia="Proxima Nova" w:hAnsi="Proxima Nova"/>
          <w:b w:val="1"/>
          <w:bCs w:val="1"/>
          <w:color w:val="000000"/>
        </w:rPr>
      </w:pPr>
      <w:r w:rsidDel="00000000" w:rsidR="00000000" w:rsidRPr="00000000">
        <w:rPr>
          <w:rtl w:val="0"/>
        </w:rPr>
      </w:r>
    </w:p>
    <w:p w:rsidR="00000000" w:rsidDel="00000000" w:rsidP="00000000" w:rsidRDefault="00000000" w:rsidRPr="00000000" w14:paraId="00000004">
      <w:pPr>
        <w:widowControl w:val="0"/>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INTRODUCTION/BACKGROUND</w:t>
      </w:r>
    </w:p>
    <w:p w:rsidR="00000000" w:rsidDel="00000000" w:rsidP="00000000" w:rsidRDefault="00000000" w:rsidRPr="00000000" w14:paraId="00000005">
      <w:pPr>
        <w:widowControl w:val="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Statement of Work (SOW) shall serve to outline the current scope of work required for __________ (“Client”), involving Very Big Things, LLC (“VBT”) and is made pursuant to the Master Service Agreement between the parties dated ________ 2025 (the “MSA”).</w:t>
      </w:r>
    </w:p>
    <w:p w:rsidR="00000000" w:rsidDel="00000000" w:rsidP="00000000" w:rsidRDefault="00000000" w:rsidRPr="00000000" w14:paraId="00000006">
      <w:pPr>
        <w:widowControl w:val="0"/>
        <w:spacing w:after="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7">
      <w:pPr>
        <w:tabs>
          <w:tab w:val="left" w:leader="none" w:pos="8860"/>
        </w:tabs>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SCOPE</w:t>
      </w:r>
    </w:p>
    <w:p w:rsidR="00000000" w:rsidDel="00000000" w:rsidP="00000000" w:rsidRDefault="00000000" w:rsidRPr="00000000" w14:paraId="00000008">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TrackFrame MVP Development: Deliver a production-ready implementation of TrackFrame as the unified AI orchestration backbone for Client, including the end-to-end Warehouse Matching workflow, data integrations, and a polished user interface suitable for client-facing use.</w:t>
      </w:r>
    </w:p>
    <w:p w:rsidR="00000000" w:rsidDel="00000000" w:rsidP="00000000" w:rsidRDefault="00000000" w:rsidRPr="00000000" w14:paraId="00000009">
      <w:pPr>
        <w:tabs>
          <w:tab w:val="left" w:leader="none" w:pos="8860"/>
        </w:tabs>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tabs>
          <w:tab w:val="left" w:leader="none" w:pos="8860"/>
        </w:tabs>
        <w:spacing w:after="12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 Platform Foundation – TrackFrame</w:t>
      </w:r>
    </w:p>
    <w:p w:rsidR="00000000" w:rsidDel="00000000" w:rsidP="00000000" w:rsidRDefault="00000000" w:rsidRPr="00000000" w14:paraId="0000000B">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Core Objectives:</w:t>
      </w:r>
    </w:p>
    <w:p w:rsidR="00000000" w:rsidDel="00000000" w:rsidP="00000000" w:rsidRDefault="00000000" w:rsidRPr="00000000" w14:paraId="0000000C">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Establish a scalable, secure, and reusable platform that standardizes authentication, data unification, and workflow management across future AI modules.</w:t>
      </w:r>
    </w:p>
    <w:p w:rsidR="00000000" w:rsidDel="00000000" w:rsidP="00000000" w:rsidRDefault="00000000" w:rsidRPr="00000000" w14:paraId="0000000D">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Included Capabilities: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Authentication &amp; RBAC – Secure login with role-based access for Sales, Ops, and Admin users.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Connector Framework (MVP) – Native, production-grade connectors for:</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Google Drive – Structured/unstructured data sync (documents, decks, collateral).</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Notion – Structured sync for warehouse data, pricing references, and services.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Slack* – If timeline permits, implement a lightweight connection for contextual retrieval from specific channels. Full two-way integration to follow in a later phase.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8860"/>
        </w:tabs>
        <w:spacing w:after="12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UI / UX Framework – Modular interface for hosting AI workflows, with consistent layout and collaboration panel.</w:t>
      </w:r>
    </w:p>
    <w:p w:rsidR="00000000" w:rsidDel="00000000" w:rsidP="00000000" w:rsidRDefault="00000000" w:rsidRPr="00000000" w14:paraId="00000014">
      <w:pPr>
        <w:tabs>
          <w:tab w:val="left" w:leader="none" w:pos="8860"/>
        </w:tabs>
        <w:spacing w:after="1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Slack integration remains a “nice-to-have” enhancement within the MVP window and shall not be a requirement of this SOW.</w:t>
      </w:r>
    </w:p>
    <w:p w:rsidR="00000000" w:rsidDel="00000000" w:rsidP="00000000" w:rsidRDefault="00000000" w:rsidRPr="00000000" w14:paraId="00000015">
      <w:pPr>
        <w:tabs>
          <w:tab w:val="left" w:leader="none" w:pos="8860"/>
        </w:tabs>
        <w:spacing w:after="12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6">
      <w:pPr>
        <w:tabs>
          <w:tab w:val="left" w:leader="none" w:pos="8860"/>
        </w:tabs>
        <w:spacing w:after="12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Workflow #1 – Warehouse Matching</w:t>
      </w:r>
      <w:r w:rsidDel="00000000" w:rsidR="00000000" w:rsidRPr="00000000">
        <w:rPr>
          <w:rtl w:val="0"/>
        </w:rPr>
      </w:r>
    </w:p>
    <w:p w:rsidR="00000000" w:rsidDel="00000000" w:rsidP="00000000" w:rsidRDefault="00000000" w:rsidRPr="00000000" w14:paraId="00000018">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Core Objectives:</w:t>
      </w:r>
      <w:r w:rsidDel="00000000" w:rsidR="00000000" w:rsidRPr="00000000">
        <w:rPr>
          <w:rtl w:val="0"/>
        </w:rPr>
      </w:r>
    </w:p>
    <w:p w:rsidR="00000000" w:rsidDel="00000000" w:rsidP="00000000" w:rsidRDefault="00000000" w:rsidRPr="00000000" w14:paraId="00000019">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Digitize and automate lead-to-warehouse matching process using TrackFrame’s AI reasoning layer and feedback system.</w:t>
      </w:r>
    </w:p>
    <w:p w:rsidR="00000000" w:rsidDel="00000000" w:rsidP="00000000" w:rsidRDefault="00000000" w:rsidRPr="00000000" w14:paraId="0000001A">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Included Capabilities: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Lead Intake &amp; Enrichment – Capture inbound leads via chat or form; enrich with geography, service, and volume metadata.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Includes support for screenshot ingestion, with a lightweight image-to-API handling layer enabling contextual GPT interpretation.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AI Scoping Intelligence – Generate editable summaries and qualification questions.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Warehouse Data Sync – Automated Notion integration to retrieve warehouse services, trust scores, and capacity data.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Matching Engine – Rank and recommend optimal warehouses by fit, rationale, and fallback suggestions.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Action Layer – Enable users to save, share, and draft response emails directly within the conversation thread.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Feedback Loop – Capture overrides, approvals, and user ratings to inform ongoing optimization.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860"/>
        </w:tabs>
        <w:spacing w:after="120" w:before="0" w:line="240" w:lineRule="auto"/>
        <w:ind w:left="720" w:right="0" w:firstLine="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Exclusions / Future Phase:</w:t>
      </w:r>
      <w:r w:rsidDel="00000000" w:rsidR="00000000" w:rsidRPr="00000000">
        <w:rPr>
          <w:rtl w:val="0"/>
        </w:rPr>
      </w:r>
    </w:p>
    <w:p w:rsidR="00000000" w:rsidDel="00000000" w:rsidP="00000000" w:rsidRDefault="00000000" w:rsidRPr="00000000" w14:paraId="00000024">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Autonomous Self-Learning Module – Continuous retraining or document-driven learning beyond dynamic Notion/Drive sync. During MVP, the system will automatically incorporate new Notion/Drive data into the knowledge layer, achieving similar contextual freshness without active fine-tuning.</w:t>
      </w:r>
    </w:p>
    <w:p w:rsidR="00000000" w:rsidDel="00000000" w:rsidP="00000000" w:rsidRDefault="00000000" w:rsidRPr="00000000" w14:paraId="00000025">
      <w:pPr>
        <w:tabs>
          <w:tab w:val="left" w:leader="none" w:pos="8860"/>
        </w:tabs>
        <w:spacing w:after="12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26">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Data &amp; Integrations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Notion — Included (core structured data: warehouse, pricing, services).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Google Drive — Included (core unstructured data: collateral, decks, reference docs).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Slack — Nice-to-have (optional lightweight connector for contextual retrieval if time allows).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Screenshot Uploads — Included (inline image uploads with GPT contextual parsing).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tabs>
          <w:tab w:val="left" w:leader="none" w:pos="8860"/>
        </w:tabs>
        <w:spacing w:after="12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Document Uploads / Self-Learning — Partial (handled via Notion + Drive sync; no active fine-tuning).</w:t>
      </w:r>
    </w:p>
    <w:p w:rsidR="00000000" w:rsidDel="00000000" w:rsidP="00000000" w:rsidRDefault="00000000" w:rsidRPr="00000000" w14:paraId="0000002C">
      <w:pPr>
        <w:tabs>
          <w:tab w:val="left" w:leader="none" w:pos="8860"/>
        </w:tabs>
        <w:spacing w:after="12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tabs>
          <w:tab w:val="left" w:leader="none" w:pos="8860"/>
        </w:tabs>
        <w:spacing w:after="12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TrackFrame Foundation: Secure, modular backend with authentication, connectors, and unified knowledge layer.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Warehouse Matching Workflow: End-to-end workflow including intake, enrichment, matching engine, rationale output, and feedback loop.</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8860"/>
        </w:tabs>
        <w:spacing w:after="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Front-End UI: Polished, client-grade interface consistent with demo materials.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tabs>
          <w:tab w:val="left" w:leader="none" w:pos="8860"/>
        </w:tabs>
        <w:spacing w:after="120" w:before="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Production Deployment: Hosted instance with live data integration and governed access, plus handover materials.</w:t>
      </w:r>
    </w:p>
    <w:p w:rsidR="00000000" w:rsidDel="00000000" w:rsidP="00000000" w:rsidRDefault="00000000" w:rsidRPr="00000000" w14:paraId="00000032">
      <w:pPr>
        <w:tabs>
          <w:tab w:val="left" w:leader="none" w:pos="8860"/>
        </w:tabs>
        <w:spacing w:after="12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INTELLECTUAL PROPERTY</w:t>
      </w:r>
    </w:p>
    <w:p w:rsidR="00000000" w:rsidDel="00000000" w:rsidP="00000000" w:rsidRDefault="00000000" w:rsidRPr="00000000" w14:paraId="00000034">
      <w:pPr>
        <w:tabs>
          <w:tab w:val="left" w:leader="none" w:pos="8860"/>
        </w:tabs>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In addition to the intellectual property rights defined in the MSA, all right, title and interest to all concepts, designs, improvements, derivative works, inventions, and/or original works of authorship, created by VBT as part of VBT’s core generative AI business intelligence TrackFrame (the “TrackFrame IP” or “TrackFrame”), shall remain the exclusive property of VBT.  VBT agrees to grant and does hereby grant to Client a nonexclusive, royalty-free, perpetual, license to use any of the TrackFrame IP.</w:t>
      </w:r>
    </w:p>
    <w:p w:rsidR="00000000" w:rsidDel="00000000" w:rsidP="00000000" w:rsidRDefault="00000000" w:rsidRPr="00000000" w14:paraId="00000035">
      <w:pPr>
        <w:tabs>
          <w:tab w:val="left" w:leader="none" w:pos="8860"/>
        </w:tabs>
        <w:spacing w:after="12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tabs>
          <w:tab w:val="left" w:leader="none" w:pos="8860"/>
        </w:tabs>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ESTIMATED COST &amp; TIMELINE</w:t>
      </w:r>
    </w:p>
    <w:p w:rsidR="00000000" w:rsidDel="00000000" w:rsidP="00000000" w:rsidRDefault="00000000" w:rsidRPr="00000000" w14:paraId="00000037">
      <w:pPr>
        <w:tabs>
          <w:tab w:val="left" w:leader="none" w:pos="8860"/>
        </w:tabs>
        <w:rPr>
          <w:rFonts w:ascii="Proxima Nova" w:cs="Proxima Nova" w:eastAsia="Proxima Nova" w:hAnsi="Proxima Nova"/>
        </w:rPr>
      </w:pPr>
      <w:r w:rsidDel="00000000" w:rsidR="00000000" w:rsidRPr="00000000">
        <w:rPr>
          <w:rFonts w:ascii="Proxima Nova" w:cs="Proxima Nova" w:eastAsia="Proxima Nova" w:hAnsi="Proxima Nova"/>
          <w:rtl w:val="0"/>
        </w:rPr>
        <w:t xml:space="preserve">Fees shall be billed hourly at a rate of $195/hr. and invoiced in 2 week billing cycles. The estimated cost to complete this R&amp;D and Proof of Concept phase is $68,000 - $78,000 (approximately 350-400 hours), with an estimated timeline of 10-12 weeks.</w:t>
      </w:r>
    </w:p>
    <w:p w:rsidR="00000000" w:rsidDel="00000000" w:rsidP="00000000" w:rsidRDefault="00000000" w:rsidRPr="00000000" w14:paraId="00000038">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9">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A">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DEPOSIT</w:t>
      </w:r>
    </w:p>
    <w:p w:rsidR="00000000" w:rsidDel="00000000" w:rsidP="00000000" w:rsidRDefault="00000000" w:rsidRPr="00000000" w14:paraId="0000003B">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deposit equal to $15,000, shall be paid within five (5) business days of the execution of this SOW. If at any time the Client wishes to terminate this SOW pursuant to the MSA, the deposit shall be applied pro-rata to all outstanding time committed by VBT, and the remaining deposit amount, if any, shall be refunded to the Client. Upon completion of the work to be performed under this SOW the deposit, at the Client's discretion, may either be returned to the Client or applied to any upcoming invoice or future work.</w:t>
      </w:r>
    </w:p>
    <w:p w:rsidR="00000000" w:rsidDel="00000000" w:rsidP="00000000" w:rsidRDefault="00000000" w:rsidRPr="00000000" w14:paraId="0000003C">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D">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E">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INVOICING</w:t>
      </w:r>
    </w:p>
    <w:p w:rsidR="00000000" w:rsidDel="00000000" w:rsidP="00000000" w:rsidRDefault="00000000" w:rsidRPr="00000000" w14:paraId="0000003F">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Payment shall be invoiced net 15 days, with invoices sent at the end of each billing cycle for the cost of such billing cycle.  </w:t>
      </w:r>
    </w:p>
    <w:p w:rsidR="00000000" w:rsidDel="00000000" w:rsidP="00000000" w:rsidRDefault="00000000" w:rsidRPr="00000000" w14:paraId="00000040">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4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shd w:fill="auto" w:val="clear"/>
            <w:tcMar>
              <w:top w:w="0.0" w:type="dxa"/>
              <w:left w:w="0.0" w:type="dxa"/>
              <w:bottom w:w="0.0" w:type="dxa"/>
              <w:right w:w="0.0" w:type="dxa"/>
            </w:tcMar>
          </w:tcPr>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48">
      <w:pPr>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4F">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-161923</wp:posOffset>
          </wp:positionH>
          <wp:positionV relativeFrom="paragraph">
            <wp:posOffset>438150</wp:posOffset>
          </wp:positionV>
          <wp:extent cx="785813" cy="790575"/>
          <wp:effectExtent b="0" l="0" r="0" t="0"/>
          <wp:wrapTopAndBottom distB="0" dist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905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name w:val="a"/>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C36F9"/>
    <w:pPr>
      <w:tabs>
        <w:tab w:val="center" w:pos="4680"/>
        <w:tab w:val="right" w:pos="9360"/>
      </w:tabs>
    </w:pPr>
  </w:style>
  <w:style w:type="character" w:styleId="HeaderChar" w:customStyle="1">
    <w:name w:val="Header Char"/>
    <w:basedOn w:val="DefaultParagraphFont"/>
    <w:link w:val="Header"/>
    <w:uiPriority w:val="99"/>
    <w:rsid w:val="007C36F9"/>
    <w:rPr>
      <w:shd w:color="auto" w:fill="ffffff" w:val="clear"/>
    </w:rPr>
  </w:style>
  <w:style w:type="paragraph" w:styleId="Footer">
    <w:name w:val="footer"/>
    <w:basedOn w:val="Normal"/>
    <w:link w:val="FooterChar"/>
    <w:uiPriority w:val="99"/>
    <w:unhideWhenUsed w:val="1"/>
    <w:rsid w:val="007C36F9"/>
    <w:pPr>
      <w:tabs>
        <w:tab w:val="center" w:pos="4680"/>
        <w:tab w:val="right" w:pos="9360"/>
      </w:tabs>
    </w:pPr>
  </w:style>
  <w:style w:type="character" w:styleId="FooterChar" w:customStyle="1">
    <w:name w:val="Footer Char"/>
    <w:basedOn w:val="DefaultParagraphFont"/>
    <w:link w:val="Footer"/>
    <w:uiPriority w:val="99"/>
    <w:rsid w:val="007C36F9"/>
    <w:rPr>
      <w:shd w:color="auto" w:fill="ffffff" w:val="clear"/>
    </w:rPr>
  </w:style>
  <w:style w:type="paragraph" w:styleId="ListParagraph">
    <w:name w:val="List Paragraph"/>
    <w:basedOn w:val="Normal"/>
    <w:uiPriority w:val="34"/>
    <w:qFormat w:val="1"/>
    <w:rsid w:val="00ED508C"/>
    <w:pPr>
      <w:ind w:left="720"/>
      <w:contextualSpacing w:val="1"/>
    </w:pPr>
  </w:style>
  <w:style w:type="paragraph" w:styleId="Revision">
    <w:name w:val="Revision"/>
    <w:hidden w:val="1"/>
    <w:uiPriority w:val="99"/>
    <w:semiHidden w:val="1"/>
    <w:rsid w:val="00E80630"/>
    <w:pPr>
      <w:pBdr>
        <w:top w:color="auto" w:space="0" w:sz="0" w:val="none"/>
        <w:left w:color="auto" w:space="0" w:sz="0" w:val="none"/>
        <w:bottom w:color="auto" w:space="0" w:sz="0" w:val="none"/>
        <w:right w:color="auto" w:space="0" w:sz="0" w:val="none"/>
        <w:between w:color="auto" w:space="0" w:sz="0" w:val="none"/>
      </w:pBdr>
      <w:shd w:color="auto" w:fill="auto" w:val="clear"/>
    </w:pPr>
  </w:style>
  <w:style w:type="character" w:styleId="vsDraft" w:customStyle="1">
    <w:name w:val="vsDraft"/>
    <w:basedOn w:val="DefaultParagraphFont"/>
    <w:rsid w:val="001205CE"/>
    <w:rPr>
      <w:rFonts w:ascii="Proxima Nova" w:cs="Proxima Nova" w:eastAsia="Proxima Nova" w:hAnsi="Proxima Nova"/>
      <w:b w:val="1"/>
      <w:noProof w:val="1"/>
      <w:color w:val="000000"/>
    </w:rPr>
  </w:style>
  <w:style w:type="paragraph" w:styleId="PartnerList" w:customStyle="1">
    <w:name w:val="PartnerList"/>
    <w:basedOn w:val="Normal"/>
    <w:link w:val="PartnerListChar"/>
    <w:rsid w:val="001205CE"/>
    <w:pPr>
      <w:jc w:val="center"/>
    </w:pPr>
    <w:rPr>
      <w:rFonts w:ascii="Tahoma" w:cs="Tahoma" w:eastAsia="Proxima Nova" w:hAnsi="Tahoma"/>
      <w:b w:val="1"/>
      <w:color w:val="404040"/>
      <w:sz w:val="8"/>
    </w:rPr>
  </w:style>
  <w:style w:type="character" w:styleId="PartnerListChar" w:customStyle="1">
    <w:name w:val="PartnerList Char"/>
    <w:basedOn w:val="DefaultParagraphFont"/>
    <w:link w:val="PartnerList"/>
    <w:rsid w:val="001205CE"/>
    <w:rPr>
      <w:rFonts w:ascii="Tahoma" w:cs="Tahoma" w:eastAsia="Proxima Nova" w:hAnsi="Tahoma"/>
      <w:b w:val="1"/>
      <w:color w:val="404040"/>
      <w:sz w:val="8"/>
      <w:shd w:color="auto" w:fill="ffffff" w:val="clear"/>
    </w:rPr>
  </w:style>
  <w:style w:type="character" w:styleId="HeaderFooterOfficeInfo" w:customStyle="1">
    <w:name w:val="HeaderFooterOfficeInfo"/>
    <w:basedOn w:val="DefaultParagraphFont"/>
    <w:rsid w:val="001205CE"/>
    <w:rPr>
      <w:rFonts w:ascii="Montserrat" w:cs="Proxima Nova" w:eastAsia="Proxima Nova" w:hAnsi="Montserrat"/>
      <w:b w:val="1"/>
      <w:noProof w:val="1"/>
      <w:vanish w:val="0"/>
      <w:color w:val="auto"/>
      <w:sz w:val="16"/>
    </w:rPr>
  </w:style>
  <w:style w:type="paragraph" w:styleId="vsLastFooter" w:customStyle="1">
    <w:name w:val="vsLastFooter"/>
    <w:basedOn w:val="Normal"/>
    <w:next w:val="Normal"/>
    <w:rsid w:val="001205CE"/>
    <w:pPr>
      <w:widowControl w:val="0"/>
      <w:spacing w:after="240" w:line="240" w:lineRule="exact"/>
    </w:pPr>
    <w:rPr>
      <w:rFonts w:ascii="Arial" w:cs="Arial" w:eastAsia="Proxima Nova" w:hAnsi="Arial"/>
      <w:b w:val="1"/>
      <w:noProof w:val="1"/>
      <w:color w:val="ff0000"/>
      <w:sz w:val="1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XORmJW2MKcAnX8h25VCDLAfHw==">CgMxLjA4AHIhMXk3ZC05TEdCWWh2NEw4U2p0UXBTcm9OWFlEV0hxREZf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2025-11-03T22:31:00Z</dcterms:created>
</cp:coreProperties>
</file>