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8860"/>
        </w:tabs>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EXHIBIT A: Very Big Things, LLC. STATEMENT OF WORK</w:t>
      </w:r>
    </w:p>
    <w:p w:rsidR="00000000" w:rsidDel="00000000" w:rsidP="00000000" w:rsidRDefault="00000000" w:rsidRPr="00000000" w14:paraId="00000002">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3">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INTRODUCTION/BACKGROUND</w:t>
      </w:r>
    </w:p>
    <w:p w:rsidR="00000000" w:rsidDel="00000000" w:rsidP="00000000" w:rsidRDefault="00000000" w:rsidRPr="00000000" w14:paraId="00000004">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Statement of Work (SOW) shall serve to outline the current scope of work required for ________ ("Client"), involving Very Big Things, LLC ("VBT") and is made pursuant to the Master Service Agreement between the parties dated October ___, 2025 (the "MSA").</w:t>
      </w:r>
    </w:p>
    <w:p w:rsidR="00000000" w:rsidDel="00000000" w:rsidP="00000000" w:rsidRDefault="00000000" w:rsidRPr="00000000" w14:paraId="00000005">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6">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SCOPE</w:t>
      </w:r>
    </w:p>
    <w:p w:rsidR="00000000" w:rsidDel="00000000" w:rsidP="00000000" w:rsidRDefault="00000000" w:rsidRPr="00000000" w14:paraId="00000007">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Research &amp; Discovery phase establishes the foundation for a successful project implementation through detailed analysis, planning, and validation.  This R&amp;D phase will focus on evaluating and validating the application of a hybrid Natural Language (NL) Rules approach—combining asset-aware semantics with lightweight classifiers—to reduce false positives in Client’s alerting systems while maintaining required recall levels. This R&amp;D phase is designed to establish feasibility, provide validated technical prototypes, and deliver recommendations for potential production-level implementation.</w:t>
      </w:r>
    </w:p>
    <w:p w:rsidR="00000000" w:rsidDel="00000000" w:rsidP="00000000" w:rsidRDefault="00000000" w:rsidRPr="00000000" w14:paraId="00000008">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9">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Processes &amp; Deliverables:</w:t>
      </w:r>
    </w:p>
    <w:p w:rsidR="00000000" w:rsidDel="00000000" w:rsidP="00000000" w:rsidRDefault="00000000" w:rsidRPr="00000000" w14:paraId="0000000A">
      <w:pPr>
        <w:numPr>
          <w:ilvl w:val="0"/>
          <w:numId w:val="1"/>
        </w:numPr>
        <w:tabs>
          <w:tab w:val="left" w:leader="none" w:pos="8860"/>
        </w:tabs>
        <w:spacing w:after="240" w:befor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Product Definition</w:t>
      </w:r>
      <w:r w:rsidDel="00000000" w:rsidR="00000000" w:rsidRPr="00000000">
        <w:rPr>
          <w:rFonts w:ascii="Proxima Nova" w:cs="Proxima Nova" w:eastAsia="Proxima Nova" w:hAnsi="Proxima Nova"/>
          <w:rtl w:val="0"/>
        </w:rPr>
        <w:t xml:space="preserve">: Conduct structured workshops with designated Client stakeholders (analyst SMEs, platform/security representatives, and business sponsors) to refine objectives, confirm baseline keyword rule definitions, and prioritize 1–2 rule families for prototyping. Define acceptance thresholds for precision uplift, recall tolerance, and asset coverage.</w:t>
        <w:br w:type="textWrapping"/>
        <w:br w:type="textWrapping"/>
      </w:r>
      <w:r w:rsidDel="00000000" w:rsidR="00000000" w:rsidRPr="00000000">
        <w:rPr>
          <w:rFonts w:ascii="Proxima Nova" w:cs="Proxima Nova" w:eastAsia="Proxima Nova" w:hAnsi="Proxima Nova"/>
          <w:b w:val="1"/>
          <w:bCs w:val="1"/>
          <w:rtl w:val="0"/>
        </w:rPr>
        <w:t xml:space="preserve">Deliverables</w:t>
      </w:r>
      <w:r w:rsidDel="00000000" w:rsidR="00000000" w:rsidRPr="00000000">
        <w:rPr>
          <w:rFonts w:ascii="Proxima Nova" w:cs="Proxima Nova" w:eastAsia="Proxima Nova" w:hAnsi="Proxima Nova"/>
          <w:rtl w:val="0"/>
        </w:rPr>
        <w:t xml:space="preserve">: Finalized priority rule families and baseline rules, and documented acceptance thresholds.</w:t>
      </w:r>
    </w:p>
    <w:p w:rsidR="00000000" w:rsidDel="00000000" w:rsidP="00000000" w:rsidRDefault="00000000" w:rsidRPr="00000000" w14:paraId="0000000B">
      <w:pPr>
        <w:numPr>
          <w:ilvl w:val="0"/>
          <w:numId w:val="1"/>
        </w:numPr>
        <w:tabs>
          <w:tab w:val="left" w:leader="none" w:pos="8860"/>
        </w:tabs>
        <w:spacing w:after="240" w:befor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Research &amp; Data Analysis</w:t>
      </w:r>
      <w:r w:rsidDel="00000000" w:rsidR="00000000" w:rsidRPr="00000000">
        <w:rPr>
          <w:rFonts w:ascii="Proxima Nova" w:cs="Proxima Nova" w:eastAsia="Proxima Nova" w:hAnsi="Proxima Nova"/>
          <w:rtl w:val="0"/>
        </w:rPr>
        <w:t xml:space="preserve">: Conduct exploratory data analysis (EDA) within Client’s cloud environment (e.g., SageMaker, EMR, or approved Jupyter notebooks), including schema review, language distribution, and data quality profiling for representative data sources (posts, structured feeds, asset seeds).</w:t>
        <w:br w:type="textWrapping"/>
      </w:r>
      <w:r w:rsidDel="00000000" w:rsidR="00000000" w:rsidRPr="00000000">
        <w:rPr>
          <w:rFonts w:ascii="Proxima Nova" w:cs="Proxima Nova" w:eastAsia="Proxima Nova" w:hAnsi="Proxima Nova"/>
          <w:i w:val="1"/>
          <w:iCs w:val="1"/>
          <w:rtl w:val="0"/>
        </w:rPr>
        <w:br w:type="textWrapping"/>
      </w:r>
      <w:r w:rsidDel="00000000" w:rsidR="00000000" w:rsidRPr="00000000">
        <w:rPr>
          <w:rFonts w:ascii="Proxima Nova" w:cs="Proxima Nova" w:eastAsia="Proxima Nova" w:hAnsi="Proxima Nova"/>
          <w:b w:val="1"/>
          <w:bCs w:val="1"/>
          <w:rtl w:val="0"/>
        </w:rPr>
        <w:t xml:space="preserve">Deliverables</w:t>
      </w:r>
      <w:r w:rsidDel="00000000" w:rsidR="00000000" w:rsidRPr="00000000">
        <w:rPr>
          <w:rFonts w:ascii="Proxima Nova" w:cs="Proxima Nova" w:eastAsia="Proxima Nova" w:hAnsi="Proxima Nova"/>
          <w:rtl w:val="0"/>
        </w:rPr>
        <w:t xml:space="preserve">: Jupyter notebooks with EDA findings and a written data profile report summarizing schemas, distributions, missingness, and recommended sampling strategy.</w:t>
      </w:r>
    </w:p>
    <w:p w:rsidR="00000000" w:rsidDel="00000000" w:rsidP="00000000" w:rsidRDefault="00000000" w:rsidRPr="00000000" w14:paraId="0000000C">
      <w:pPr>
        <w:numPr>
          <w:ilvl w:val="0"/>
          <w:numId w:val="1"/>
        </w:numPr>
        <w:tabs>
          <w:tab w:val="left" w:leader="none" w:pos="8860"/>
        </w:tabs>
        <w:spacing w:after="240" w:befor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Asset Definition &amp; Normalization</w:t>
      </w:r>
      <w:r w:rsidDel="00000000" w:rsidR="00000000" w:rsidRPr="00000000">
        <w:rPr>
          <w:rFonts w:ascii="Proxima Nova" w:cs="Proxima Nova" w:eastAsia="Proxima Nova" w:hAnsi="Proxima Nova"/>
          <w:rtl w:val="0"/>
        </w:rPr>
        <w:t xml:space="preserve">: Develop prototype rules and mappings for asset normalization (domains, brands, executives), including a validation table of example mappings, failure cases, and heuristic adjustments.</w:t>
        <w:br w:type="textWrapping"/>
        <w:br w:type="textWrapping"/>
      </w:r>
      <w:r w:rsidDel="00000000" w:rsidR="00000000" w:rsidRPr="00000000">
        <w:rPr>
          <w:rFonts w:ascii="Proxima Nova" w:cs="Proxima Nova" w:eastAsia="Proxima Nova" w:hAnsi="Proxima Nova"/>
          <w:b w:val="1"/>
          <w:bCs w:val="1"/>
          <w:rtl w:val="0"/>
        </w:rPr>
        <w:t xml:space="preserve">Deliverables</w:t>
      </w:r>
      <w:r w:rsidDel="00000000" w:rsidR="00000000" w:rsidRPr="00000000">
        <w:rPr>
          <w:rFonts w:ascii="Proxima Nova" w:cs="Proxima Nova" w:eastAsia="Proxima Nova" w:hAnsi="Proxima Nova"/>
          <w:rtl w:val="0"/>
        </w:rPr>
        <w:t xml:space="preserve">: Prototype notebook implementing normalization logic and a validation table with representative success/failure cases.</w:t>
      </w:r>
    </w:p>
    <w:p w:rsidR="00000000" w:rsidDel="00000000" w:rsidP="00000000" w:rsidRDefault="00000000" w:rsidRPr="00000000" w14:paraId="0000000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8860"/>
        </w:tabs>
        <w:spacing w:after="240" w:before="120" w:line="240" w:lineRule="auto"/>
        <w:ind w:left="720" w:right="0" w:hanging="360"/>
        <w:jc w:val="left"/>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POC Development</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Process: Build a hybrid inference pipeline (embeddings + lightweight classifier) for one to two priority rule families, ensuring provenance tracking and reproducibility of prediction outputs (score, confidence, evidence pointers).</w:t>
        <w:br w:type="textWrapping"/>
        <w:br w:type="textWrapping"/>
      </w:r>
      <w:r w:rsidDel="00000000" w:rsidR="00000000" w:rsidRPr="00000000">
        <w:rPr>
          <w:rFonts w:ascii="Proxima Nova" w:cs="Proxima Nova" w:eastAsia="Proxima Nova" w:hAnsi="Proxima Nova"/>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Notebook demonstrating the hybrid NL inference prototype, with sample outputs including score, confidence, and provenance pointers.</w:t>
      </w:r>
    </w:p>
    <w:p w:rsidR="00000000" w:rsidDel="00000000" w:rsidP="00000000" w:rsidRDefault="00000000" w:rsidRPr="00000000" w14:paraId="0000000E">
      <w:pPr>
        <w:numPr>
          <w:ilvl w:val="0"/>
          <w:numId w:val="1"/>
        </w:numPr>
        <w:tabs>
          <w:tab w:val="left" w:leader="none" w:pos="8860"/>
        </w:tabs>
        <w:spacing w:after="240" w:befor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Final Recommendation</w:t>
      </w:r>
      <w:r w:rsidDel="00000000" w:rsidR="00000000" w:rsidRPr="00000000">
        <w:rPr>
          <w:rFonts w:ascii="Proxima Nova" w:cs="Proxima Nova" w:eastAsia="Proxima Nova" w:hAnsi="Proxima Nova"/>
          <w:rtl w:val="0"/>
        </w:rPr>
        <w:t xml:space="preserve">: Access cost and latency implications and provide a recommendation for MVP implementations. </w:t>
        <w:br w:type="textWrapping"/>
        <w:br w:type="textWrapping"/>
      </w:r>
      <w:r w:rsidDel="00000000" w:rsidR="00000000" w:rsidRPr="00000000">
        <w:rPr>
          <w:rFonts w:ascii="Proxima Nova" w:cs="Proxima Nova" w:eastAsia="Proxima Nova" w:hAnsi="Proxima Nova"/>
          <w:b w:val="1"/>
          <w:bCs w:val="1"/>
          <w:rtl w:val="0"/>
        </w:rPr>
        <w:t xml:space="preserve">Deliverables</w:t>
      </w:r>
      <w:r w:rsidDel="00000000" w:rsidR="00000000" w:rsidRPr="00000000">
        <w:rPr>
          <w:rFonts w:ascii="Proxima Nova" w:cs="Proxima Nova" w:eastAsia="Proxima Nova" w:hAnsi="Proxima Nova"/>
          <w:rtl w:val="0"/>
        </w:rPr>
        <w:t xml:space="preserve">: Cost/latency extrapolation analysis, with estimates of token usage, runtime per item, and scalability constraints.</w:t>
      </w:r>
    </w:p>
    <w:p w:rsidR="00000000" w:rsidDel="00000000" w:rsidP="00000000" w:rsidRDefault="00000000" w:rsidRPr="00000000" w14:paraId="0000000F">
      <w:pPr>
        <w:numPr>
          <w:ilvl w:val="0"/>
          <w:numId w:val="1"/>
        </w:numPr>
        <w:tabs>
          <w:tab w:val="left" w:leader="none" w:pos="8860"/>
        </w:tabs>
        <w:spacing w:after="240" w:befor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Implementation Roadmap</w:t>
      </w:r>
      <w:r w:rsidDel="00000000" w:rsidR="00000000" w:rsidRPr="00000000">
        <w:rPr>
          <w:rFonts w:ascii="Proxima Nova" w:cs="Proxima Nova" w:eastAsia="Proxima Nova" w:hAnsi="Proxima Nova"/>
          <w:rtl w:val="0"/>
        </w:rPr>
        <w:t xml:space="preserve">: Deliver recommendations for next-phase MVP development, including a roadmap with estimated hours, resources, and SME commitments required for productionization.</w:t>
        <w:br w:type="textWrapping"/>
        <w:br w:type="textWrapping"/>
      </w:r>
      <w:r w:rsidDel="00000000" w:rsidR="00000000" w:rsidRPr="00000000">
        <w:rPr>
          <w:rFonts w:ascii="Proxima Nova" w:cs="Proxima Nova" w:eastAsia="Proxima Nova" w:hAnsi="Proxima Nova"/>
          <w:b w:val="1"/>
          <w:bCs w:val="1"/>
          <w:rtl w:val="0"/>
        </w:rPr>
        <w:t xml:space="preserve">Deliverables</w:t>
      </w:r>
      <w:r w:rsidDel="00000000" w:rsidR="00000000" w:rsidRPr="00000000">
        <w:rPr>
          <w:rFonts w:ascii="Proxima Nova" w:cs="Proxima Nova" w:eastAsia="Proxima Nova" w:hAnsi="Proxima Nova"/>
          <w:rtl w:val="0"/>
        </w:rPr>
        <w:t xml:space="preserve">: Roadmap document with Go/No-Go recommendation, estimated hours and cost, required SME commitments, and proposed MVP timeline.</w:t>
      </w:r>
    </w:p>
    <w:p w:rsidR="00000000" w:rsidDel="00000000" w:rsidP="00000000" w:rsidRDefault="00000000" w:rsidRPr="00000000" w14:paraId="00000010">
      <w:pPr>
        <w:numPr>
          <w:ilvl w:val="0"/>
          <w:numId w:val="1"/>
        </w:numPr>
        <w:tabs>
          <w:tab w:val="left" w:leader="none" w:pos="8860"/>
        </w:tabs>
        <w:spacing w:after="240" w:before="12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Knowledge Transfer</w:t>
      </w:r>
      <w:r w:rsidDel="00000000" w:rsidR="00000000" w:rsidRPr="00000000">
        <w:rPr>
          <w:rFonts w:ascii="Proxima Nova" w:cs="Proxima Nova" w:eastAsia="Proxima Nova" w:hAnsi="Proxima Nova"/>
          <w:rtl w:val="0"/>
        </w:rPr>
        <w:t xml:space="preserve">: Provide technical documentation (notebooks, runbooks) and hold a handover session to ensure Client’s analysts and engineers understand prototype design, limitations, and future recommendations.</w:t>
        <w:br w:type="textWrapping"/>
        <w:br w:type="textWrapping"/>
      </w:r>
      <w:r w:rsidDel="00000000" w:rsidR="00000000" w:rsidRPr="00000000">
        <w:rPr>
          <w:rFonts w:ascii="Proxima Nova" w:cs="Proxima Nova" w:eastAsia="Proxima Nova" w:hAnsi="Proxima Nova"/>
          <w:b w:val="1"/>
          <w:bCs w:val="1"/>
          <w:rtl w:val="0"/>
        </w:rPr>
        <w:t xml:space="preserve">Deliverables</w:t>
      </w:r>
      <w:r w:rsidDel="00000000" w:rsidR="00000000" w:rsidRPr="00000000">
        <w:rPr>
          <w:rFonts w:ascii="Proxima Nova" w:cs="Proxima Nova" w:eastAsia="Proxima Nova" w:hAnsi="Proxima Nova"/>
          <w:rtl w:val="0"/>
        </w:rPr>
        <w:t xml:space="preserve">: Runbook with IAM role bootstrap instructions, technical documentation of prototype notebooks, and one handover/knowledge transfer session.</w:t>
      </w:r>
    </w:p>
    <w:p w:rsidR="00000000" w:rsidDel="00000000" w:rsidP="00000000" w:rsidRDefault="00000000" w:rsidRPr="00000000" w14:paraId="00000011">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2">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3">
      <w:pPr>
        <w:tabs>
          <w:tab w:val="left" w:leader="none" w:pos="8860"/>
        </w:tabs>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SECURITY &amp; COMPLIANCE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8860"/>
        </w:tabs>
        <w:spacing w:after="120" w:before="0" w:line="240" w:lineRule="auto"/>
        <w:ind w:left="36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All work will be performed solely within Client’s approved environments.</w:t>
      </w:r>
    </w:p>
    <w:p w:rsidR="00000000" w:rsidDel="00000000" w:rsidP="00000000" w:rsidRDefault="00000000" w:rsidRPr="00000000" w14:paraId="0000001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8860"/>
        </w:tabs>
        <w:spacing w:after="120" w:before="0" w:line="240" w:lineRule="auto"/>
        <w:ind w:left="36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No production data will be transferred outside Client’s cloud.</w:t>
      </w:r>
    </w:p>
    <w:p w:rsidR="00000000" w:rsidDel="00000000" w:rsidP="00000000" w:rsidRDefault="00000000" w:rsidRPr="00000000" w14:paraId="0000001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8860"/>
        </w:tabs>
        <w:spacing w:after="120" w:before="0" w:line="240" w:lineRule="auto"/>
        <w:ind w:left="36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Least-privilege IAM roles will be used, with full audit logging.</w:t>
      </w:r>
    </w:p>
    <w:p w:rsidR="00000000" w:rsidDel="00000000" w:rsidP="00000000" w:rsidRDefault="00000000" w:rsidRPr="00000000" w14:paraId="0000001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tabs>
          <w:tab w:val="left" w:leader="none" w:pos="8860"/>
        </w:tabs>
        <w:spacing w:after="120" w:before="0" w:line="240" w:lineRule="auto"/>
        <w:ind w:left="36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Derived models and artifacts remain in Client storage.</w:t>
      </w:r>
    </w:p>
    <w:p w:rsidR="00000000" w:rsidDel="00000000" w:rsidP="00000000" w:rsidRDefault="00000000" w:rsidRPr="00000000" w14:paraId="00000018">
      <w:pPr>
        <w:tabs>
          <w:tab w:val="left" w:leader="none" w:pos="8860"/>
        </w:tabs>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9">
      <w:pPr>
        <w:tabs>
          <w:tab w:val="left" w:leader="none" w:pos="8860"/>
        </w:tabs>
        <w:spacing w:after="12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COST &amp; ESTIMATED TIMELINE</w:t>
      </w:r>
    </w:p>
    <w:p w:rsidR="00000000" w:rsidDel="00000000" w:rsidP="00000000" w:rsidRDefault="00000000" w:rsidRPr="00000000" w14:paraId="0000001A">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cost to complete this R&amp;D phase is $40,000, with an estimated timeline of 4 weeks for completion from the agreed upon start date.</w:t>
      </w:r>
    </w:p>
    <w:p w:rsidR="00000000" w:rsidDel="00000000" w:rsidP="00000000" w:rsidRDefault="00000000" w:rsidRPr="00000000" w14:paraId="0000001B">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tabs>
          <w:tab w:val="left" w:leader="none" w:pos="8860"/>
        </w:tabs>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DEPOSIT</w:t>
      </w:r>
    </w:p>
    <w:p w:rsidR="00000000" w:rsidDel="00000000" w:rsidP="00000000" w:rsidRDefault="00000000" w:rsidRPr="00000000" w14:paraId="0000001D">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A deposit equal to $12,500, shall be paid within ten (10) business days of the execution of this SOW. If at any time the Client wishes to terminate this SOW pursuant to the MSA, the deposit shall be applied pro-rata to all outstanding time committed by VBT, and the remaining deposit amount, if any, shall be refunded to the Client. Upon completion of the work to be performed under this SOW the deposit, at the Client's discretion, may either be returned to the Client or applied to any upcoming invoice or future work.</w:t>
      </w:r>
    </w:p>
    <w:p w:rsidR="00000000" w:rsidDel="00000000" w:rsidP="00000000" w:rsidRDefault="00000000" w:rsidRPr="00000000" w14:paraId="0000001E">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tabs>
          <w:tab w:val="left" w:leader="none" w:pos="8860"/>
        </w:tabs>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INVOICING &amp; PAYMENT</w:t>
      </w:r>
    </w:p>
    <w:p w:rsidR="00000000" w:rsidDel="00000000" w:rsidP="00000000" w:rsidRDefault="00000000" w:rsidRPr="00000000" w14:paraId="00000020">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Payment shall be invoiced net 15 days, with invoices sent at the beginning of each two-week billing cycle for the pro rata cost of such billing cycle.  </w:t>
      </w:r>
    </w:p>
    <w:p w:rsidR="00000000" w:rsidDel="00000000" w:rsidP="00000000" w:rsidRDefault="00000000" w:rsidRPr="00000000" w14:paraId="00000021">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rHeight w:val="864" w:hRule="atLeast"/>
          <w:tblHeader w:val="0"/>
        </w:trPr>
        <w:tc>
          <w:tcPr>
            <w:tcBorders>
              <w:right w:color="000000" w:space="0" w:sz="0" w:val="nil"/>
            </w:tcBorders>
            <w:tcMar>
              <w:top w:w="0.0" w:type="dxa"/>
              <w:left w:w="0.0" w:type="dxa"/>
              <w:bottom w:w="0.0" w:type="dxa"/>
              <w:right w:w="0.0" w:type="dxa"/>
            </w:tcMar>
          </w:tcPr>
          <w:p w:rsidR="00000000" w:rsidDel="00000000" w:rsidP="00000000" w:rsidRDefault="00000000" w:rsidRPr="00000000" w14:paraId="0000002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Very Big Things, LLC</w:t>
              <w:br w:type="textWrapping"/>
            </w:r>
            <w:r w:rsidDel="00000000" w:rsidR="00000000" w:rsidRPr="00000000">
              <w:rPr>
                <w:rFonts w:ascii="Proxima Nova" w:cs="Proxima Nova" w:eastAsia="Proxima Nova" w:hAnsi="Proxima Nova"/>
                <w:rtl w:val="0"/>
              </w:rPr>
              <w:t xml:space="preserve">Date:</w:t>
            </w:r>
          </w:p>
        </w:tc>
        <w:tc>
          <w:tcPr>
            <w:tcBorders>
              <w:left w:color="000000" w:space="0" w:sz="0" w:val="nil"/>
            </w:tcBorders>
            <w:tcMar>
              <w:top w:w="0.0" w:type="dxa"/>
              <w:left w:w="0.0" w:type="dxa"/>
              <w:bottom w:w="0.0" w:type="dxa"/>
              <w:right w:w="0.0" w:type="dxa"/>
            </w:tcMar>
          </w:tcPr>
          <w:p w:rsidR="00000000" w:rsidDel="00000000" w:rsidP="00000000" w:rsidRDefault="00000000" w:rsidRPr="00000000" w14:paraId="0000002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Client</w:t>
              <w:br w:type="textWrapping"/>
            </w:r>
            <w:r w:rsidDel="00000000" w:rsidR="00000000" w:rsidRPr="00000000">
              <w:rPr>
                <w:rFonts w:ascii="Proxima Nova" w:cs="Proxima Nova" w:eastAsia="Proxima Nova" w:hAnsi="Proxima Nova"/>
                <w:rtl w:val="0"/>
              </w:rPr>
              <w:t xml:space="preserve">Date:</w:t>
            </w:r>
          </w:p>
        </w:tc>
      </w:tr>
    </w:tbl>
    <w:p w:rsidR="00000000" w:rsidDel="00000000" w:rsidP="00000000" w:rsidRDefault="00000000" w:rsidRPr="00000000" w14:paraId="0000002A">
      <w:pPr>
        <w:pBdr>
          <w:bottom w:color="000000" w:space="1" w:sz="0" w:val="none"/>
        </w:pBdr>
        <w:rPr>
          <w:rFonts w:ascii="Proxima Nova" w:cs="Proxima Nova" w:eastAsia="Proxima Nova" w:hAnsi="Proxima Nov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tabs>
        <w:tab w:val="right" w:leader="none" w:pos="9340"/>
      </w:tabs>
      <w:jc w:val="center"/>
      <w:rPr>
        <w:rFonts w:ascii="Proxima Nova" w:cs="Proxima Nova" w:eastAsia="Proxima Nova" w:hAnsi="Proxima Nova"/>
        <w:color w:val="34414b"/>
        <w:sz w:val="20"/>
        <w:szCs w:val="20"/>
      </w:rPr>
    </w:pPr>
    <w:r w:rsidDel="00000000" w:rsidR="00000000" w:rsidRPr="00000000">
      <w:rPr>
        <w:rtl w:val="0"/>
      </w:rPr>
    </w:r>
  </w:p>
  <w:p w:rsidR="00000000" w:rsidDel="00000000" w:rsidP="00000000" w:rsidRDefault="00000000" w:rsidRPr="00000000" w14:paraId="00000034">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tabs>
        <w:tab w:val="right" w:leader="none" w:pos="9340"/>
      </w:tabs>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6">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0" cy="12700"/>
              <wp:effectExtent b="0" l="0" r="0" t="0"/>
              <wp:wrapNone/>
              <wp:docPr id="1779076884" name=""/>
              <a:graphic>
                <a:graphicData uri="http://schemas.microsoft.com/office/word/2010/wordprocessingShape">
                  <wps:wsp>
                    <wps:cNvSpPr/>
                    <wps:cNvPr id="2" name="Shape 2"/>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0" cy="12700"/>
              <wp:effectExtent b="0" l="0" r="0" t="0"/>
              <wp:wrapNone/>
              <wp:docPr id="177907688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tabs>
        <w:tab w:val="right" w:leader="none" w:pos="9340"/>
      </w:tabs>
      <w:spacing w:before="7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ab/>
    </w:r>
    <w:r w:rsidDel="00000000" w:rsidR="00000000" w:rsidRPr="00000000">
      <w:drawing>
        <wp:anchor allowOverlap="1" behindDoc="0" distB="0" distT="0" distL="0" distR="0" hidden="0" layoutInCell="1" locked="0" relativeHeight="0" simplePos="0">
          <wp:simplePos x="0" y="0"/>
          <wp:positionH relativeFrom="column">
            <wp:posOffset>-161923</wp:posOffset>
          </wp:positionH>
          <wp:positionV relativeFrom="paragraph">
            <wp:posOffset>438150</wp:posOffset>
          </wp:positionV>
          <wp:extent cx="785813" cy="790575"/>
          <wp:effectExtent b="0" l="0" r="0" t="0"/>
          <wp:wrapTopAndBottom distB="0" distT="0"/>
          <wp:docPr id="1779076888"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90575"/>
                  </a:xfrm>
                  <a:prstGeom prst="rect"/>
                  <a:ln/>
                </pic:spPr>
              </pic:pic>
            </a:graphicData>
          </a:graphic>
        </wp:anchor>
      </w:drawing>
    </w:r>
  </w:p>
  <w:p w:rsidR="00000000" w:rsidDel="00000000" w:rsidP="00000000" w:rsidRDefault="00000000" w:rsidRPr="00000000" w14:paraId="0000002E">
    <w:pPr>
      <w:rPr/>
    </w:pPr>
    <w:r w:rsidDel="00000000" w:rsidR="00000000" w:rsidRPr="00000000">
      <w:rPr>
        <w:rFonts w:ascii="Calibri" w:cs="Calibri" w:eastAsia="Calibri" w:hAnsi="Calibri"/>
        <w:b w:val="1"/>
        <w:bCs w:val="1"/>
        <w:color w:val="000000"/>
        <w:sz w:val="22"/>
        <w:szCs w:val="22"/>
      </w:rPr>
      <mc:AlternateContent>
        <mc:Choice Requires="wps">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0" cy="12700"/>
              <wp:effectExtent b="0" l="0" r="0" t="0"/>
              <wp:wrapNone/>
              <wp:docPr id="1779076885" name=""/>
              <a:graphic>
                <a:graphicData uri="http://schemas.microsoft.com/office/word/2010/wordprocessingShape">
                  <wps:wsp>
                    <wps:cNvSpPr/>
                    <wps:cNvPr id="3" name="Shape 3"/>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0" cy="12700"/>
              <wp:effectExtent b="0" l="0" r="0" t="0"/>
              <wp:wrapNone/>
              <wp:docPr id="1779076885"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right" w:leader="none" w:pos="9340"/>
      </w:tabs>
      <w:spacing w:before="720" w:lineRule="auto"/>
      <w:ind w:hanging="270"/>
      <w:rPr>
        <w:rFonts w:ascii="Calibri" w:cs="Calibri" w:eastAsia="Calibri" w:hAnsi="Calibri"/>
        <w:b w:val="1"/>
        <w:bCs w:val="1"/>
        <w:sz w:val="22"/>
        <w:szCs w:val="22"/>
      </w:rPr>
    </w:pPr>
    <w:r w:rsidDel="00000000" w:rsidR="00000000" w:rsidRPr="00000000">
      <w:rPr>
        <w:rFonts w:ascii="Calibri" w:cs="Calibri" w:eastAsia="Calibri" w:hAnsi="Calibri"/>
        <w:b w:val="1"/>
        <w:bCs w:val="1"/>
      </w:rPr>
      <w:drawing>
        <wp:inline distB="114300" distT="114300" distL="114300" distR="114300">
          <wp:extent cx="785813" cy="785813"/>
          <wp:effectExtent b="0" l="0" r="0" t="0"/>
          <wp:docPr id="1779076887"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after="240" w:line="276" w:lineRule="auto"/>
      <w:rPr>
        <w:rFonts w:ascii="Calibri" w:cs="Calibri" w:eastAsia="Calibri" w:hAnsi="Calibri"/>
        <w:b w:val="1"/>
        <w:bCs w:val="1"/>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b w:val="1"/>
        <w:bCs w:val="1"/>
      </w:rPr>
      <mc:AlternateContent>
        <mc:Choice Requires="wps">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0" cy="12700"/>
              <wp:effectExtent b="0" l="0" r="0" t="0"/>
              <wp:wrapNone/>
              <wp:docPr id="1779076886" name=""/>
              <a:graphic>
                <a:graphicData uri="http://schemas.microsoft.com/office/word/2010/wordprocessingShape">
                  <wps:wsp>
                    <wps:cNvSpPr/>
                    <wps:cNvPr id="4" name="Shape 4"/>
                    <wps:spPr>
                      <a:xfrm>
                        <a:off x="5345683" y="3779683"/>
                        <a:ext cx="6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-6349</wp:posOffset>
              </wp:positionH>
              <wp:positionV relativeFrom="page">
                <wp:posOffset>0</wp:posOffset>
              </wp:positionV>
              <wp:extent cx="0" cy="12700"/>
              <wp:effectExtent b="0" l="0" r="0" t="0"/>
              <wp:wrapNone/>
              <wp:docPr id="1779076886"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000000" w:space="0" w:sz="0" w:val="none"/>
          <w:left w:color="000000" w:space="0" w:sz="0" w:val="none"/>
          <w:bottom w:color="000000" w:space="0" w:sz="0" w:val="none"/>
          <w:right w:color="000000" w:space="0" w:sz="0" w:val="none"/>
          <w:between w:color="000000" w:space="0" w:sz="0" w:val="none"/>
        </w:pBd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C36F9"/>
    <w:pPr>
      <w:tabs>
        <w:tab w:val="center" w:pos="4680"/>
        <w:tab w:val="right" w:pos="9360"/>
      </w:tabs>
    </w:pPr>
  </w:style>
  <w:style w:type="character" w:styleId="HeaderChar" w:customStyle="1">
    <w:name w:val="Header Char"/>
    <w:basedOn w:val="DefaultParagraphFont"/>
    <w:link w:val="Header"/>
    <w:uiPriority w:val="99"/>
    <w:rsid w:val="007C36F9"/>
    <w:rPr>
      <w:shd w:color="auto" w:fill="ffffff" w:val="clear"/>
    </w:rPr>
  </w:style>
  <w:style w:type="paragraph" w:styleId="Footer">
    <w:name w:val="footer"/>
    <w:basedOn w:val="Normal"/>
    <w:link w:val="FooterChar"/>
    <w:uiPriority w:val="99"/>
    <w:unhideWhenUsed w:val="1"/>
    <w:rsid w:val="007C36F9"/>
    <w:pPr>
      <w:tabs>
        <w:tab w:val="center" w:pos="4680"/>
        <w:tab w:val="right" w:pos="9360"/>
      </w:tabs>
    </w:pPr>
  </w:style>
  <w:style w:type="character" w:styleId="FooterChar" w:customStyle="1">
    <w:name w:val="Footer Char"/>
    <w:basedOn w:val="DefaultParagraphFont"/>
    <w:link w:val="Footer"/>
    <w:uiPriority w:val="99"/>
    <w:rsid w:val="007C36F9"/>
    <w:rPr>
      <w:shd w:color="auto" w:fill="ffffff" w:val="clear"/>
    </w:rPr>
  </w:style>
  <w:style w:type="paragraph" w:styleId="ListParagraph">
    <w:name w:val="List Paragraph"/>
    <w:basedOn w:val="Normal"/>
    <w:uiPriority w:val="34"/>
    <w:qFormat w:val="1"/>
    <w:rsid w:val="00ED508C"/>
    <w:pPr>
      <w:ind w:left="720"/>
      <w:contextualSpacing w:val="1"/>
    </w:pPr>
  </w:style>
  <w:style w:type="paragraph" w:styleId="Revision">
    <w:name w:val="Revision"/>
    <w:hidden w:val="1"/>
    <w:uiPriority w:val="99"/>
    <w:semiHidden w:val="1"/>
    <w:rsid w:val="0052148F"/>
    <w:pPr>
      <w:pBdr>
        <w:top w:color="auto" w:space="0" w:sz="0" w:val="none"/>
        <w:left w:color="auto" w:space="0" w:sz="0" w:val="none"/>
        <w:bottom w:color="auto" w:space="0" w:sz="0" w:val="none"/>
        <w:right w:color="auto" w:space="0" w:sz="0" w:val="none"/>
        <w:between w:color="auto" w:space="0" w:sz="0" w:val="none"/>
      </w:pBdr>
      <w:shd w:color="auto" w:fill="auto" w:val="clear"/>
    </w:pPr>
  </w:style>
  <w:style w:type="character" w:styleId="CommentReference">
    <w:name w:val="annotation reference"/>
    <w:basedOn w:val="DefaultParagraphFont"/>
    <w:uiPriority w:val="99"/>
    <w:semiHidden w:val="1"/>
    <w:unhideWhenUsed w:val="1"/>
    <w:rsid w:val="004A56CC"/>
    <w:rPr>
      <w:sz w:val="16"/>
      <w:szCs w:val="16"/>
    </w:rPr>
  </w:style>
  <w:style w:type="paragraph" w:styleId="CommentText">
    <w:name w:val="annotation text"/>
    <w:basedOn w:val="Normal"/>
    <w:link w:val="CommentTextChar"/>
    <w:uiPriority w:val="99"/>
    <w:semiHidden w:val="1"/>
    <w:unhideWhenUsed w:val="1"/>
    <w:rsid w:val="004A56CC"/>
    <w:rPr>
      <w:sz w:val="20"/>
      <w:szCs w:val="20"/>
    </w:rPr>
  </w:style>
  <w:style w:type="character" w:styleId="CommentTextChar" w:customStyle="1">
    <w:name w:val="Comment Text Char"/>
    <w:basedOn w:val="DefaultParagraphFont"/>
    <w:link w:val="CommentText"/>
    <w:uiPriority w:val="99"/>
    <w:semiHidden w:val="1"/>
    <w:rsid w:val="004A56CC"/>
    <w:rPr>
      <w:sz w:val="20"/>
      <w:szCs w:val="20"/>
      <w:shd w:color="auto" w:fill="ffffff" w:val="clear"/>
    </w:rPr>
  </w:style>
  <w:style w:type="paragraph" w:styleId="CommentSubject">
    <w:name w:val="annotation subject"/>
    <w:basedOn w:val="CommentText"/>
    <w:next w:val="CommentText"/>
    <w:link w:val="CommentSubjectChar"/>
    <w:uiPriority w:val="99"/>
    <w:semiHidden w:val="1"/>
    <w:unhideWhenUsed w:val="1"/>
    <w:rsid w:val="004A56CC"/>
    <w:rPr>
      <w:b w:val="1"/>
      <w:bCs w:val="1"/>
    </w:rPr>
  </w:style>
  <w:style w:type="character" w:styleId="CommentSubjectChar" w:customStyle="1">
    <w:name w:val="Comment Subject Char"/>
    <w:basedOn w:val="CommentTextChar"/>
    <w:link w:val="CommentSubject"/>
    <w:uiPriority w:val="99"/>
    <w:semiHidden w:val="1"/>
    <w:rsid w:val="004A56CC"/>
    <w:rPr>
      <w:b w:val="1"/>
      <w:bCs w:val="1"/>
      <w:sz w:val="20"/>
      <w:szCs w:val="20"/>
      <w:shd w:color="auto" w:fill="ffffff"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H7YZmtOHtHTpeeuX4+LEbk+w==">CgMxLjA4AHIhMVRMMU00Uko1bHFlQi1NZlJYSnMwTUpSYUVxam9ONGQ5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2025-10-23T17:52:00Z</dcterms:created>
  <dc:creator>Fernandez, Gianabel (CarnCorp)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0x0101000CC09CB098902E41AB9EEC1126E4E77A011100C2E00FD4A2968A45A6C4F48D602F237D</vt:lpwstr>
  </property>
  <property fmtid="{D5CDD505-2E9C-101B-9397-08002B2CF9AE}" pid="3" name="_dlc_DocIdItemGuid">
    <vt:lpwstr>20c56a7d-85ae-44a4-aa1a-df9afa3535e0</vt:lpwstr>
  </property>
  <property fmtid="{D5CDD505-2E9C-101B-9397-08002B2CF9AE}" pid="4" name="MediaServiceImageTags">
    <vt:lpwstr/>
  </property>
  <property fmtid="{D5CDD505-2E9C-101B-9397-08002B2CF9AE}" pid="5" name="Departments">
    <vt:lpwstr/>
  </property>
  <property fmtid="{D5CDD505-2E9C-101B-9397-08002B2CF9AE}" pid="6" name="Companies">
    <vt:lpwstr/>
  </property>
  <property fmtid="{D5CDD505-2E9C-101B-9397-08002B2CF9AE}" pid="7" name="Ship">
    <vt:lpwstr/>
  </property>
  <property fmtid="{D5CDD505-2E9C-101B-9397-08002B2CF9AE}" pid="8" name="Legacy_x0020_Record_x0020_Series">
    <vt:lpwstr/>
  </property>
  <property fmtid="{D5CDD505-2E9C-101B-9397-08002B2CF9AE}" pid="9" name="Legacy Record Series">
    <vt:lpwstr/>
  </property>
</Properties>
</file>