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after="360" w:line="300" w:lineRule="auto"/>
        <w:jc w:val="center"/>
      </w:pPr>
      <w:r>
        <w:rPr>
          <w:rFonts w:ascii="Calibri" w:hAnsi="Calibri"/>
          <w:color w:val="243447"/>
          <w:sz w:val="22"/>
        </w:rPr>
        <w:t>IMPLEMENTATION PLAYBOOK</w:t>
      </w:r>
    </w:p>
    <w:p>
      <w:pPr>
        <w:spacing w:before="1440" w:after="160"/>
        <w:jc w:val="center"/>
      </w:pPr>
      <w:r>
        <w:rPr>
          <w:rFonts w:ascii="Calibri" w:hAnsi="Calibri"/>
          <w:b/>
          <w:color w:val="1F4D78"/>
          <w:sz w:val="56"/>
        </w:rPr>
        <w:t>SAML 2.0 for Cebu Rooms</w:t>
      </w:r>
    </w:p>
    <w:p>
      <w:pPr>
        <w:spacing w:after="400"/>
        <w:jc w:val="center"/>
      </w:pPr>
      <w:r>
        <w:rPr>
          <w:rFonts w:ascii="Calibri" w:hAnsi="Calibri"/>
          <w:color w:val="2E74B5"/>
          <w:sz w:val="28"/>
        </w:rPr>
        <w:t>Development plan, setup, configuration, testing, deployment, and replication runbook</w:t>
      </w:r>
    </w:p>
    <w:p>
      <w:pPr>
        <w:spacing w:after="120"/>
        <w:jc w:val="center"/>
      </w:pPr>
      <w:r>
        <w:rPr>
          <w:rFonts w:ascii="Calibri" w:hAnsi="Calibri"/>
          <w:b/>
          <w:color w:val="243447"/>
          <w:sz w:val="21"/>
        </w:rPr>
        <w:t>Target stack: Laravel 12 · PHP 8.2 · Inertia/Vue · OneLogin PHP-SAML 4.3</w:t>
      </w:r>
    </w:p>
    <w:p>
      <w:pPr>
        <w:jc w:val="center"/>
      </w:pPr>
      <w:r>
        <w:rPr>
          <w:rFonts w:ascii="Calibri" w:hAnsi="Calibri"/>
          <w:color w:val="667085"/>
          <w:sz w:val="20"/>
        </w:rPr>
        <w:t>Prepared from the implementation in cebu_rooms2 · 15 July 2026</w:t>
      </w:r>
    </w:p>
    <w:p>
      <w:pPr>
        <w:spacing w:after="1800"/>
      </w:pPr>
    </w:p>
    <w:p>
      <w:pPr>
        <w:spacing w:before="80" w:after="160" w:line="288" w:lineRule="auto"/>
        <w:ind w:left="259" w:right="173"/>
        <w:shd w:fill="F4F6F9"/>
      </w:pPr>
      <w:r>
        <w:rPr>
          <w:rFonts w:ascii="Calibri" w:hAnsi="Calibri"/>
          <w:b/>
          <w:color w:val="2E74B5"/>
          <w:sz w:val="22"/>
        </w:rPr>
        <w:t xml:space="preserve">PURPOSE  </w:t>
      </w:r>
      <w:r>
        <w:rPr>
          <w:rFonts w:ascii="Calibri" w:hAnsi="Calibri"/>
          <w:color w:val="243447"/>
          <w:sz w:val="22"/>
        </w:rPr>
        <w:t>Use this guide to reproduce the current service-provider-initiated SAML login flow in another environment or Laravel application, while preserving the same user-matching and security controls.</w:t>
      </w:r>
    </w:p>
    <w:p>
      <w:r>
        <w:br w:type="page"/>
      </w:r>
    </w:p>
    <w:p>
      <w:pPr>
        <w:pStyle w:val="Heading1"/>
      </w:pPr>
      <w:r>
        <w:t>How to use this guide</w:t>
      </w:r>
    </w:p>
    <w:p>
      <w:pPr>
        <w:keepLines w:val="0"/>
        <w:spacing w:after="120" w:line="300" w:lineRule="auto"/>
      </w:pPr>
      <w:r>
        <w:rPr>
          <w:rFonts w:ascii="Calibri" w:hAnsi="Calibri"/>
          <w:color w:val="243447"/>
          <w:sz w:val="22"/>
        </w:rPr>
        <w:t>This is both a delivery plan and an operator runbook. Sections 1–4 explain the target behavior and development sequence. Sections 5–11 provide the exact setup, partner exchange, verification, release, and troubleshooting process.</w:t>
      </w:r>
    </w:p>
    <w:p>
      <w:pPr>
        <w:spacing w:before="80" w:after="160" w:line="288" w:lineRule="auto"/>
        <w:ind w:left="259" w:right="173"/>
        <w:shd w:fill="F4F6F9"/>
      </w:pPr>
      <w:r>
        <w:rPr>
          <w:rFonts w:ascii="Calibri" w:hAnsi="Calibri"/>
          <w:b/>
          <w:color w:val="7A5A00"/>
          <w:sz w:val="22"/>
        </w:rPr>
        <w:t xml:space="preserve">CURRENT IMPLEMENTATION BOUNDARY  </w:t>
      </w:r>
      <w:r>
        <w:rPr>
          <w:rFonts w:ascii="Calibri" w:hAnsi="Calibri"/>
          <w:color w:val="243447"/>
          <w:sz w:val="22"/>
        </w:rPr>
        <w:t>Cebu Rooms acts as the SAML Service Provider (SP). The external AMS/OnePortal system acts as the Identity Provider (IdP). Login is SP-initiated. The current /saml2/logout endpoint ends the local Rooms flow but does not yet issue a standards-based SAML LogoutRequest to the IdP.</w:t>
      </w:r>
    </w:p>
    <w:p>
      <w:pPr>
        <w:pStyle w:val="Heading2"/>
      </w:pPr>
      <w:r>
        <w:t>Document map</w:t>
      </w:r>
    </w:p>
    <w:p>
      <w:pPr>
        <w:pStyle w:val="ListBullet"/>
        <w:spacing w:after="80" w:line="300" w:lineRule="auto"/>
      </w:pPr>
      <w:r>
        <w:rPr>
          <w:rFonts w:ascii="Calibri" w:hAnsi="Calibri"/>
          <w:color w:val="243447"/>
          <w:sz w:val="22"/>
        </w:rPr>
        <w:t>1. Target outcome and architecture</w:t>
      </w:r>
    </w:p>
    <w:p>
      <w:pPr>
        <w:pStyle w:val="ListBullet"/>
        <w:spacing w:after="80" w:line="300" w:lineRule="auto"/>
      </w:pPr>
      <w:r>
        <w:rPr>
          <w:rFonts w:ascii="Calibri" w:hAnsi="Calibri"/>
          <w:color w:val="243447"/>
          <w:sz w:val="22"/>
        </w:rPr>
        <w:t>2. Development plan and acceptance gates</w:t>
      </w:r>
    </w:p>
    <w:p>
      <w:pPr>
        <w:pStyle w:val="ListBullet"/>
        <w:spacing w:after="80" w:line="300" w:lineRule="auto"/>
      </w:pPr>
      <w:r>
        <w:rPr>
          <w:rFonts w:ascii="Calibri" w:hAnsi="Calibri"/>
          <w:color w:val="243447"/>
          <w:sz w:val="22"/>
        </w:rPr>
        <w:t>3. Inputs, ownership, and readiness</w:t>
      </w:r>
    </w:p>
    <w:p>
      <w:pPr>
        <w:pStyle w:val="ListBullet"/>
        <w:spacing w:after="80" w:line="300" w:lineRule="auto"/>
      </w:pPr>
      <w:r>
        <w:rPr>
          <w:rFonts w:ascii="Calibri" w:hAnsi="Calibri"/>
          <w:color w:val="243447"/>
          <w:sz w:val="22"/>
        </w:rPr>
        <w:t>4. Implementation blueprint</w:t>
      </w:r>
    </w:p>
    <w:p>
      <w:pPr>
        <w:pStyle w:val="ListBullet"/>
        <w:spacing w:after="80" w:line="300" w:lineRule="auto"/>
      </w:pPr>
      <w:r>
        <w:rPr>
          <w:rFonts w:ascii="Calibri" w:hAnsi="Calibri"/>
          <w:color w:val="243447"/>
          <w:sz w:val="22"/>
        </w:rPr>
        <w:t>5. Application and database setup</w:t>
      </w:r>
    </w:p>
    <w:p>
      <w:pPr>
        <w:pStyle w:val="ListBullet"/>
        <w:spacing w:after="80" w:line="300" w:lineRule="auto"/>
      </w:pPr>
      <w:r>
        <w:rPr>
          <w:rFonts w:ascii="Calibri" w:hAnsi="Calibri"/>
          <w:color w:val="243447"/>
          <w:sz w:val="22"/>
        </w:rPr>
        <w:t>6. Environment and SAML configuration</w:t>
      </w:r>
    </w:p>
    <w:p>
      <w:pPr>
        <w:pStyle w:val="ListBullet"/>
        <w:spacing w:after="80" w:line="300" w:lineRule="auto"/>
      </w:pPr>
      <w:r>
        <w:rPr>
          <w:rFonts w:ascii="Calibri" w:hAnsi="Calibri"/>
          <w:color w:val="243447"/>
          <w:sz w:val="22"/>
        </w:rPr>
        <w:t>7. IdP registration and attribute contract</w:t>
      </w:r>
    </w:p>
    <w:p>
      <w:pPr>
        <w:pStyle w:val="ListBullet"/>
        <w:spacing w:after="80" w:line="300" w:lineRule="auto"/>
      </w:pPr>
      <w:r>
        <w:rPr>
          <w:rFonts w:ascii="Calibri" w:hAnsi="Calibri"/>
          <w:color w:val="243447"/>
          <w:sz w:val="22"/>
        </w:rPr>
        <w:t>8. End-to-end test procedure</w:t>
      </w:r>
    </w:p>
    <w:p>
      <w:pPr>
        <w:pStyle w:val="ListBullet"/>
        <w:spacing w:after="80" w:line="300" w:lineRule="auto"/>
      </w:pPr>
      <w:r>
        <w:rPr>
          <w:rFonts w:ascii="Calibri" w:hAnsi="Calibri"/>
          <w:color w:val="243447"/>
          <w:sz w:val="22"/>
        </w:rPr>
        <w:t>9. Deployment, rollback, and operations</w:t>
      </w:r>
    </w:p>
    <w:p>
      <w:pPr>
        <w:pStyle w:val="ListBullet"/>
        <w:spacing w:after="80" w:line="300" w:lineRule="auto"/>
      </w:pPr>
      <w:r>
        <w:rPr>
          <w:rFonts w:ascii="Calibri" w:hAnsi="Calibri"/>
          <w:color w:val="243447"/>
          <w:sz w:val="22"/>
        </w:rPr>
        <w:t>10. Troubleshooting</w:t>
      </w:r>
    </w:p>
    <w:p>
      <w:pPr>
        <w:pStyle w:val="ListBullet"/>
        <w:spacing w:after="80" w:line="300" w:lineRule="auto"/>
      </w:pPr>
      <w:r>
        <w:rPr>
          <w:rFonts w:ascii="Calibri" w:hAnsi="Calibri"/>
          <w:color w:val="243447"/>
          <w:sz w:val="22"/>
        </w:rPr>
        <w:t>11. Replication checklist and appendices</w:t>
      </w:r>
    </w:p>
    <w:p>
      <w:pPr>
        <w:pStyle w:val="Heading1"/>
      </w:pPr>
      <w:r>
        <w:t>1. Target outcome and architecture</w:t>
      </w:r>
    </w:p>
    <w:p>
      <w:pPr>
        <w:pStyle w:val="Heading2"/>
      </w:pPr>
      <w:r>
        <w:t>1.1 Desired behavior</w:t>
      </w:r>
    </w:p>
    <w:p>
      <w:pPr>
        <w:keepLines w:val="0"/>
        <w:spacing w:after="120" w:line="300" w:lineRule="auto"/>
      </w:pPr>
      <w:r>
        <w:rPr>
          <w:rFonts w:ascii="Calibri" w:hAnsi="Calibri"/>
          <w:color w:val="243447"/>
          <w:sz w:val="22"/>
        </w:rPr>
        <w:t>A user selects SAML login in Rooms. Rooms generates an AuthnRequest and redirects the browser to the active IdP. The IdP authenticates the user and POSTs a signed SAMLResponse to the Assertion Consumer Service (ACS). Rooms validates the response, finds an existing active user account by email, establishes the Laravel session, records an audit event, and redirects to /MainDashboard.</w:t>
      </w:r>
    </w:p>
    <w:p>
      <w:pPr>
        <w:pStyle w:val="Heading2"/>
      </w:pPr>
      <w:r>
        <w:t>1.2 Trust flow</w:t>
      </w:r>
    </w:p>
    <w:p>
      <w:pPr>
        <w:pStyle w:val="ListNumber"/>
        <w:spacing w:after="80" w:line="300" w:lineRule="auto"/>
      </w:pPr>
      <w:r>
        <w:rPr>
          <w:rFonts w:ascii="Calibri" w:hAnsi="Calibri"/>
          <w:color w:val="243447"/>
          <w:sz w:val="22"/>
        </w:rPr>
        <w:t>Browser → GET /saml2/login: Rooms selects the one active IdP configuration and stores the generated request ID with an expiry.</w:t>
      </w:r>
    </w:p>
    <w:p>
      <w:pPr>
        <w:pStyle w:val="ListNumber"/>
        <w:spacing w:after="80" w:line="300" w:lineRule="auto"/>
      </w:pPr>
      <w:r>
        <w:rPr>
          <w:rFonts w:ascii="Calibri" w:hAnsi="Calibri"/>
          <w:color w:val="243447"/>
          <w:sz w:val="22"/>
        </w:rPr>
        <w:t>Rooms → IdP SSO URL: an HTTP-Redirect AuthnRequest requests emailAddress NameID and carries a relative RelayState.</w:t>
      </w:r>
    </w:p>
    <w:p>
      <w:pPr>
        <w:pStyle w:val="ListNumber"/>
        <w:spacing w:after="80" w:line="300" w:lineRule="auto"/>
      </w:pPr>
      <w:r>
        <w:rPr>
          <w:rFonts w:ascii="Calibri" w:hAnsi="Calibri"/>
          <w:color w:val="243447"/>
          <w:sz w:val="22"/>
        </w:rPr>
        <w:t>IdP → POST /saml2/acs: the browser submits SAMLResponse and RelayState by HTTP-POST.</w:t>
      </w:r>
    </w:p>
    <w:p>
      <w:pPr>
        <w:pStyle w:val="ListNumber"/>
        <w:spacing w:after="80" w:line="300" w:lineRule="auto"/>
      </w:pPr>
      <w:r>
        <w:rPr>
          <w:rFonts w:ascii="Calibri" w:hAnsi="Calibri"/>
          <w:color w:val="243447"/>
          <w:sz w:val="22"/>
        </w:rPr>
        <w:t>ACS validation: signature/library validation plus issuer, destination, recipient, audience, time window, InResponseTo, and replay checks.</w:t>
      </w:r>
    </w:p>
    <w:p>
      <w:pPr>
        <w:pStyle w:val="ListNumber"/>
        <w:spacing w:after="80" w:line="300" w:lineRule="auto"/>
      </w:pPr>
      <w:r>
        <w:rPr>
          <w:rFonts w:ascii="Calibri" w:hAnsi="Calibri"/>
          <w:color w:val="243447"/>
          <w:sz w:val="22"/>
        </w:rPr>
        <w:t>Account resolution: NameID is preferred; email may fall back to email, mail, EmailAddress, emailAddress, or the standard LDAP email OID attribute.</w:t>
      </w:r>
    </w:p>
    <w:p>
      <w:pPr>
        <w:pStyle w:val="ListNumber"/>
        <w:spacing w:after="80" w:line="300" w:lineRule="auto"/>
      </w:pPr>
      <w:r>
        <w:rPr>
          <w:rFonts w:ascii="Calibri" w:hAnsi="Calibri"/>
          <w:color w:val="243447"/>
          <w:sz w:val="22"/>
        </w:rPr>
        <w:t>Session creation: only an existing user_accounts record with account_status=active is admitted; the session is regenerated and last-login fields are updated.</w:t>
      </w:r>
    </w:p>
    <w:p>
      <w:pPr>
        <w:pStyle w:val="Heading2"/>
      </w:pPr>
      <w:r>
        <w:t>1.3 Endpoint contract</w:t>
      </w:r>
    </w:p>
    <w:tbl>
      <w:tblPr>
        <w:tblStyle w:val="TableGrid"/>
        <w:tblW w:type="dxa" w:w="9360"/>
        <w:jc w:val="left"/>
        <w:tblLayout w:type="fixed"/>
        <w:tblLook w:firstColumn="1" w:firstRow="1" w:lastColumn="0" w:lastRow="0" w:noHBand="0" w:noVBand="1" w:val="04A0"/>
        <w:tblInd w:w="120" w:type="dxa"/>
      </w:tblPr>
      <w:tblGrid>
        <w:gridCol w:w="2200"/>
        <w:gridCol w:w="2100"/>
        <w:gridCol w:w="5060"/>
      </w:tblGrid>
      <w:tr>
        <w:trPr>
          <w:tblHeader w:val="true"/>
        </w:trPr>
        <w:tc>
          <w:tcPr>
            <w:tcW w:type="dxa" w:w="2200"/>
            <w:shd w:fill="E8EEF5"/>
            <w:tcMar>
              <w:top w:w="80" w:type="dxa"/>
              <w:start w:w="120" w:type="dxa"/>
              <w:bottom w:w="80" w:type="dxa"/>
              <w:end w:w="120" w:type="dxa"/>
            </w:tcMar>
            <w:vAlign w:val="center"/>
          </w:tcPr>
          <w:p>
            <w:pPr>
              <w:spacing w:after="0"/>
            </w:pPr>
            <w:r>
              <w:rPr>
                <w:rFonts w:ascii="Calibri" w:hAnsi="Calibri"/>
                <w:b/>
                <w:color w:val="1F4D78"/>
                <w:sz w:val="19"/>
              </w:rPr>
              <w:t>Endpoint</w:t>
            </w:r>
          </w:p>
        </w:tc>
        <w:tc>
          <w:tcPr>
            <w:tcW w:type="dxa" w:w="2100"/>
            <w:shd w:fill="E8EEF5"/>
            <w:tcMar>
              <w:top w:w="80" w:type="dxa"/>
              <w:start w:w="120" w:type="dxa"/>
              <w:bottom w:w="80" w:type="dxa"/>
              <w:end w:w="120" w:type="dxa"/>
            </w:tcMar>
            <w:vAlign w:val="center"/>
          </w:tcPr>
          <w:p>
            <w:pPr>
              <w:spacing w:after="0"/>
            </w:pPr>
            <w:r>
              <w:rPr>
                <w:rFonts w:ascii="Calibri" w:hAnsi="Calibri"/>
                <w:b/>
                <w:color w:val="1F4D78"/>
                <w:sz w:val="19"/>
              </w:rPr>
              <w:t>Method / binding</w:t>
            </w:r>
          </w:p>
        </w:tc>
        <w:tc>
          <w:tcPr>
            <w:tcW w:type="dxa" w:w="5060"/>
            <w:shd w:fill="E8EEF5"/>
            <w:tcMar>
              <w:top w:w="80" w:type="dxa"/>
              <w:start w:w="120" w:type="dxa"/>
              <w:bottom w:w="80" w:type="dxa"/>
              <w:end w:w="120" w:type="dxa"/>
            </w:tcMar>
            <w:vAlign w:val="center"/>
          </w:tcPr>
          <w:p>
            <w:pPr>
              <w:spacing w:after="0"/>
            </w:pPr>
            <w:r>
              <w:rPr>
                <w:rFonts w:ascii="Calibri" w:hAnsi="Calibri"/>
                <w:b/>
                <w:color w:val="1F4D78"/>
                <w:sz w:val="19"/>
              </w:rPr>
              <w:t>Purpose</w:t>
            </w:r>
          </w:p>
        </w:tc>
      </w:tr>
      <w:tr>
        <w:trPr/>
        <w:tc>
          <w:tcPr>
            <w:tcW w:type="dxa" w:w="2200"/>
            <w:tcMar>
              <w:top w:w="80" w:type="dxa"/>
              <w:start w:w="120" w:type="dxa"/>
              <w:bottom w:w="80" w:type="dxa"/>
              <w:end w:w="120" w:type="dxa"/>
            </w:tcMar>
            <w:vAlign w:val="center"/>
          </w:tcPr>
          <w:p>
            <w:pPr>
              <w:spacing w:after="0" w:line="264" w:lineRule="auto"/>
            </w:pPr>
            <w:r>
              <w:rPr>
                <w:rFonts w:ascii="Calibri" w:hAnsi="Calibri"/>
                <w:color w:val="243447"/>
                <w:sz w:val="18"/>
              </w:rPr>
              <w:t>/saml2/metadata</w:t>
            </w:r>
          </w:p>
        </w:tc>
        <w:tc>
          <w:tcPr>
            <w:tcW w:type="dxa" w:w="2100"/>
            <w:tcMar>
              <w:top w:w="80" w:type="dxa"/>
              <w:start w:w="120" w:type="dxa"/>
              <w:bottom w:w="80" w:type="dxa"/>
              <w:end w:w="120" w:type="dxa"/>
            </w:tcMar>
            <w:vAlign w:val="center"/>
          </w:tcPr>
          <w:p>
            <w:pPr>
              <w:spacing w:after="0" w:line="264" w:lineRule="auto"/>
            </w:pPr>
            <w:r>
              <w:rPr>
                <w:rFonts w:ascii="Calibri" w:hAnsi="Calibri"/>
                <w:color w:val="243447"/>
                <w:sz w:val="18"/>
              </w:rPr>
              <w:t>GET</w:t>
            </w:r>
          </w:p>
        </w:tc>
        <w:tc>
          <w:tcPr>
            <w:tcW w:type="dxa" w:w="5060"/>
            <w:tcMar>
              <w:top w:w="80" w:type="dxa"/>
              <w:start w:w="120" w:type="dxa"/>
              <w:bottom w:w="80" w:type="dxa"/>
              <w:end w:w="120" w:type="dxa"/>
            </w:tcMar>
            <w:vAlign w:val="center"/>
          </w:tcPr>
          <w:p>
            <w:pPr>
              <w:spacing w:after="0" w:line="264" w:lineRule="auto"/>
            </w:pPr>
            <w:r>
              <w:rPr>
                <w:rFonts w:ascii="Calibri" w:hAnsi="Calibri"/>
                <w:color w:val="243447"/>
                <w:sz w:val="18"/>
              </w:rPr>
              <w:t>Publishes SP Entity ID, ACS, SLO, NameID format, and signing preferences.</w:t>
            </w:r>
          </w:p>
        </w:tc>
      </w:tr>
      <w:tr>
        <w:trPr/>
        <w:tc>
          <w:tcPr>
            <w:tcW w:type="dxa" w:w="2200"/>
            <w:tcMar>
              <w:top w:w="80" w:type="dxa"/>
              <w:start w:w="120" w:type="dxa"/>
              <w:bottom w:w="80" w:type="dxa"/>
              <w:end w:w="120" w:type="dxa"/>
            </w:tcMar>
            <w:vAlign w:val="center"/>
          </w:tcPr>
          <w:p>
            <w:pPr>
              <w:spacing w:after="0" w:line="264" w:lineRule="auto"/>
            </w:pPr>
            <w:r>
              <w:rPr>
                <w:rFonts w:ascii="Calibri" w:hAnsi="Calibri"/>
                <w:color w:val="243447"/>
                <w:sz w:val="18"/>
              </w:rPr>
              <w:t>/saml2/login</w:t>
            </w:r>
          </w:p>
        </w:tc>
        <w:tc>
          <w:tcPr>
            <w:tcW w:type="dxa" w:w="2100"/>
            <w:tcMar>
              <w:top w:w="80" w:type="dxa"/>
              <w:start w:w="120" w:type="dxa"/>
              <w:bottom w:w="80" w:type="dxa"/>
              <w:end w:w="120" w:type="dxa"/>
            </w:tcMar>
            <w:vAlign w:val="center"/>
          </w:tcPr>
          <w:p>
            <w:pPr>
              <w:spacing w:after="0" w:line="264" w:lineRule="auto"/>
            </w:pPr>
            <w:r>
              <w:rPr>
                <w:rFonts w:ascii="Calibri" w:hAnsi="Calibri"/>
                <w:color w:val="243447"/>
                <w:sz w:val="18"/>
              </w:rPr>
              <w:t>GET / HTTP-Redirect</w:t>
            </w:r>
          </w:p>
        </w:tc>
        <w:tc>
          <w:tcPr>
            <w:tcW w:type="dxa" w:w="5060"/>
            <w:tcMar>
              <w:top w:w="80" w:type="dxa"/>
              <w:start w:w="120" w:type="dxa"/>
              <w:bottom w:w="80" w:type="dxa"/>
              <w:end w:w="120" w:type="dxa"/>
            </w:tcMar>
            <w:vAlign w:val="center"/>
          </w:tcPr>
          <w:p>
            <w:pPr>
              <w:spacing w:after="0" w:line="264" w:lineRule="auto"/>
            </w:pPr>
            <w:r>
              <w:rPr>
                <w:rFonts w:ascii="Calibri" w:hAnsi="Calibri"/>
                <w:color w:val="243447"/>
                <w:sz w:val="18"/>
              </w:rPr>
              <w:t>Creates AuthnRequest and redirects to the active IdP.</w:t>
            </w:r>
          </w:p>
        </w:tc>
      </w:tr>
      <w:tr>
        <w:trPr/>
        <w:tc>
          <w:tcPr>
            <w:tcW w:type="dxa" w:w="2200"/>
            <w:tcMar>
              <w:top w:w="80" w:type="dxa"/>
              <w:start w:w="120" w:type="dxa"/>
              <w:bottom w:w="80" w:type="dxa"/>
              <w:end w:w="120" w:type="dxa"/>
            </w:tcMar>
            <w:vAlign w:val="center"/>
          </w:tcPr>
          <w:p>
            <w:pPr>
              <w:spacing w:after="0" w:line="264" w:lineRule="auto"/>
            </w:pPr>
            <w:r>
              <w:rPr>
                <w:rFonts w:ascii="Calibri" w:hAnsi="Calibri"/>
                <w:color w:val="243447"/>
                <w:sz w:val="18"/>
              </w:rPr>
              <w:t>/saml2/acs</w:t>
            </w:r>
          </w:p>
        </w:tc>
        <w:tc>
          <w:tcPr>
            <w:tcW w:type="dxa" w:w="2100"/>
            <w:tcMar>
              <w:top w:w="80" w:type="dxa"/>
              <w:start w:w="120" w:type="dxa"/>
              <w:bottom w:w="80" w:type="dxa"/>
              <w:end w:w="120" w:type="dxa"/>
            </w:tcMar>
            <w:vAlign w:val="center"/>
          </w:tcPr>
          <w:p>
            <w:pPr>
              <w:spacing w:after="0" w:line="264" w:lineRule="auto"/>
            </w:pPr>
            <w:r>
              <w:rPr>
                <w:rFonts w:ascii="Calibri" w:hAnsi="Calibri"/>
                <w:color w:val="243447"/>
                <w:sz w:val="18"/>
              </w:rPr>
              <w:t>POST / HTTP-POST</w:t>
            </w:r>
          </w:p>
        </w:tc>
        <w:tc>
          <w:tcPr>
            <w:tcW w:type="dxa" w:w="5060"/>
            <w:tcMar>
              <w:top w:w="80" w:type="dxa"/>
              <w:start w:w="120" w:type="dxa"/>
              <w:bottom w:w="80" w:type="dxa"/>
              <w:end w:w="120" w:type="dxa"/>
            </w:tcMar>
            <w:vAlign w:val="center"/>
          </w:tcPr>
          <w:p>
            <w:pPr>
              <w:spacing w:after="0" w:line="264" w:lineRule="auto"/>
            </w:pPr>
            <w:r>
              <w:rPr>
                <w:rFonts w:ascii="Calibri" w:hAnsi="Calibri"/>
                <w:color w:val="243447"/>
                <w:sz w:val="18"/>
              </w:rPr>
              <w:t>Consumes and validates SAMLResponse; GET restarts login.</w:t>
            </w:r>
          </w:p>
        </w:tc>
      </w:tr>
      <w:tr>
        <w:trPr/>
        <w:tc>
          <w:tcPr>
            <w:tcW w:type="dxa" w:w="2200"/>
            <w:tcMar>
              <w:top w:w="80" w:type="dxa"/>
              <w:start w:w="120" w:type="dxa"/>
              <w:bottom w:w="80" w:type="dxa"/>
              <w:end w:w="120" w:type="dxa"/>
            </w:tcMar>
            <w:vAlign w:val="center"/>
          </w:tcPr>
          <w:p>
            <w:pPr>
              <w:spacing w:after="0" w:line="264" w:lineRule="auto"/>
            </w:pPr>
            <w:r>
              <w:rPr>
                <w:rFonts w:ascii="Calibri" w:hAnsi="Calibri"/>
                <w:color w:val="243447"/>
                <w:sz w:val="18"/>
              </w:rPr>
              <w:t>/saml2/logout</w:t>
            </w:r>
          </w:p>
        </w:tc>
        <w:tc>
          <w:tcPr>
            <w:tcW w:type="dxa" w:w="2100"/>
            <w:tcMar>
              <w:top w:w="80" w:type="dxa"/>
              <w:start w:w="120" w:type="dxa"/>
              <w:bottom w:w="80" w:type="dxa"/>
              <w:end w:w="120" w:type="dxa"/>
            </w:tcMar>
            <w:vAlign w:val="center"/>
          </w:tcPr>
          <w:p>
            <w:pPr>
              <w:spacing w:after="0" w:line="264" w:lineRule="auto"/>
            </w:pPr>
            <w:r>
              <w:rPr>
                <w:rFonts w:ascii="Calibri" w:hAnsi="Calibri"/>
                <w:color w:val="243447"/>
                <w:sz w:val="18"/>
              </w:rPr>
              <w:t>GET or POST</w:t>
            </w:r>
          </w:p>
        </w:tc>
        <w:tc>
          <w:tcPr>
            <w:tcW w:type="dxa" w:w="5060"/>
            <w:tcMar>
              <w:top w:w="80" w:type="dxa"/>
              <w:start w:w="120" w:type="dxa"/>
              <w:bottom w:w="80" w:type="dxa"/>
              <w:end w:w="120" w:type="dxa"/>
            </w:tcMar>
            <w:vAlign w:val="center"/>
          </w:tcPr>
          <w:p>
            <w:pPr>
              <w:spacing w:after="0" w:line="264" w:lineRule="auto"/>
            </w:pPr>
            <w:r>
              <w:rPr>
                <w:rFonts w:ascii="Calibri" w:hAnsi="Calibri"/>
                <w:color w:val="243447"/>
                <w:sz w:val="18"/>
              </w:rPr>
              <w:t>Records local logout completion and returns to login.</w:t>
            </w:r>
          </w:p>
        </w:tc>
      </w:tr>
      <w:tr>
        <w:trPr/>
        <w:tc>
          <w:tcPr>
            <w:tcW w:type="dxa" w:w="2200"/>
            <w:tcMar>
              <w:top w:w="80" w:type="dxa"/>
              <w:start w:w="120" w:type="dxa"/>
              <w:bottom w:w="80" w:type="dxa"/>
              <w:end w:w="120" w:type="dxa"/>
            </w:tcMar>
            <w:vAlign w:val="center"/>
          </w:tcPr>
          <w:p>
            <w:pPr>
              <w:spacing w:after="0" w:line="264" w:lineRule="auto"/>
            </w:pPr>
            <w:r>
              <w:rPr>
                <w:rFonts w:ascii="Calibri" w:hAnsi="Calibri"/>
                <w:color w:val="243447"/>
                <w:sz w:val="18"/>
              </w:rPr>
              <w:t>/saml2/user-not-found</w:t>
            </w:r>
          </w:p>
        </w:tc>
        <w:tc>
          <w:tcPr>
            <w:tcW w:type="dxa" w:w="2100"/>
            <w:tcMar>
              <w:top w:w="80" w:type="dxa"/>
              <w:start w:w="120" w:type="dxa"/>
              <w:bottom w:w="80" w:type="dxa"/>
              <w:end w:w="120" w:type="dxa"/>
            </w:tcMar>
            <w:vAlign w:val="center"/>
          </w:tcPr>
          <w:p>
            <w:pPr>
              <w:spacing w:after="0" w:line="264" w:lineRule="auto"/>
            </w:pPr>
            <w:r>
              <w:rPr>
                <w:rFonts w:ascii="Calibri" w:hAnsi="Calibri"/>
                <w:color w:val="243447"/>
                <w:sz w:val="18"/>
              </w:rPr>
              <w:t>GET</w:t>
            </w:r>
          </w:p>
        </w:tc>
        <w:tc>
          <w:tcPr>
            <w:tcW w:type="dxa" w:w="5060"/>
            <w:tcMar>
              <w:top w:w="80" w:type="dxa"/>
              <w:start w:w="120" w:type="dxa"/>
              <w:bottom w:w="80" w:type="dxa"/>
              <w:end w:w="120" w:type="dxa"/>
            </w:tcMar>
            <w:vAlign w:val="center"/>
          </w:tcPr>
          <w:p>
            <w:pPr>
              <w:spacing w:after="0" w:line="264" w:lineRule="auto"/>
            </w:pPr>
            <w:r>
              <w:rPr>
                <w:rFonts w:ascii="Calibri" w:hAnsi="Calibri"/>
                <w:color w:val="243447"/>
                <w:sz w:val="18"/>
              </w:rPr>
              <w:t>Explains missing or inactive local account.</w:t>
            </w:r>
          </w:p>
        </w:tc>
      </w:tr>
    </w:tbl>
    <w:p>
      <w:pPr>
        <w:spacing w:after="40"/>
      </w:pPr>
    </w:p>
    <w:p>
      <w:pPr>
        <w:pStyle w:val="Heading1"/>
      </w:pPr>
      <w:r>
        <w:t>2. Development plan and acceptance gates</w:t>
      </w:r>
    </w:p>
    <w:tbl>
      <w:tblPr>
        <w:tblStyle w:val="TableGrid"/>
        <w:tblW w:type="dxa" w:w="9360"/>
        <w:jc w:val="left"/>
        <w:tblLayout w:type="fixed"/>
        <w:tblLook w:firstColumn="1" w:firstRow="1" w:lastColumn="0" w:lastRow="0" w:noHBand="0" w:noVBand="1" w:val="04A0"/>
        <w:tblInd w:w="120" w:type="dxa"/>
      </w:tblPr>
      <w:tblGrid>
        <w:gridCol w:w="1150"/>
        <w:gridCol w:w="4210"/>
        <w:gridCol w:w="4000"/>
      </w:tblGrid>
      <w:tr>
        <w:trPr>
          <w:tblHeader w:val="true"/>
        </w:trPr>
        <w:tc>
          <w:tcPr>
            <w:tcW w:type="dxa" w:w="1150"/>
            <w:shd w:fill="E8EEF5"/>
            <w:tcMar>
              <w:top w:w="80" w:type="dxa"/>
              <w:start w:w="120" w:type="dxa"/>
              <w:bottom w:w="80" w:type="dxa"/>
              <w:end w:w="120" w:type="dxa"/>
            </w:tcMar>
            <w:vAlign w:val="center"/>
          </w:tcPr>
          <w:p>
            <w:pPr>
              <w:spacing w:after="0"/>
            </w:pPr>
            <w:r>
              <w:rPr>
                <w:rFonts w:ascii="Calibri" w:hAnsi="Calibri"/>
                <w:b/>
                <w:color w:val="1F4D78"/>
                <w:sz w:val="19"/>
              </w:rPr>
              <w:t>Phase</w:t>
            </w:r>
          </w:p>
        </w:tc>
        <w:tc>
          <w:tcPr>
            <w:tcW w:type="dxa" w:w="4210"/>
            <w:shd w:fill="E8EEF5"/>
            <w:tcMar>
              <w:top w:w="80" w:type="dxa"/>
              <w:start w:w="120" w:type="dxa"/>
              <w:bottom w:w="80" w:type="dxa"/>
              <w:end w:w="120" w:type="dxa"/>
            </w:tcMar>
            <w:vAlign w:val="center"/>
          </w:tcPr>
          <w:p>
            <w:pPr>
              <w:spacing w:after="0"/>
            </w:pPr>
            <w:r>
              <w:rPr>
                <w:rFonts w:ascii="Calibri" w:hAnsi="Calibri"/>
                <w:b/>
                <w:color w:val="1F4D78"/>
                <w:sz w:val="19"/>
              </w:rPr>
              <w:t>Core work</w:t>
            </w:r>
          </w:p>
        </w:tc>
        <w:tc>
          <w:tcPr>
            <w:tcW w:type="dxa" w:w="4000"/>
            <w:shd w:fill="E8EEF5"/>
            <w:tcMar>
              <w:top w:w="80" w:type="dxa"/>
              <w:start w:w="120" w:type="dxa"/>
              <w:bottom w:w="80" w:type="dxa"/>
              <w:end w:w="120" w:type="dxa"/>
            </w:tcMar>
            <w:vAlign w:val="center"/>
          </w:tcPr>
          <w:p>
            <w:pPr>
              <w:spacing w:after="0"/>
            </w:pPr>
            <w:r>
              <w:rPr>
                <w:rFonts w:ascii="Calibri" w:hAnsi="Calibri"/>
                <w:b/>
                <w:color w:val="1F4D78"/>
                <w:sz w:val="19"/>
              </w:rPr>
              <w:t>Exit / acceptance gate</w:t>
            </w:r>
          </w:p>
        </w:tc>
      </w:tr>
      <w:tr>
        <w:trPr/>
        <w:tc>
          <w:tcPr>
            <w:tcW w:type="dxa" w:w="1150"/>
            <w:tcMar>
              <w:top w:w="80" w:type="dxa"/>
              <w:start w:w="120" w:type="dxa"/>
              <w:bottom w:w="80" w:type="dxa"/>
              <w:end w:w="120" w:type="dxa"/>
            </w:tcMar>
            <w:vAlign w:val="center"/>
          </w:tcPr>
          <w:p>
            <w:pPr>
              <w:spacing w:after="0" w:line="264" w:lineRule="auto"/>
            </w:pPr>
            <w:r>
              <w:rPr>
                <w:rFonts w:ascii="Calibri" w:hAnsi="Calibri"/>
                <w:color w:val="243447"/>
                <w:sz w:val="18"/>
              </w:rPr>
              <w:t>0 · Discovery</w:t>
            </w:r>
          </w:p>
        </w:tc>
        <w:tc>
          <w:tcPr>
            <w:tcW w:type="dxa" w:w="4210"/>
            <w:tcMar>
              <w:top w:w="80" w:type="dxa"/>
              <w:start w:w="120" w:type="dxa"/>
              <w:bottom w:w="80" w:type="dxa"/>
              <w:end w:w="120" w:type="dxa"/>
            </w:tcMar>
            <w:vAlign w:val="center"/>
          </w:tcPr>
          <w:p>
            <w:pPr>
              <w:spacing w:after="0" w:line="264" w:lineRule="auto"/>
            </w:pPr>
            <w:r>
              <w:rPr>
                <w:rFonts w:ascii="Calibri" w:hAnsi="Calibri"/>
                <w:color w:val="243447"/>
                <w:sz w:val="18"/>
              </w:rPr>
              <w:t>Confirm IdP metadata, domains, proxy/TLS, user source, NameID, signing rules, and owners.</w:t>
            </w:r>
          </w:p>
        </w:tc>
        <w:tc>
          <w:tcPr>
            <w:tcW w:type="dxa" w:w="4000"/>
            <w:tcMar>
              <w:top w:w="80" w:type="dxa"/>
              <w:start w:w="120" w:type="dxa"/>
              <w:bottom w:w="80" w:type="dxa"/>
              <w:end w:w="120" w:type="dxa"/>
            </w:tcMar>
            <w:vAlign w:val="center"/>
          </w:tcPr>
          <w:p>
            <w:pPr>
              <w:spacing w:after="0" w:line="264" w:lineRule="auto"/>
            </w:pPr>
            <w:r>
              <w:rPr>
                <w:rFonts w:ascii="Calibri" w:hAnsi="Calibri"/>
                <w:color w:val="243447"/>
                <w:sz w:val="18"/>
              </w:rPr>
              <w:t>All partner values documented; test identities and maintenance window approved.</w:t>
            </w:r>
          </w:p>
        </w:tc>
      </w:tr>
      <w:tr>
        <w:trPr/>
        <w:tc>
          <w:tcPr>
            <w:tcW w:type="dxa" w:w="1150"/>
            <w:tcMar>
              <w:top w:w="80" w:type="dxa"/>
              <w:start w:w="120" w:type="dxa"/>
              <w:bottom w:w="80" w:type="dxa"/>
              <w:end w:w="120" w:type="dxa"/>
            </w:tcMar>
            <w:vAlign w:val="center"/>
          </w:tcPr>
          <w:p>
            <w:pPr>
              <w:spacing w:after="0" w:line="264" w:lineRule="auto"/>
            </w:pPr>
            <w:r>
              <w:rPr>
                <w:rFonts w:ascii="Calibri" w:hAnsi="Calibri"/>
                <w:color w:val="243447"/>
                <w:sz w:val="18"/>
              </w:rPr>
              <w:t>1 · Foundation</w:t>
            </w:r>
          </w:p>
        </w:tc>
        <w:tc>
          <w:tcPr>
            <w:tcW w:type="dxa" w:w="4210"/>
            <w:tcMar>
              <w:top w:w="80" w:type="dxa"/>
              <w:start w:w="120" w:type="dxa"/>
              <w:bottom w:w="80" w:type="dxa"/>
              <w:end w:w="120" w:type="dxa"/>
            </w:tcMar>
            <w:vAlign w:val="center"/>
          </w:tcPr>
          <w:p>
            <w:pPr>
              <w:spacing w:after="0" w:line="264" w:lineRule="auto"/>
            </w:pPr>
            <w:r>
              <w:rPr>
                <w:rFonts w:ascii="Calibri" w:hAnsi="Calibri"/>
                <w:color w:val="243447"/>
                <w:sz w:val="18"/>
              </w:rPr>
              <w:t>Install OneLogin PHP-SAML; add services.saml config; create configuration, replay, and audit tables/models.</w:t>
            </w:r>
          </w:p>
        </w:tc>
        <w:tc>
          <w:tcPr>
            <w:tcW w:type="dxa" w:w="4000"/>
            <w:tcMar>
              <w:top w:w="80" w:type="dxa"/>
              <w:start w:w="120" w:type="dxa"/>
              <w:bottom w:w="80" w:type="dxa"/>
              <w:end w:w="120" w:type="dxa"/>
            </w:tcMar>
            <w:vAlign w:val="center"/>
          </w:tcPr>
          <w:p>
            <w:pPr>
              <w:spacing w:after="0" w:line="264" w:lineRule="auto"/>
            </w:pPr>
            <w:r>
              <w:rPr>
                <w:rFonts w:ascii="Calibri" w:hAnsi="Calibri"/>
                <w:color w:val="243447"/>
                <w:sz w:val="18"/>
              </w:rPr>
              <w:t>Migrations pass; secrets stay outside source control; one active IdP constraint works.</w:t>
            </w:r>
          </w:p>
        </w:tc>
      </w:tr>
      <w:tr>
        <w:trPr/>
        <w:tc>
          <w:tcPr>
            <w:tcW w:type="dxa" w:w="1150"/>
            <w:tcMar>
              <w:top w:w="80" w:type="dxa"/>
              <w:start w:w="120" w:type="dxa"/>
              <w:bottom w:w="80" w:type="dxa"/>
              <w:end w:w="120" w:type="dxa"/>
            </w:tcMar>
            <w:vAlign w:val="center"/>
          </w:tcPr>
          <w:p>
            <w:pPr>
              <w:spacing w:after="0" w:line="264" w:lineRule="auto"/>
            </w:pPr>
            <w:r>
              <w:rPr>
                <w:rFonts w:ascii="Calibri" w:hAnsi="Calibri"/>
                <w:color w:val="243447"/>
                <w:sz w:val="18"/>
              </w:rPr>
              <w:t>2 · SP endpoints</w:t>
            </w:r>
          </w:p>
        </w:tc>
        <w:tc>
          <w:tcPr>
            <w:tcW w:type="dxa" w:w="4210"/>
            <w:tcMar>
              <w:top w:w="80" w:type="dxa"/>
              <w:start w:w="120" w:type="dxa"/>
              <w:bottom w:w="80" w:type="dxa"/>
              <w:end w:w="120" w:type="dxa"/>
            </w:tcMar>
            <w:vAlign w:val="center"/>
          </w:tcPr>
          <w:p>
            <w:pPr>
              <w:spacing w:after="0" w:line="264" w:lineRule="auto"/>
            </w:pPr>
            <w:r>
              <w:rPr>
                <w:rFonts w:ascii="Calibri" w:hAnsi="Calibri"/>
                <w:color w:val="243447"/>
                <w:sz w:val="18"/>
              </w:rPr>
              <w:t>Build metadata, AuthnRequest redirect, ACS, local logout, routes, and admin configuration UI.</w:t>
            </w:r>
          </w:p>
        </w:tc>
        <w:tc>
          <w:tcPr>
            <w:tcW w:type="dxa" w:w="4000"/>
            <w:tcMar>
              <w:top w:w="80" w:type="dxa"/>
              <w:start w:w="120" w:type="dxa"/>
              <w:bottom w:w="80" w:type="dxa"/>
              <w:end w:w="120" w:type="dxa"/>
            </w:tcMar>
            <w:vAlign w:val="center"/>
          </w:tcPr>
          <w:p>
            <w:pPr>
              <w:spacing w:after="0" w:line="264" w:lineRule="auto"/>
            </w:pPr>
            <w:r>
              <w:rPr>
                <w:rFonts w:ascii="Calibri" w:hAnsi="Calibri"/>
                <w:color w:val="243447"/>
                <w:sz w:val="18"/>
              </w:rPr>
              <w:t>Metadata validates; IdP can import SP details; permissions restrict SAML administration.</w:t>
            </w:r>
          </w:p>
        </w:tc>
      </w:tr>
      <w:tr>
        <w:trPr/>
        <w:tc>
          <w:tcPr>
            <w:tcW w:type="dxa" w:w="1150"/>
            <w:tcMar>
              <w:top w:w="80" w:type="dxa"/>
              <w:start w:w="120" w:type="dxa"/>
              <w:bottom w:w="80" w:type="dxa"/>
              <w:end w:w="120" w:type="dxa"/>
            </w:tcMar>
            <w:vAlign w:val="center"/>
          </w:tcPr>
          <w:p>
            <w:pPr>
              <w:spacing w:after="0" w:line="264" w:lineRule="auto"/>
            </w:pPr>
            <w:r>
              <w:rPr>
                <w:rFonts w:ascii="Calibri" w:hAnsi="Calibri"/>
                <w:color w:val="243447"/>
                <w:sz w:val="18"/>
              </w:rPr>
              <w:t>3 · Security</w:t>
            </w:r>
          </w:p>
        </w:tc>
        <w:tc>
          <w:tcPr>
            <w:tcW w:type="dxa" w:w="4210"/>
            <w:tcMar>
              <w:top w:w="80" w:type="dxa"/>
              <w:start w:w="120" w:type="dxa"/>
              <w:bottom w:w="80" w:type="dxa"/>
              <w:end w:w="120" w:type="dxa"/>
            </w:tcMar>
            <w:vAlign w:val="center"/>
          </w:tcPr>
          <w:p>
            <w:pPr>
              <w:spacing w:after="0" w:line="264" w:lineRule="auto"/>
            </w:pPr>
            <w:r>
              <w:rPr>
                <w:rFonts w:ascii="Calibri" w:hAnsi="Calibri"/>
                <w:color w:val="243447"/>
                <w:sz w:val="18"/>
              </w:rPr>
              <w:t>Enforce strict validation, request correlation, replay defense, clock windows, safe RelayState, session regeneration, and audit logging.</w:t>
            </w:r>
          </w:p>
        </w:tc>
        <w:tc>
          <w:tcPr>
            <w:tcW w:type="dxa" w:w="4000"/>
            <w:tcMar>
              <w:top w:w="80" w:type="dxa"/>
              <w:start w:w="120" w:type="dxa"/>
              <w:bottom w:w="80" w:type="dxa"/>
              <w:end w:w="120" w:type="dxa"/>
            </w:tcMar>
            <w:vAlign w:val="center"/>
          </w:tcPr>
          <w:p>
            <w:pPr>
              <w:spacing w:after="0" w:line="264" w:lineRule="auto"/>
            </w:pPr>
            <w:r>
              <w:rPr>
                <w:rFonts w:ascii="Calibri" w:hAnsi="Calibri"/>
                <w:color w:val="243447"/>
                <w:sz w:val="18"/>
              </w:rPr>
              <w:t>Negative tests reject altered, expired, replayed, wrong-audience, and wrong-destination responses.</w:t>
            </w:r>
          </w:p>
        </w:tc>
      </w:tr>
      <w:tr>
        <w:trPr/>
        <w:tc>
          <w:tcPr>
            <w:tcW w:type="dxa" w:w="1150"/>
            <w:tcMar>
              <w:top w:w="80" w:type="dxa"/>
              <w:start w:w="120" w:type="dxa"/>
              <w:bottom w:w="80" w:type="dxa"/>
              <w:end w:w="120" w:type="dxa"/>
            </w:tcMar>
            <w:vAlign w:val="center"/>
          </w:tcPr>
          <w:p>
            <w:pPr>
              <w:spacing w:after="0" w:line="264" w:lineRule="auto"/>
            </w:pPr>
            <w:r>
              <w:rPr>
                <w:rFonts w:ascii="Calibri" w:hAnsi="Calibri"/>
                <w:color w:val="243447"/>
                <w:sz w:val="18"/>
              </w:rPr>
              <w:t>4 · Federation</w:t>
            </w:r>
          </w:p>
        </w:tc>
        <w:tc>
          <w:tcPr>
            <w:tcW w:type="dxa" w:w="4210"/>
            <w:tcMar>
              <w:top w:w="80" w:type="dxa"/>
              <w:start w:w="120" w:type="dxa"/>
              <w:bottom w:w="80" w:type="dxa"/>
              <w:end w:w="120" w:type="dxa"/>
            </w:tcMar>
            <w:vAlign w:val="center"/>
          </w:tcPr>
          <w:p>
            <w:pPr>
              <w:spacing w:after="0" w:line="264" w:lineRule="auto"/>
            </w:pPr>
            <w:r>
              <w:rPr>
                <w:rFonts w:ascii="Calibri" w:hAnsi="Calibri"/>
                <w:color w:val="243447"/>
                <w:sz w:val="18"/>
              </w:rPr>
              <w:t>Exchange metadata/certificates, configure AMS/OnePortal, provision test users, and run end-to-end tests.</w:t>
            </w:r>
          </w:p>
        </w:tc>
        <w:tc>
          <w:tcPr>
            <w:tcW w:type="dxa" w:w="4000"/>
            <w:tcMar>
              <w:top w:w="80" w:type="dxa"/>
              <w:start w:w="120" w:type="dxa"/>
              <w:bottom w:w="80" w:type="dxa"/>
              <w:end w:w="120" w:type="dxa"/>
            </w:tcMar>
            <w:vAlign w:val="center"/>
          </w:tcPr>
          <w:p>
            <w:pPr>
              <w:spacing w:after="0" w:line="264" w:lineRule="auto"/>
            </w:pPr>
            <w:r>
              <w:rPr>
                <w:rFonts w:ascii="Calibri" w:hAnsi="Calibri"/>
                <w:color w:val="243447"/>
                <w:sz w:val="18"/>
              </w:rPr>
              <w:t>Known active user succeeds; unknown/inactive users fail safely; audit evidence exists.</w:t>
            </w:r>
          </w:p>
        </w:tc>
      </w:tr>
      <w:tr>
        <w:trPr/>
        <w:tc>
          <w:tcPr>
            <w:tcW w:type="dxa" w:w="1150"/>
            <w:tcMar>
              <w:top w:w="80" w:type="dxa"/>
              <w:start w:w="120" w:type="dxa"/>
              <w:bottom w:w="80" w:type="dxa"/>
              <w:end w:w="120" w:type="dxa"/>
            </w:tcMar>
            <w:vAlign w:val="center"/>
          </w:tcPr>
          <w:p>
            <w:pPr>
              <w:spacing w:after="0" w:line="264" w:lineRule="auto"/>
            </w:pPr>
            <w:r>
              <w:rPr>
                <w:rFonts w:ascii="Calibri" w:hAnsi="Calibri"/>
                <w:color w:val="243447"/>
                <w:sz w:val="18"/>
              </w:rPr>
              <w:t>5 · Release</w:t>
            </w:r>
          </w:p>
        </w:tc>
        <w:tc>
          <w:tcPr>
            <w:tcW w:type="dxa" w:w="4210"/>
            <w:tcMar>
              <w:top w:w="80" w:type="dxa"/>
              <w:start w:w="120" w:type="dxa"/>
              <w:bottom w:w="80" w:type="dxa"/>
              <w:end w:w="120" w:type="dxa"/>
            </w:tcMar>
            <w:vAlign w:val="center"/>
          </w:tcPr>
          <w:p>
            <w:pPr>
              <w:spacing w:after="0" w:line="264" w:lineRule="auto"/>
            </w:pPr>
            <w:r>
              <w:rPr>
                <w:rFonts w:ascii="Calibri" w:hAnsi="Calibri"/>
                <w:color w:val="243447"/>
                <w:sz w:val="18"/>
              </w:rPr>
              <w:t>Back up, migrate, seed/configure, clear/rebuild caches, smoke test, monitor, and document rollback.</w:t>
            </w:r>
          </w:p>
        </w:tc>
        <w:tc>
          <w:tcPr>
            <w:tcW w:type="dxa" w:w="4000"/>
            <w:tcMar>
              <w:top w:w="80" w:type="dxa"/>
              <w:start w:w="120" w:type="dxa"/>
              <w:bottom w:w="80" w:type="dxa"/>
              <w:end w:w="120" w:type="dxa"/>
            </w:tcMar>
            <w:vAlign w:val="center"/>
          </w:tcPr>
          <w:p>
            <w:pPr>
              <w:spacing w:after="0" w:line="264" w:lineRule="auto"/>
            </w:pPr>
            <w:r>
              <w:rPr>
                <w:rFonts w:ascii="Calibri" w:hAnsi="Calibri"/>
                <w:color w:val="243447"/>
                <w:sz w:val="18"/>
              </w:rPr>
              <w:t>Production SAML login succeeds and local fallback remains available during stabilization.</w:t>
            </w:r>
          </w:p>
        </w:tc>
      </w:tr>
      <w:tr>
        <w:trPr/>
        <w:tc>
          <w:tcPr>
            <w:tcW w:type="dxa" w:w="1150"/>
            <w:tcMar>
              <w:top w:w="80" w:type="dxa"/>
              <w:start w:w="120" w:type="dxa"/>
              <w:bottom w:w="80" w:type="dxa"/>
              <w:end w:w="120" w:type="dxa"/>
            </w:tcMar>
            <w:vAlign w:val="center"/>
          </w:tcPr>
          <w:p>
            <w:pPr>
              <w:spacing w:after="0" w:line="264" w:lineRule="auto"/>
            </w:pPr>
            <w:r>
              <w:rPr>
                <w:rFonts w:ascii="Calibri" w:hAnsi="Calibri"/>
                <w:color w:val="243447"/>
                <w:sz w:val="18"/>
              </w:rPr>
              <w:t>6 · Hardening</w:t>
            </w:r>
          </w:p>
        </w:tc>
        <w:tc>
          <w:tcPr>
            <w:tcW w:type="dxa" w:w="4210"/>
            <w:tcMar>
              <w:top w:w="80" w:type="dxa"/>
              <w:start w:w="120" w:type="dxa"/>
              <w:bottom w:w="80" w:type="dxa"/>
              <w:end w:w="120" w:type="dxa"/>
            </w:tcMar>
            <w:vAlign w:val="center"/>
          </w:tcPr>
          <w:p>
            <w:pPr>
              <w:spacing w:after="0" w:line="264" w:lineRule="auto"/>
            </w:pPr>
            <w:r>
              <w:rPr>
                <w:rFonts w:ascii="Calibri" w:hAnsi="Calibri"/>
                <w:color w:val="243447"/>
                <w:sz w:val="18"/>
              </w:rPr>
              <w:t>Implement real SLO if required, SP request signing/key separation, certificate rollover, replay cleanup, alerting, and periodic federation tests.</w:t>
            </w:r>
          </w:p>
        </w:tc>
        <w:tc>
          <w:tcPr>
            <w:tcW w:type="dxa" w:w="4000"/>
            <w:tcMar>
              <w:top w:w="80" w:type="dxa"/>
              <w:start w:w="120" w:type="dxa"/>
              <w:bottom w:w="80" w:type="dxa"/>
              <w:end w:w="120" w:type="dxa"/>
            </w:tcMar>
            <w:vAlign w:val="center"/>
          </w:tcPr>
          <w:p>
            <w:pPr>
              <w:spacing w:after="0" w:line="264" w:lineRule="auto"/>
            </w:pPr>
            <w:r>
              <w:rPr>
                <w:rFonts w:ascii="Calibri" w:hAnsi="Calibri"/>
                <w:color w:val="243447"/>
                <w:sz w:val="18"/>
              </w:rPr>
              <w:t>Security review closes documented gaps and operations accepts the support runbook.</w:t>
            </w:r>
          </w:p>
        </w:tc>
      </w:tr>
    </w:tbl>
    <w:p>
      <w:pPr>
        <w:spacing w:after="40"/>
      </w:pPr>
    </w:p>
    <w:p>
      <w:pPr>
        <w:pStyle w:val="Heading2"/>
      </w:pPr>
      <w:r>
        <w:t>2.1 Recommended responsibilities</w:t>
      </w:r>
    </w:p>
    <w:tbl>
      <w:tblPr>
        <w:tblStyle w:val="TableGrid"/>
        <w:tblW w:type="dxa" w:w="9360"/>
        <w:jc w:val="left"/>
        <w:tblLayout w:type="fixed"/>
        <w:tblLook w:firstColumn="1" w:firstRow="1" w:lastColumn="0" w:lastRow="0" w:noHBand="0" w:noVBand="1" w:val="04A0"/>
        <w:tblInd w:w="120" w:type="dxa"/>
      </w:tblPr>
      <w:tblGrid>
        <w:gridCol w:w="2250"/>
        <w:gridCol w:w="7110"/>
      </w:tblGrid>
      <w:tr>
        <w:trPr>
          <w:tblHeader w:val="true"/>
        </w:trPr>
        <w:tc>
          <w:tcPr>
            <w:tcW w:type="dxa" w:w="2250"/>
            <w:shd w:fill="E8EEF5"/>
            <w:tcMar>
              <w:top w:w="80" w:type="dxa"/>
              <w:start w:w="120" w:type="dxa"/>
              <w:bottom w:w="80" w:type="dxa"/>
              <w:end w:w="120" w:type="dxa"/>
            </w:tcMar>
            <w:vAlign w:val="center"/>
          </w:tcPr>
          <w:p>
            <w:pPr>
              <w:spacing w:after="0"/>
            </w:pPr>
            <w:r>
              <w:rPr>
                <w:rFonts w:ascii="Calibri" w:hAnsi="Calibri"/>
                <w:b/>
                <w:color w:val="1F4D78"/>
                <w:sz w:val="19"/>
              </w:rPr>
              <w:t>Owner</w:t>
            </w:r>
          </w:p>
        </w:tc>
        <w:tc>
          <w:tcPr>
            <w:tcW w:type="dxa" w:w="7110"/>
            <w:shd w:fill="E8EEF5"/>
            <w:tcMar>
              <w:top w:w="80" w:type="dxa"/>
              <w:start w:w="120" w:type="dxa"/>
              <w:bottom w:w="80" w:type="dxa"/>
              <w:end w:w="120" w:type="dxa"/>
            </w:tcMar>
            <w:vAlign w:val="center"/>
          </w:tcPr>
          <w:p>
            <w:pPr>
              <w:spacing w:after="0"/>
            </w:pPr>
            <w:r>
              <w:rPr>
                <w:rFonts w:ascii="Calibri" w:hAnsi="Calibri"/>
                <w:b/>
                <w:color w:val="1F4D78"/>
                <w:sz w:val="19"/>
              </w:rPr>
              <w:t>Accountability</w:t>
            </w:r>
          </w:p>
        </w:tc>
      </w:tr>
      <w:tr>
        <w:trPr/>
        <w:tc>
          <w:tcPr>
            <w:tcW w:type="dxa" w:w="2250"/>
            <w:tcMar>
              <w:top w:w="80" w:type="dxa"/>
              <w:start w:w="120" w:type="dxa"/>
              <w:bottom w:w="80" w:type="dxa"/>
              <w:end w:w="120" w:type="dxa"/>
            </w:tcMar>
            <w:vAlign w:val="center"/>
          </w:tcPr>
          <w:p>
            <w:pPr>
              <w:spacing w:after="0" w:line="264" w:lineRule="auto"/>
            </w:pPr>
            <w:r>
              <w:rPr>
                <w:rFonts w:ascii="Calibri" w:hAnsi="Calibri"/>
                <w:color w:val="243447"/>
                <w:sz w:val="18"/>
              </w:rPr>
              <w:t>Rooms application team</w:t>
            </w:r>
          </w:p>
        </w:tc>
        <w:tc>
          <w:tcPr>
            <w:tcW w:type="dxa" w:w="7110"/>
            <w:tcMar>
              <w:top w:w="80" w:type="dxa"/>
              <w:start w:w="120" w:type="dxa"/>
              <w:bottom w:w="80" w:type="dxa"/>
              <w:end w:w="120" w:type="dxa"/>
            </w:tcMar>
            <w:vAlign w:val="center"/>
          </w:tcPr>
          <w:p>
            <w:pPr>
              <w:spacing w:after="0" w:line="264" w:lineRule="auto"/>
            </w:pPr>
            <w:r>
              <w:rPr>
                <w:rFonts w:ascii="Calibri" w:hAnsi="Calibri"/>
                <w:color w:val="243447"/>
                <w:sz w:val="18"/>
              </w:rPr>
              <w:t>SP code, deployment, APP_URL/proxy correctness, database, logging, and user-account matching.</w:t>
            </w:r>
          </w:p>
        </w:tc>
      </w:tr>
      <w:tr>
        <w:trPr/>
        <w:tc>
          <w:tcPr>
            <w:tcW w:type="dxa" w:w="2250"/>
            <w:tcMar>
              <w:top w:w="80" w:type="dxa"/>
              <w:start w:w="120" w:type="dxa"/>
              <w:bottom w:w="80" w:type="dxa"/>
              <w:end w:w="120" w:type="dxa"/>
            </w:tcMar>
            <w:vAlign w:val="center"/>
          </w:tcPr>
          <w:p>
            <w:pPr>
              <w:spacing w:after="0" w:line="264" w:lineRule="auto"/>
            </w:pPr>
            <w:r>
              <w:rPr>
                <w:rFonts w:ascii="Calibri" w:hAnsi="Calibri"/>
                <w:color w:val="243447"/>
                <w:sz w:val="18"/>
              </w:rPr>
              <w:t>AMS/OnePortal administrator</w:t>
            </w:r>
          </w:p>
        </w:tc>
        <w:tc>
          <w:tcPr>
            <w:tcW w:type="dxa" w:w="7110"/>
            <w:tcMar>
              <w:top w:w="80" w:type="dxa"/>
              <w:start w:w="120" w:type="dxa"/>
              <w:bottom w:w="80" w:type="dxa"/>
              <w:end w:w="120" w:type="dxa"/>
            </w:tcMar>
            <w:vAlign w:val="center"/>
          </w:tcPr>
          <w:p>
            <w:pPr>
              <w:spacing w:after="0" w:line="264" w:lineRule="auto"/>
            </w:pPr>
            <w:r>
              <w:rPr>
                <w:rFonts w:ascii="Calibri" w:hAnsi="Calibri"/>
                <w:color w:val="243447"/>
                <w:sz w:val="18"/>
              </w:rPr>
              <w:t>IdP metadata, signing certificate, SSO/SLO URLs, NameID/attributes, SP registration, and test identities.</w:t>
            </w:r>
          </w:p>
        </w:tc>
      </w:tr>
      <w:tr>
        <w:trPr/>
        <w:tc>
          <w:tcPr>
            <w:tcW w:type="dxa" w:w="2250"/>
            <w:tcMar>
              <w:top w:w="80" w:type="dxa"/>
              <w:start w:w="120" w:type="dxa"/>
              <w:bottom w:w="80" w:type="dxa"/>
              <w:end w:w="120" w:type="dxa"/>
            </w:tcMar>
            <w:vAlign w:val="center"/>
          </w:tcPr>
          <w:p>
            <w:pPr>
              <w:spacing w:after="0" w:line="264" w:lineRule="auto"/>
            </w:pPr>
            <w:r>
              <w:rPr>
                <w:rFonts w:ascii="Calibri" w:hAnsi="Calibri"/>
                <w:color w:val="243447"/>
                <w:sz w:val="18"/>
              </w:rPr>
              <w:t>Security / infrastructure</w:t>
            </w:r>
          </w:p>
        </w:tc>
        <w:tc>
          <w:tcPr>
            <w:tcW w:type="dxa" w:w="7110"/>
            <w:tcMar>
              <w:top w:w="80" w:type="dxa"/>
              <w:start w:w="120" w:type="dxa"/>
              <w:bottom w:w="80" w:type="dxa"/>
              <w:end w:w="120" w:type="dxa"/>
            </w:tcMar>
            <w:vAlign w:val="center"/>
          </w:tcPr>
          <w:p>
            <w:pPr>
              <w:spacing w:after="0" w:line="264" w:lineRule="auto"/>
            </w:pPr>
            <w:r>
              <w:rPr>
                <w:rFonts w:ascii="Calibri" w:hAnsi="Calibri"/>
                <w:color w:val="243447"/>
                <w:sz w:val="18"/>
              </w:rPr>
              <w:t>TLS, secrets, certificate lifecycle, time synchronization, firewall/proxy, log retention, and change approval.</w:t>
            </w:r>
          </w:p>
        </w:tc>
      </w:tr>
      <w:tr>
        <w:trPr/>
        <w:tc>
          <w:tcPr>
            <w:tcW w:type="dxa" w:w="2250"/>
            <w:tcMar>
              <w:top w:w="80" w:type="dxa"/>
              <w:start w:w="120" w:type="dxa"/>
              <w:bottom w:w="80" w:type="dxa"/>
              <w:end w:w="120" w:type="dxa"/>
            </w:tcMar>
            <w:vAlign w:val="center"/>
          </w:tcPr>
          <w:p>
            <w:pPr>
              <w:spacing w:after="0" w:line="264" w:lineRule="auto"/>
            </w:pPr>
            <w:r>
              <w:rPr>
                <w:rFonts w:ascii="Calibri" w:hAnsi="Calibri"/>
                <w:color w:val="243447"/>
                <w:sz w:val="18"/>
              </w:rPr>
              <w:t>Business administrator</w:t>
            </w:r>
          </w:p>
        </w:tc>
        <w:tc>
          <w:tcPr>
            <w:tcW w:type="dxa" w:w="7110"/>
            <w:tcMar>
              <w:top w:w="80" w:type="dxa"/>
              <w:start w:w="120" w:type="dxa"/>
              <w:bottom w:w="80" w:type="dxa"/>
              <w:end w:w="120" w:type="dxa"/>
            </w:tcMar>
            <w:vAlign w:val="center"/>
          </w:tcPr>
          <w:p>
            <w:pPr>
              <w:spacing w:after="0" w:line="264" w:lineRule="auto"/>
            </w:pPr>
            <w:r>
              <w:rPr>
                <w:rFonts w:ascii="Calibri" w:hAnsi="Calibri"/>
                <w:color w:val="243447"/>
                <w:sz w:val="18"/>
              </w:rPr>
              <w:t>Pre-provisioned Rooms accounts, active status, role/permissions, and user acceptance testing.</w:t>
            </w:r>
          </w:p>
        </w:tc>
      </w:tr>
    </w:tbl>
    <w:p>
      <w:pPr>
        <w:spacing w:after="40"/>
      </w:pPr>
    </w:p>
    <w:p>
      <w:pPr>
        <w:pStyle w:val="Heading1"/>
      </w:pPr>
      <w:r>
        <w:t>3. Inputs, ownership, and readiness</w:t>
      </w:r>
    </w:p>
    <w:p>
      <w:pPr>
        <w:pStyle w:val="Heading2"/>
      </w:pPr>
      <w:r>
        <w:t>3.1 Obtain from the IdP administrator</w:t>
      </w:r>
    </w:p>
    <w:p>
      <w:pPr>
        <w:pStyle w:val="ListBullet"/>
        <w:spacing w:after="80" w:line="300" w:lineRule="auto"/>
      </w:pPr>
      <w:r>
        <w:rPr>
          <w:rFonts w:ascii="Calibri" w:hAnsi="Calibri"/>
          <w:color w:val="243447"/>
          <w:sz w:val="22"/>
        </w:rPr>
        <w:t>IdP Entity ID (exact, case-sensitive string).</w:t>
      </w:r>
    </w:p>
    <w:p>
      <w:pPr>
        <w:pStyle w:val="ListBullet"/>
        <w:spacing w:after="80" w:line="300" w:lineRule="auto"/>
      </w:pPr>
      <w:r>
        <w:rPr>
          <w:rFonts w:ascii="Calibri" w:hAnsi="Calibri"/>
          <w:color w:val="243447"/>
          <w:sz w:val="22"/>
        </w:rPr>
        <w:t>Single Sign-On URL and supported binding; current Rooms flow expects HTTP-Redirect for AuthnRequest.</w:t>
      </w:r>
    </w:p>
    <w:p>
      <w:pPr>
        <w:pStyle w:val="ListBullet"/>
        <w:spacing w:after="80" w:line="300" w:lineRule="auto"/>
      </w:pPr>
      <w:r>
        <w:rPr>
          <w:rFonts w:ascii="Calibri" w:hAnsi="Calibri"/>
          <w:color w:val="243447"/>
          <w:sz w:val="22"/>
        </w:rPr>
        <w:t>Single Logout URL, if available; note that full federated logout is a future enhancement in the current code.</w:t>
      </w:r>
    </w:p>
    <w:p>
      <w:pPr>
        <w:pStyle w:val="ListBullet"/>
        <w:spacing w:after="80" w:line="300" w:lineRule="auto"/>
      </w:pPr>
      <w:r>
        <w:rPr>
          <w:rFonts w:ascii="Calibri" w:hAnsi="Calibri"/>
          <w:color w:val="243447"/>
          <w:sz w:val="22"/>
        </w:rPr>
        <w:t>Current X.509 signing certificate, fingerprint, expiry date, and rollover plan.</w:t>
      </w:r>
    </w:p>
    <w:p>
      <w:pPr>
        <w:pStyle w:val="ListBullet"/>
        <w:spacing w:after="80" w:line="300" w:lineRule="auto"/>
      </w:pPr>
      <w:r>
        <w:rPr>
          <w:rFonts w:ascii="Calibri" w:hAnsi="Calibri"/>
          <w:color w:val="243447"/>
          <w:sz w:val="22"/>
        </w:rPr>
        <w:t>Whether the IdP signs the Response, the Assertion, or both; whether it requires signed AuthnRequests.</w:t>
      </w:r>
    </w:p>
    <w:p>
      <w:pPr>
        <w:pStyle w:val="ListBullet"/>
        <w:spacing w:after="80" w:line="300" w:lineRule="auto"/>
      </w:pPr>
      <w:r>
        <w:rPr>
          <w:rFonts w:ascii="Calibri" w:hAnsi="Calibri"/>
          <w:color w:val="243447"/>
          <w:sz w:val="22"/>
        </w:rPr>
        <w:t>NameID format and attribute names. The minimum identity contract is a stable email address.</w:t>
      </w:r>
    </w:p>
    <w:p>
      <w:pPr>
        <w:pStyle w:val="ListBullet"/>
        <w:spacing w:after="80" w:line="300" w:lineRule="auto"/>
      </w:pPr>
      <w:r>
        <w:rPr>
          <w:rFonts w:ascii="Calibri" w:hAnsi="Calibri"/>
          <w:color w:val="243447"/>
          <w:sz w:val="22"/>
        </w:rPr>
        <w:t>Two active test accounts and one negative-test identity not provisioned in Rooms.</w:t>
      </w:r>
    </w:p>
    <w:p>
      <w:pPr>
        <w:pStyle w:val="Heading2"/>
      </w:pPr>
      <w:r>
        <w:t>3.2 Provide to the IdP administrator</w:t>
      </w:r>
    </w:p>
    <w:p>
      <w:pPr>
        <w:spacing w:after="0" w:line="240" w:lineRule="auto"/>
        <w:ind w:left="259" w:right="173"/>
        <w:shd w:fill="F2F4F7"/>
      </w:pPr>
      <w:r>
        <w:rPr>
          <w:rFonts w:ascii="Courier New" w:hAnsi="Courier New"/>
          <w:color w:val="1F2937"/>
          <w:sz w:val="17"/>
        </w:rPr>
        <w:t>SP Entity ID:  ${APP_URL}/saml2/metadata</w:t>
      </w:r>
    </w:p>
    <w:p>
      <w:pPr>
        <w:spacing w:after="0" w:line="240" w:lineRule="auto"/>
        <w:ind w:left="259" w:right="173"/>
        <w:shd w:fill="F2F4F7"/>
      </w:pPr>
      <w:r>
        <w:rPr>
          <w:rFonts w:ascii="Courier New" w:hAnsi="Courier New"/>
          <w:color w:val="1F2937"/>
          <w:sz w:val="17"/>
        </w:rPr>
        <w:t>ACS URL:       ${APP_URL}/saml2/acs</w:t>
      </w:r>
    </w:p>
    <w:p>
      <w:pPr>
        <w:spacing w:after="0" w:line="240" w:lineRule="auto"/>
        <w:ind w:left="259" w:right="173"/>
        <w:shd w:fill="F2F4F7"/>
      </w:pPr>
      <w:r>
        <w:rPr>
          <w:rFonts w:ascii="Courier New" w:hAnsi="Courier New"/>
          <w:color w:val="1F2937"/>
          <w:sz w:val="17"/>
        </w:rPr>
        <w:t>SLO URL:       ${APP_URL}/saml2/logout</w:t>
      </w:r>
    </w:p>
    <w:p>
      <w:pPr>
        <w:spacing w:after="0" w:line="240" w:lineRule="auto"/>
        <w:ind w:left="259" w:right="173"/>
        <w:shd w:fill="F2F4F7"/>
      </w:pPr>
      <w:r>
        <w:rPr>
          <w:rFonts w:ascii="Courier New" w:hAnsi="Courier New"/>
          <w:color w:val="1F2937"/>
          <w:sz w:val="17"/>
        </w:rPr>
        <w:t>Metadata URL:  ${APP_URL}/saml2/metadata</w:t>
      </w:r>
    </w:p>
    <w:p>
      <w:pPr>
        <w:spacing w:after="0" w:line="240" w:lineRule="auto"/>
        <w:ind w:left="259" w:right="173"/>
        <w:shd w:fill="F2F4F7"/>
      </w:pPr>
      <w:r>
        <w:rPr>
          <w:rFonts w:ascii="Courier New" w:hAnsi="Courier New"/>
          <w:color w:val="1F2937"/>
          <w:sz w:val="17"/>
        </w:rPr>
        <w:t>ACS binding:   urn:oasis:names:tc:SAML:2.0:bindings:HTTP-POST</w:t>
      </w:r>
    </w:p>
    <w:p>
      <w:pPr>
        <w:spacing w:after="0" w:line="240" w:lineRule="auto"/>
        <w:ind w:left="259" w:right="173"/>
        <w:shd w:fill="F2F4F7"/>
      </w:pPr>
      <w:r>
        <w:rPr>
          <w:rFonts w:ascii="Courier New" w:hAnsi="Courier New"/>
          <w:color w:val="1F2937"/>
          <w:sz w:val="17"/>
        </w:rPr>
        <w:t>NameID format: urn:oasis:names:tc:SAML:1.1:nameid-format:emailAddress</w:t>
      </w:r>
    </w:p>
    <w:p>
      <w:pPr>
        <w:keepLines w:val="0"/>
        <w:spacing w:after="80" w:line="300" w:lineRule="auto"/>
      </w:pPr>
      <w:r>
        <w:rPr>
          <w:rFonts w:ascii="Calibri" w:hAnsi="Calibri"/>
          <w:color w:val="243447"/>
          <w:sz w:val="22"/>
        </w:rPr>
      </w:r>
    </w:p>
    <w:p>
      <w:pPr>
        <w:pStyle w:val="Heading2"/>
      </w:pPr>
      <w:r>
        <w:t>3.3 Platform readiness</w:t>
      </w:r>
    </w:p>
    <w:p>
      <w:pPr>
        <w:pStyle w:val="ListBullet"/>
        <w:spacing w:after="80" w:line="300" w:lineRule="auto"/>
      </w:pPr>
      <w:r>
        <w:rPr>
          <w:rFonts w:ascii="Calibri" w:hAnsi="Calibri"/>
          <w:color w:val="243447"/>
          <w:sz w:val="22"/>
        </w:rPr>
        <w:t>Public HTTPS URL is final and APP_URL exactly matches it; do not mix hostnames, schemes, ports, or trailing proxies.</w:t>
      </w:r>
    </w:p>
    <w:p>
      <w:pPr>
        <w:pStyle w:val="ListBullet"/>
        <w:spacing w:after="80" w:line="300" w:lineRule="auto"/>
      </w:pPr>
      <w:r>
        <w:rPr>
          <w:rFonts w:ascii="Calibri" w:hAnsi="Calibri"/>
          <w:color w:val="243447"/>
          <w:sz w:val="22"/>
        </w:rPr>
        <w:t>Reverse proxy forwards scheme/host correctly and Laravel trusted-proxy behavior produces public HTTPS URLs.</w:t>
      </w:r>
    </w:p>
    <w:p>
      <w:pPr>
        <w:pStyle w:val="ListBullet"/>
        <w:spacing w:after="80" w:line="300" w:lineRule="auto"/>
      </w:pPr>
      <w:r>
        <w:rPr>
          <w:rFonts w:ascii="Calibri" w:hAnsi="Calibri"/>
          <w:color w:val="243447"/>
          <w:sz w:val="22"/>
        </w:rPr>
        <w:t>Application and IdP hosts use reliable NTP time synchronization.</w:t>
      </w:r>
    </w:p>
    <w:p>
      <w:pPr>
        <w:pStyle w:val="ListBullet"/>
        <w:spacing w:after="80" w:line="300" w:lineRule="auto"/>
      </w:pPr>
      <w:r>
        <w:rPr>
          <w:rFonts w:ascii="Calibri" w:hAnsi="Calibri"/>
          <w:color w:val="243447"/>
          <w:sz w:val="22"/>
        </w:rPr>
        <w:t>Database backup, migration permissions, PHP 8.2+, Composer, and required PHP XML/OpenSSL extensions are available.</w:t>
      </w:r>
    </w:p>
    <w:p>
      <w:pPr>
        <w:pStyle w:val="ListBullet"/>
        <w:spacing w:after="80" w:line="300" w:lineRule="auto"/>
      </w:pPr>
      <w:r>
        <w:rPr>
          <w:rFonts w:ascii="Calibri" w:hAnsi="Calibri"/>
          <w:color w:val="243447"/>
          <w:sz w:val="22"/>
        </w:rPr>
        <w:t>At least one non-SAML administrative access path is retained for recovery during rollout.</w:t>
      </w:r>
    </w:p>
    <w:p>
      <w:pPr>
        <w:pStyle w:val="Heading1"/>
      </w:pPr>
      <w:r>
        <w:t>4. Implementation blueprint</w:t>
      </w:r>
    </w:p>
    <w:p>
      <w:pPr>
        <w:pStyle w:val="Heading2"/>
      </w:pPr>
      <w:r>
        <w:t>4.1 Repository components</w:t>
      </w:r>
    </w:p>
    <w:tbl>
      <w:tblPr>
        <w:tblStyle w:val="TableGrid"/>
        <w:tblW w:type="dxa" w:w="9360"/>
        <w:jc w:val="left"/>
        <w:tblLayout w:type="fixed"/>
        <w:tblLook w:firstColumn="1" w:firstRow="1" w:lastColumn="0" w:lastRow="0" w:noHBand="0" w:noVBand="1" w:val="04A0"/>
        <w:tblInd w:w="120" w:type="dxa"/>
      </w:tblPr>
      <w:tblGrid>
        <w:gridCol w:w="3550"/>
        <w:gridCol w:w="5810"/>
      </w:tblGrid>
      <w:tr>
        <w:trPr>
          <w:tblHeader w:val="true"/>
        </w:trPr>
        <w:tc>
          <w:tcPr>
            <w:tcW w:type="dxa" w:w="3550"/>
            <w:shd w:fill="E8EEF5"/>
            <w:tcMar>
              <w:top w:w="80" w:type="dxa"/>
              <w:start w:w="120" w:type="dxa"/>
              <w:bottom w:w="80" w:type="dxa"/>
              <w:end w:w="120" w:type="dxa"/>
            </w:tcMar>
            <w:vAlign w:val="center"/>
          </w:tcPr>
          <w:p>
            <w:pPr>
              <w:spacing w:after="0"/>
            </w:pPr>
            <w:r>
              <w:rPr>
                <w:rFonts w:ascii="Calibri" w:hAnsi="Calibri"/>
                <w:b/>
                <w:color w:val="1F4D78"/>
                <w:sz w:val="19"/>
              </w:rPr>
              <w:t>Component</w:t>
            </w:r>
          </w:p>
        </w:tc>
        <w:tc>
          <w:tcPr>
            <w:tcW w:type="dxa" w:w="5810"/>
            <w:shd w:fill="E8EEF5"/>
            <w:tcMar>
              <w:top w:w="80" w:type="dxa"/>
              <w:start w:w="120" w:type="dxa"/>
              <w:bottom w:w="80" w:type="dxa"/>
              <w:end w:w="120" w:type="dxa"/>
            </w:tcMar>
            <w:vAlign w:val="center"/>
          </w:tcPr>
          <w:p>
            <w:pPr>
              <w:spacing w:after="0"/>
            </w:pPr>
            <w:r>
              <w:rPr>
                <w:rFonts w:ascii="Calibri" w:hAnsi="Calibri"/>
                <w:b/>
                <w:color w:val="1F4D78"/>
                <w:sz w:val="19"/>
              </w:rPr>
              <w:t>Responsibility</w:t>
            </w:r>
          </w:p>
        </w:tc>
      </w:tr>
      <w:tr>
        <w:trPr/>
        <w:tc>
          <w:tcPr>
            <w:tcW w:type="dxa" w:w="3550"/>
            <w:tcMar>
              <w:top w:w="80" w:type="dxa"/>
              <w:start w:w="120" w:type="dxa"/>
              <w:bottom w:w="80" w:type="dxa"/>
              <w:end w:w="120" w:type="dxa"/>
            </w:tcMar>
            <w:vAlign w:val="center"/>
          </w:tcPr>
          <w:p>
            <w:pPr>
              <w:spacing w:after="0" w:line="264" w:lineRule="auto"/>
            </w:pPr>
            <w:r>
              <w:rPr>
                <w:rFonts w:ascii="Calibri" w:hAnsi="Calibri"/>
                <w:color w:val="243447"/>
                <w:sz w:val="18"/>
              </w:rPr>
              <w:t>composer.json</w:t>
            </w:r>
          </w:p>
        </w:tc>
        <w:tc>
          <w:tcPr>
            <w:tcW w:type="dxa" w:w="5810"/>
            <w:tcMar>
              <w:top w:w="80" w:type="dxa"/>
              <w:start w:w="120" w:type="dxa"/>
              <w:bottom w:w="80" w:type="dxa"/>
              <w:end w:w="120" w:type="dxa"/>
            </w:tcMar>
            <w:vAlign w:val="center"/>
          </w:tcPr>
          <w:p>
            <w:pPr>
              <w:spacing w:after="0" w:line="264" w:lineRule="auto"/>
            </w:pPr>
            <w:r>
              <w:rPr>
                <w:rFonts w:ascii="Calibri" w:hAnsi="Calibri"/>
                <w:color w:val="243447"/>
                <w:sz w:val="18"/>
              </w:rPr>
              <w:t>Requires onelogin/php-saml ^4.3.</w:t>
            </w:r>
          </w:p>
        </w:tc>
      </w:tr>
      <w:tr>
        <w:trPr/>
        <w:tc>
          <w:tcPr>
            <w:tcW w:type="dxa" w:w="3550"/>
            <w:tcMar>
              <w:top w:w="80" w:type="dxa"/>
              <w:start w:w="120" w:type="dxa"/>
              <w:bottom w:w="80" w:type="dxa"/>
              <w:end w:w="120" w:type="dxa"/>
            </w:tcMar>
            <w:vAlign w:val="center"/>
          </w:tcPr>
          <w:p>
            <w:pPr>
              <w:spacing w:after="0" w:line="264" w:lineRule="auto"/>
            </w:pPr>
            <w:r>
              <w:rPr>
                <w:rFonts w:ascii="Calibri" w:hAnsi="Calibri"/>
                <w:color w:val="243447"/>
                <w:sz w:val="18"/>
              </w:rPr>
              <w:t>config/services.php</w:t>
            </w:r>
          </w:p>
        </w:tc>
        <w:tc>
          <w:tcPr>
            <w:tcW w:type="dxa" w:w="5810"/>
            <w:tcMar>
              <w:top w:w="80" w:type="dxa"/>
              <w:start w:w="120" w:type="dxa"/>
              <w:bottom w:w="80" w:type="dxa"/>
              <w:end w:w="120" w:type="dxa"/>
            </w:tcMar>
            <w:vAlign w:val="center"/>
          </w:tcPr>
          <w:p>
            <w:pPr>
              <w:spacing w:after="0" w:line="264" w:lineRule="auto"/>
            </w:pPr>
            <w:r>
              <w:rPr>
                <w:rFonts w:ascii="Calibri" w:hAnsi="Calibri"/>
                <w:color w:val="243447"/>
                <w:sz w:val="18"/>
              </w:rPr>
              <w:t>Maps environment variables to services.saml settings.</w:t>
            </w:r>
          </w:p>
        </w:tc>
      </w:tr>
      <w:tr>
        <w:trPr/>
        <w:tc>
          <w:tcPr>
            <w:tcW w:type="dxa" w:w="3550"/>
            <w:tcMar>
              <w:top w:w="80" w:type="dxa"/>
              <w:start w:w="120" w:type="dxa"/>
              <w:bottom w:w="80" w:type="dxa"/>
              <w:end w:w="120" w:type="dxa"/>
            </w:tcMar>
            <w:vAlign w:val="center"/>
          </w:tcPr>
          <w:p>
            <w:pPr>
              <w:spacing w:after="0" w:line="264" w:lineRule="auto"/>
            </w:pPr>
            <w:r>
              <w:rPr>
                <w:rFonts w:ascii="Calibri" w:hAnsi="Calibri"/>
                <w:color w:val="243447"/>
                <w:sz w:val="18"/>
              </w:rPr>
              <w:t>SamlConfiguration + migration</w:t>
            </w:r>
          </w:p>
        </w:tc>
        <w:tc>
          <w:tcPr>
            <w:tcW w:type="dxa" w:w="5810"/>
            <w:tcMar>
              <w:top w:w="80" w:type="dxa"/>
              <w:start w:w="120" w:type="dxa"/>
              <w:bottom w:w="80" w:type="dxa"/>
              <w:end w:w="120" w:type="dxa"/>
            </w:tcMar>
            <w:vAlign w:val="center"/>
          </w:tcPr>
          <w:p>
            <w:pPr>
              <w:spacing w:after="0" w:line="264" w:lineRule="auto"/>
            </w:pPr>
            <w:r>
              <w:rPr>
                <w:rFonts w:ascii="Calibri" w:hAnsi="Calibri"/>
                <w:color w:val="243447"/>
                <w:sz w:val="18"/>
              </w:rPr>
              <w:t>Stores partner metadata and activation/status controls.</w:t>
            </w:r>
          </w:p>
        </w:tc>
      </w:tr>
      <w:tr>
        <w:trPr/>
        <w:tc>
          <w:tcPr>
            <w:tcW w:type="dxa" w:w="3550"/>
            <w:tcMar>
              <w:top w:w="80" w:type="dxa"/>
              <w:start w:w="120" w:type="dxa"/>
              <w:bottom w:w="80" w:type="dxa"/>
              <w:end w:w="120" w:type="dxa"/>
            </w:tcMar>
            <w:vAlign w:val="center"/>
          </w:tcPr>
          <w:p>
            <w:pPr>
              <w:spacing w:after="0" w:line="264" w:lineRule="auto"/>
            </w:pPr>
            <w:r>
              <w:rPr>
                <w:rFonts w:ascii="Calibri" w:hAnsi="Calibri"/>
                <w:color w:val="243447"/>
                <w:sz w:val="18"/>
              </w:rPr>
              <w:t>SamlReplayRecord + migration</w:t>
            </w:r>
          </w:p>
        </w:tc>
        <w:tc>
          <w:tcPr>
            <w:tcW w:type="dxa" w:w="5810"/>
            <w:tcMar>
              <w:top w:w="80" w:type="dxa"/>
              <w:start w:w="120" w:type="dxa"/>
              <w:bottom w:w="80" w:type="dxa"/>
              <w:end w:w="120" w:type="dxa"/>
            </w:tcMar>
            <w:vAlign w:val="center"/>
          </w:tcPr>
          <w:p>
            <w:pPr>
              <w:spacing w:after="0" w:line="264" w:lineRule="auto"/>
            </w:pPr>
            <w:r>
              <w:rPr>
                <w:rFonts w:ascii="Calibri" w:hAnsi="Calibri"/>
                <w:color w:val="243447"/>
                <w:sz w:val="18"/>
              </w:rPr>
              <w:t>Stores request, response, and assertion IDs with expiry; unique indexes prevent reuse.</w:t>
            </w:r>
          </w:p>
        </w:tc>
      </w:tr>
      <w:tr>
        <w:trPr/>
        <w:tc>
          <w:tcPr>
            <w:tcW w:type="dxa" w:w="3550"/>
            <w:tcMar>
              <w:top w:w="80" w:type="dxa"/>
              <w:start w:w="120" w:type="dxa"/>
              <w:bottom w:w="80" w:type="dxa"/>
              <w:end w:w="120" w:type="dxa"/>
            </w:tcMar>
            <w:vAlign w:val="center"/>
          </w:tcPr>
          <w:p>
            <w:pPr>
              <w:spacing w:after="0" w:line="264" w:lineRule="auto"/>
            </w:pPr>
            <w:r>
              <w:rPr>
                <w:rFonts w:ascii="Calibri" w:hAnsi="Calibri"/>
                <w:color w:val="243447"/>
                <w:sz w:val="18"/>
              </w:rPr>
              <w:t>SamlAuditEvent + migration</w:t>
            </w:r>
          </w:p>
        </w:tc>
        <w:tc>
          <w:tcPr>
            <w:tcW w:type="dxa" w:w="5810"/>
            <w:tcMar>
              <w:top w:w="80" w:type="dxa"/>
              <w:start w:w="120" w:type="dxa"/>
              <w:bottom w:w="80" w:type="dxa"/>
              <w:end w:w="120" w:type="dxa"/>
            </w:tcMar>
            <w:vAlign w:val="center"/>
          </w:tcPr>
          <w:p>
            <w:pPr>
              <w:spacing w:after="0" w:line="264" w:lineRule="auto"/>
            </w:pPr>
            <w:r>
              <w:rPr>
                <w:rFonts w:ascii="Calibri" w:hAnsi="Calibri"/>
                <w:color w:val="243447"/>
                <w:sz w:val="18"/>
              </w:rPr>
              <w:t>Records issued requests, metadata views, accepted/rejected assertions, and logout events.</w:t>
            </w:r>
          </w:p>
        </w:tc>
      </w:tr>
      <w:tr>
        <w:trPr/>
        <w:tc>
          <w:tcPr>
            <w:tcW w:type="dxa" w:w="3550"/>
            <w:tcMar>
              <w:top w:w="80" w:type="dxa"/>
              <w:start w:w="120" w:type="dxa"/>
              <w:bottom w:w="80" w:type="dxa"/>
              <w:end w:w="120" w:type="dxa"/>
            </w:tcMar>
            <w:vAlign w:val="center"/>
          </w:tcPr>
          <w:p>
            <w:pPr>
              <w:spacing w:after="0" w:line="264" w:lineRule="auto"/>
            </w:pPr>
            <w:r>
              <w:rPr>
                <w:rFonts w:ascii="Calibri" w:hAnsi="Calibri"/>
                <w:color w:val="243447"/>
                <w:sz w:val="18"/>
              </w:rPr>
              <w:t>SamlMetadataController</w:t>
            </w:r>
          </w:p>
        </w:tc>
        <w:tc>
          <w:tcPr>
            <w:tcW w:type="dxa" w:w="5810"/>
            <w:tcMar>
              <w:top w:w="80" w:type="dxa"/>
              <w:start w:w="120" w:type="dxa"/>
              <w:bottom w:w="80" w:type="dxa"/>
              <w:end w:w="120" w:type="dxa"/>
            </w:tcMar>
            <w:vAlign w:val="center"/>
          </w:tcPr>
          <w:p>
            <w:pPr>
              <w:spacing w:after="0" w:line="264" w:lineRule="auto"/>
            </w:pPr>
            <w:r>
              <w:rPr>
                <w:rFonts w:ascii="Calibri" w:hAnsi="Calibri"/>
                <w:color w:val="243447"/>
                <w:sz w:val="18"/>
              </w:rPr>
              <w:t>Generates SP metadata XML.</w:t>
            </w:r>
          </w:p>
        </w:tc>
      </w:tr>
      <w:tr>
        <w:trPr/>
        <w:tc>
          <w:tcPr>
            <w:tcW w:type="dxa" w:w="3550"/>
            <w:tcMar>
              <w:top w:w="80" w:type="dxa"/>
              <w:start w:w="120" w:type="dxa"/>
              <w:bottom w:w="80" w:type="dxa"/>
              <w:end w:w="120" w:type="dxa"/>
            </w:tcMar>
            <w:vAlign w:val="center"/>
          </w:tcPr>
          <w:p>
            <w:pPr>
              <w:spacing w:after="0" w:line="264" w:lineRule="auto"/>
            </w:pPr>
            <w:r>
              <w:rPr>
                <w:rFonts w:ascii="Calibri" w:hAnsi="Calibri"/>
                <w:color w:val="243447"/>
                <w:sz w:val="18"/>
              </w:rPr>
              <w:t>SamlSpController</w:t>
            </w:r>
          </w:p>
        </w:tc>
        <w:tc>
          <w:tcPr>
            <w:tcW w:type="dxa" w:w="5810"/>
            <w:tcMar>
              <w:top w:w="80" w:type="dxa"/>
              <w:start w:w="120" w:type="dxa"/>
              <w:bottom w:w="80" w:type="dxa"/>
              <w:end w:w="120" w:type="dxa"/>
            </w:tcMar>
            <w:vAlign w:val="center"/>
          </w:tcPr>
          <w:p>
            <w:pPr>
              <w:spacing w:after="0" w:line="264" w:lineRule="auto"/>
            </w:pPr>
            <w:r>
              <w:rPr>
                <w:rFonts w:ascii="Calibri" w:hAnsi="Calibri"/>
                <w:color w:val="243447"/>
                <w:sz w:val="18"/>
              </w:rPr>
              <w:t>Builds AuthnRequest, validates response, resolves account, logs in, and audits.</w:t>
            </w:r>
          </w:p>
        </w:tc>
      </w:tr>
      <w:tr>
        <w:trPr/>
        <w:tc>
          <w:tcPr>
            <w:tcW w:type="dxa" w:w="3550"/>
            <w:tcMar>
              <w:top w:w="80" w:type="dxa"/>
              <w:start w:w="120" w:type="dxa"/>
              <w:bottom w:w="80" w:type="dxa"/>
              <w:end w:w="120" w:type="dxa"/>
            </w:tcMar>
            <w:vAlign w:val="center"/>
          </w:tcPr>
          <w:p>
            <w:pPr>
              <w:spacing w:after="0" w:line="264" w:lineRule="auto"/>
            </w:pPr>
            <w:r>
              <w:rPr>
                <w:rFonts w:ascii="Calibri" w:hAnsi="Calibri"/>
                <w:color w:val="243447"/>
                <w:sz w:val="18"/>
              </w:rPr>
              <w:t>SamlConfigurationController</w:t>
            </w:r>
          </w:p>
        </w:tc>
        <w:tc>
          <w:tcPr>
            <w:tcW w:type="dxa" w:w="5810"/>
            <w:tcMar>
              <w:top w:w="80" w:type="dxa"/>
              <w:start w:w="120" w:type="dxa"/>
              <w:bottom w:w="80" w:type="dxa"/>
              <w:end w:w="120" w:type="dxa"/>
            </w:tcMar>
            <w:vAlign w:val="center"/>
          </w:tcPr>
          <w:p>
            <w:pPr>
              <w:spacing w:after="0" w:line="264" w:lineRule="auto"/>
            </w:pPr>
            <w:r>
              <w:rPr>
                <w:rFonts w:ascii="Calibri" w:hAnsi="Calibri"/>
                <w:color w:val="243447"/>
                <w:sz w:val="18"/>
              </w:rPr>
              <w:t>Admin-only CRUD and metadata XML parsing; enforces one active provider per mode.</w:t>
            </w:r>
          </w:p>
        </w:tc>
      </w:tr>
      <w:tr>
        <w:trPr/>
        <w:tc>
          <w:tcPr>
            <w:tcW w:type="dxa" w:w="3550"/>
            <w:tcMar>
              <w:top w:w="80" w:type="dxa"/>
              <w:start w:w="120" w:type="dxa"/>
              <w:bottom w:w="80" w:type="dxa"/>
              <w:end w:w="120" w:type="dxa"/>
            </w:tcMar>
            <w:vAlign w:val="center"/>
          </w:tcPr>
          <w:p>
            <w:pPr>
              <w:spacing w:after="0" w:line="264" w:lineRule="auto"/>
            </w:pPr>
            <w:r>
              <w:rPr>
                <w:rFonts w:ascii="Calibri" w:hAnsi="Calibri"/>
                <w:color w:val="243447"/>
                <w:sz w:val="18"/>
              </w:rPr>
              <w:t>resources/js/Pages/SamlIntegration.vue</w:t>
            </w:r>
          </w:p>
        </w:tc>
        <w:tc>
          <w:tcPr>
            <w:tcW w:type="dxa" w:w="5810"/>
            <w:tcMar>
              <w:top w:w="80" w:type="dxa"/>
              <w:start w:w="120" w:type="dxa"/>
              <w:bottom w:w="80" w:type="dxa"/>
              <w:end w:w="120" w:type="dxa"/>
            </w:tcMar>
            <w:vAlign w:val="center"/>
          </w:tcPr>
          <w:p>
            <w:pPr>
              <w:spacing w:after="0" w:line="264" w:lineRule="auto"/>
            </w:pPr>
            <w:r>
              <w:rPr>
                <w:rFonts w:ascii="Calibri" w:hAnsi="Calibri"/>
                <w:color w:val="243447"/>
                <w:sz w:val="18"/>
              </w:rPr>
              <w:t>Admin setup and configuration interface.</w:t>
            </w:r>
          </w:p>
        </w:tc>
      </w:tr>
      <w:tr>
        <w:trPr/>
        <w:tc>
          <w:tcPr>
            <w:tcW w:type="dxa" w:w="3550"/>
            <w:tcMar>
              <w:top w:w="80" w:type="dxa"/>
              <w:start w:w="120" w:type="dxa"/>
              <w:bottom w:w="80" w:type="dxa"/>
              <w:end w:w="120" w:type="dxa"/>
            </w:tcMar>
            <w:vAlign w:val="center"/>
          </w:tcPr>
          <w:p>
            <w:pPr>
              <w:spacing w:after="0" w:line="264" w:lineRule="auto"/>
            </w:pPr>
            <w:r>
              <w:rPr>
                <w:rFonts w:ascii="Calibri" w:hAnsi="Calibri"/>
                <w:color w:val="243447"/>
                <w:sz w:val="18"/>
              </w:rPr>
              <w:t>tests/Feature/SamlIntegrationTest.php</w:t>
            </w:r>
          </w:p>
        </w:tc>
        <w:tc>
          <w:tcPr>
            <w:tcW w:type="dxa" w:w="5810"/>
            <w:tcMar>
              <w:top w:w="80" w:type="dxa"/>
              <w:start w:w="120" w:type="dxa"/>
              <w:bottom w:w="80" w:type="dxa"/>
              <w:end w:w="120" w:type="dxa"/>
            </w:tcMar>
            <w:vAlign w:val="center"/>
          </w:tcPr>
          <w:p>
            <w:pPr>
              <w:spacing w:after="0" w:line="264" w:lineRule="auto"/>
            </w:pPr>
            <w:r>
              <w:rPr>
                <w:rFonts w:ascii="Calibri" w:hAnsi="Calibri"/>
                <w:color w:val="243447"/>
                <w:sz w:val="18"/>
              </w:rPr>
              <w:t>Metadata, authorization, activation, ACS success, unknown user, and request correlation tests.</w:t>
            </w:r>
          </w:p>
        </w:tc>
      </w:tr>
    </w:tbl>
    <w:p>
      <w:pPr>
        <w:spacing w:after="40"/>
      </w:pPr>
    </w:p>
    <w:p>
      <w:pPr>
        <w:pStyle w:val="Heading2"/>
      </w:pPr>
      <w:r>
        <w:t>4.2 Validation sequence</w:t>
      </w:r>
    </w:p>
    <w:p>
      <w:pPr>
        <w:pStyle w:val="ListNumber"/>
        <w:spacing w:after="80" w:line="300" w:lineRule="auto"/>
      </w:pPr>
      <w:r>
        <w:rPr>
          <w:rFonts w:ascii="Calibri" w:hAnsi="Calibri"/>
          <w:color w:val="243447"/>
          <w:sz w:val="22"/>
        </w:rPr>
        <w:t>Require SAMLResponse and an active IdP certificate.</w:t>
      </w:r>
    </w:p>
    <w:p>
      <w:pPr>
        <w:pStyle w:val="ListNumber"/>
        <w:spacing w:after="80" w:line="300" w:lineRule="auto"/>
      </w:pPr>
      <w:r>
        <w:rPr>
          <w:rFonts w:ascii="Calibri" w:hAnsi="Calibri"/>
          <w:color w:val="243447"/>
          <w:sz w:val="22"/>
        </w:rPr>
        <w:t>Base64-decode and parse XML with network access disabled (LIBXML_NONET).</w:t>
      </w:r>
    </w:p>
    <w:p>
      <w:pPr>
        <w:pStyle w:val="ListNumber"/>
        <w:spacing w:after="80" w:line="300" w:lineRule="auto"/>
      </w:pPr>
      <w:r>
        <w:rPr>
          <w:rFonts w:ascii="Calibri" w:hAnsi="Calibri"/>
          <w:color w:val="243447"/>
          <w:sz w:val="22"/>
        </w:rPr>
        <w:t>If InResponseTo is present, require a matching unexpired issued request record.</w:t>
      </w:r>
    </w:p>
    <w:p>
      <w:pPr>
        <w:pStyle w:val="ListNumber"/>
        <w:spacing w:after="80" w:line="300" w:lineRule="auto"/>
      </w:pPr>
      <w:r>
        <w:rPr>
          <w:rFonts w:ascii="Calibri" w:hAnsi="Calibri"/>
          <w:color w:val="243447"/>
          <w:sz w:val="22"/>
        </w:rPr>
        <w:t>Run OneLogin validation in strict mode with XML validation and strict destination matching.</w:t>
      </w:r>
    </w:p>
    <w:p>
      <w:pPr>
        <w:pStyle w:val="ListNumber"/>
        <w:spacing w:after="80" w:line="300" w:lineRule="auto"/>
      </w:pPr>
      <w:r>
        <w:rPr>
          <w:rFonts w:ascii="Calibri" w:hAnsi="Calibri"/>
          <w:color w:val="243447"/>
          <w:sz w:val="22"/>
        </w:rPr>
        <w:t>Require Success status and exact configured issuer.</w:t>
      </w:r>
    </w:p>
    <w:p>
      <w:pPr>
        <w:pStyle w:val="ListNumber"/>
        <w:spacing w:after="80" w:line="300" w:lineRule="auto"/>
      </w:pPr>
      <w:r>
        <w:rPr>
          <w:rFonts w:ascii="Calibri" w:hAnsi="Calibri"/>
          <w:color w:val="243447"/>
          <w:sz w:val="22"/>
        </w:rPr>
        <w:t>Require destination and subject recipient to match the ACS URL.</w:t>
      </w:r>
    </w:p>
    <w:p>
      <w:pPr>
        <w:pStyle w:val="ListNumber"/>
        <w:spacing w:after="80" w:line="300" w:lineRule="auto"/>
      </w:pPr>
      <w:r>
        <w:rPr>
          <w:rFonts w:ascii="Calibri" w:hAnsi="Calibri"/>
          <w:color w:val="243447"/>
          <w:sz w:val="22"/>
        </w:rPr>
        <w:t>Require audience to equal SAML_SP_ENTITY_ID.</w:t>
      </w:r>
    </w:p>
    <w:p>
      <w:pPr>
        <w:pStyle w:val="ListNumber"/>
        <w:spacing w:after="80" w:line="300" w:lineRule="auto"/>
      </w:pPr>
      <w:r>
        <w:rPr>
          <w:rFonts w:ascii="Calibri" w:hAnsi="Calibri"/>
          <w:color w:val="243447"/>
          <w:sz w:val="22"/>
        </w:rPr>
        <w:t>Require email identity; validate NotBefore and NotOnOrAfter with configured skew.</w:t>
      </w:r>
    </w:p>
    <w:p>
      <w:pPr>
        <w:pStyle w:val="ListNumber"/>
        <w:spacing w:after="80" w:line="300" w:lineRule="auto"/>
      </w:pPr>
      <w:r>
        <w:rPr>
          <w:rFonts w:ascii="Calibri" w:hAnsi="Calibri"/>
          <w:color w:val="243447"/>
          <w:sz w:val="22"/>
        </w:rPr>
        <w:t>Reject previously stored response_id or assertion_id, then persist them before login.</w:t>
      </w:r>
    </w:p>
    <w:p>
      <w:pPr>
        <w:pStyle w:val="ListNumber"/>
        <w:spacing w:after="80" w:line="300" w:lineRule="auto"/>
      </w:pPr>
      <w:r>
        <w:rPr>
          <w:rFonts w:ascii="Calibri" w:hAnsi="Calibri"/>
          <w:color w:val="243447"/>
          <w:sz w:val="22"/>
        </w:rPr>
        <w:t>Resolve an existing active account case-insensitively by email; regenerate session after Auth::login.</w:t>
      </w:r>
    </w:p>
    <w:p>
      <w:pPr>
        <w:spacing w:before="80" w:after="160" w:line="288" w:lineRule="auto"/>
        <w:ind w:left="259" w:right="173"/>
        <w:shd w:fill="F4F6F9"/>
      </w:pPr>
      <w:r>
        <w:rPr>
          <w:rFonts w:ascii="Calibri" w:hAnsi="Calibri"/>
          <w:b/>
          <w:color w:val="9B1C1C"/>
          <w:sz w:val="22"/>
        </w:rPr>
        <w:t xml:space="preserve">SECURITY REVIEW ITEM  </w:t>
      </w:r>
      <w:r>
        <w:rPr>
          <w:rFonts w:ascii="Calibri" w:hAnsi="Calibri"/>
          <w:color w:val="243447"/>
          <w:sz w:val="22"/>
        </w:rPr>
        <w:t>The database flags require_signed_requests, sign_responses, and sign_assertions are federation metadata/configuration fields, but the current AuthnRequest builder does not sign outbound requests. The current metadata certificate is sourced from SAML_IDP_PUBLIC_CERT, whose name implies an IdP certificate. Before enabling AuthnRequestsSigned=true, introduce a separate SP private key and SP public certificate and sign the Redirect query correctly.</w:t>
      </w:r>
    </w:p>
    <w:p>
      <w:pPr>
        <w:pStyle w:val="Heading1"/>
      </w:pPr>
      <w:r>
        <w:t>5. Application and database setup</w:t>
      </w:r>
    </w:p>
    <w:p>
      <w:pPr>
        <w:pStyle w:val="Heading2"/>
      </w:pPr>
      <w:r>
        <w:t>5.1 Fresh or cloned environment</w:t>
      </w:r>
    </w:p>
    <w:p>
      <w:pPr>
        <w:spacing w:after="0" w:line="240" w:lineRule="auto"/>
        <w:ind w:left="259" w:right="173"/>
        <w:shd w:fill="F2F4F7"/>
      </w:pPr>
      <w:r>
        <w:rPr>
          <w:rFonts w:ascii="Courier New" w:hAnsi="Courier New"/>
          <w:color w:val="1F2937"/>
          <w:sz w:val="17"/>
        </w:rPr>
        <w:t>git clone &lt;repository-url&gt; cebu_rooms2</w:t>
      </w:r>
    </w:p>
    <w:p>
      <w:pPr>
        <w:spacing w:after="0" w:line="240" w:lineRule="auto"/>
        <w:ind w:left="259" w:right="173"/>
        <w:shd w:fill="F2F4F7"/>
      </w:pPr>
      <w:r>
        <w:rPr>
          <w:rFonts w:ascii="Courier New" w:hAnsi="Courier New"/>
          <w:color w:val="1F2937"/>
          <w:sz w:val="17"/>
        </w:rPr>
        <w:t>cd cebu_rooms2</w:t>
      </w:r>
    </w:p>
    <w:p>
      <w:pPr>
        <w:spacing w:after="0" w:line="240" w:lineRule="auto"/>
        <w:ind w:left="259" w:right="173"/>
        <w:shd w:fill="F2F4F7"/>
      </w:pPr>
      <w:r>
        <w:rPr>
          <w:rFonts w:ascii="Courier New" w:hAnsi="Courier New"/>
          <w:color w:val="1F2937"/>
          <w:sz w:val="17"/>
        </w:rPr>
        <w:t>composer install</w:t>
      </w:r>
    </w:p>
    <w:p>
      <w:pPr>
        <w:spacing w:after="0" w:line="240" w:lineRule="auto"/>
        <w:ind w:left="259" w:right="173"/>
        <w:shd w:fill="F2F4F7"/>
      </w:pPr>
      <w:r>
        <w:rPr>
          <w:rFonts w:ascii="Courier New" w:hAnsi="Courier New"/>
          <w:color w:val="1F2937"/>
          <w:sz w:val="17"/>
        </w:rPr>
        <w:t>npm ci</w:t>
      </w:r>
    </w:p>
    <w:p>
      <w:pPr>
        <w:spacing w:after="0" w:line="240" w:lineRule="auto"/>
        <w:ind w:left="259" w:right="173"/>
        <w:shd w:fill="F2F4F7"/>
      </w:pPr>
      <w:r>
        <w:rPr>
          <w:rFonts w:ascii="Courier New" w:hAnsi="Courier New"/>
          <w:color w:val="1F2937"/>
          <w:sz w:val="17"/>
        </w:rPr>
        <w:t>cp .env.example .env</w:t>
      </w:r>
    </w:p>
    <w:p>
      <w:pPr>
        <w:spacing w:after="0" w:line="240" w:lineRule="auto"/>
        <w:ind w:left="259" w:right="173"/>
        <w:shd w:fill="F2F4F7"/>
      </w:pPr>
      <w:r>
        <w:rPr>
          <w:rFonts w:ascii="Courier New" w:hAnsi="Courier New"/>
          <w:color w:val="1F2937"/>
          <w:sz w:val="17"/>
        </w:rPr>
        <w:t>php artisan key:generate</w:t>
      </w:r>
    </w:p>
    <w:p>
      <w:pPr>
        <w:spacing w:after="0" w:line="240" w:lineRule="auto"/>
        <w:ind w:left="259" w:right="173"/>
        <w:shd w:fill="F2F4F7"/>
      </w:pPr>
      <w:r>
        <w:rPr>
          <w:rFonts w:ascii="Courier New" w:hAnsi="Courier New"/>
          <w:color w:val="1F2937"/>
          <w:sz w:val="17"/>
        </w:rPr>
        <w:t>php artisan migrate</w:t>
      </w:r>
    </w:p>
    <w:p>
      <w:pPr>
        <w:spacing w:after="0" w:line="240" w:lineRule="auto"/>
        <w:ind w:left="259" w:right="173"/>
        <w:shd w:fill="F2F4F7"/>
      </w:pPr>
      <w:r>
        <w:rPr>
          <w:rFonts w:ascii="Courier New" w:hAnsi="Courier New"/>
          <w:color w:val="1F2937"/>
          <w:sz w:val="17"/>
        </w:rPr>
        <w:t>npm run build</w:t>
      </w:r>
    </w:p>
    <w:p>
      <w:pPr>
        <w:keepLines w:val="0"/>
        <w:spacing w:after="80" w:line="300" w:lineRule="auto"/>
      </w:pPr>
      <w:r>
        <w:rPr>
          <w:rFonts w:ascii="Calibri" w:hAnsi="Calibri"/>
          <w:color w:val="243447"/>
          <w:sz w:val="22"/>
        </w:rPr>
      </w:r>
    </w:p>
    <w:p>
      <w:pPr>
        <w:keepLines w:val="0"/>
        <w:spacing w:after="120" w:line="300" w:lineRule="auto"/>
      </w:pPr>
      <w:r>
        <w:rPr>
          <w:rFonts w:ascii="Calibri" w:hAnsi="Calibri"/>
          <w:color w:val="243447"/>
          <w:sz w:val="22"/>
        </w:rPr>
        <w:t>For an existing deployment, use composer install --no-dev --optimize-autoloader and take a database backup before php artisan migrate --force.</w:t>
      </w:r>
    </w:p>
    <w:p>
      <w:pPr>
        <w:pStyle w:val="Heading2"/>
      </w:pPr>
      <w:r>
        <w:t>5.2 Database records</w:t>
      </w:r>
    </w:p>
    <w:tbl>
      <w:tblPr>
        <w:tblStyle w:val="TableGrid"/>
        <w:tblW w:type="dxa" w:w="9360"/>
        <w:jc w:val="left"/>
        <w:tblLayout w:type="fixed"/>
        <w:tblLook w:firstColumn="1" w:firstRow="1" w:lastColumn="0" w:lastRow="0" w:noHBand="0" w:noVBand="1" w:val="04A0"/>
        <w:tblInd w:w="120" w:type="dxa"/>
      </w:tblPr>
      <w:tblGrid>
        <w:gridCol w:w="1900"/>
        <w:gridCol w:w="3560"/>
        <w:gridCol w:w="3900"/>
      </w:tblGrid>
      <w:tr>
        <w:trPr>
          <w:tblHeader w:val="true"/>
        </w:trPr>
        <w:tc>
          <w:tcPr>
            <w:tcW w:type="dxa" w:w="1900"/>
            <w:shd w:fill="E8EEF5"/>
            <w:tcMar>
              <w:top w:w="80" w:type="dxa"/>
              <w:start w:w="120" w:type="dxa"/>
              <w:bottom w:w="80" w:type="dxa"/>
              <w:end w:w="120" w:type="dxa"/>
            </w:tcMar>
            <w:vAlign w:val="center"/>
          </w:tcPr>
          <w:p>
            <w:pPr>
              <w:spacing w:after="0"/>
            </w:pPr>
            <w:r>
              <w:rPr>
                <w:rFonts w:ascii="Calibri" w:hAnsi="Calibri"/>
                <w:b/>
                <w:color w:val="1F4D78"/>
                <w:sz w:val="19"/>
              </w:rPr>
              <w:t>Table</w:t>
            </w:r>
          </w:p>
        </w:tc>
        <w:tc>
          <w:tcPr>
            <w:tcW w:type="dxa" w:w="3560"/>
            <w:shd w:fill="E8EEF5"/>
            <w:tcMar>
              <w:top w:w="80" w:type="dxa"/>
              <w:start w:w="120" w:type="dxa"/>
              <w:bottom w:w="80" w:type="dxa"/>
              <w:end w:w="120" w:type="dxa"/>
            </w:tcMar>
            <w:vAlign w:val="center"/>
          </w:tcPr>
          <w:p>
            <w:pPr>
              <w:spacing w:after="0"/>
            </w:pPr>
            <w:r>
              <w:rPr>
                <w:rFonts w:ascii="Calibri" w:hAnsi="Calibri"/>
                <w:b/>
                <w:color w:val="1F4D78"/>
                <w:sz w:val="19"/>
              </w:rPr>
              <w:t>Important fields / constraints</w:t>
            </w:r>
          </w:p>
        </w:tc>
        <w:tc>
          <w:tcPr>
            <w:tcW w:type="dxa" w:w="3900"/>
            <w:shd w:fill="E8EEF5"/>
            <w:tcMar>
              <w:top w:w="80" w:type="dxa"/>
              <w:start w:w="120" w:type="dxa"/>
              <w:bottom w:w="80" w:type="dxa"/>
              <w:end w:w="120" w:type="dxa"/>
            </w:tcMar>
            <w:vAlign w:val="center"/>
          </w:tcPr>
          <w:p>
            <w:pPr>
              <w:spacing w:after="0"/>
            </w:pPr>
            <w:r>
              <w:rPr>
                <w:rFonts w:ascii="Calibri" w:hAnsi="Calibri"/>
                <w:b/>
                <w:color w:val="1F4D78"/>
                <w:sz w:val="19"/>
              </w:rPr>
              <w:t>Operational purpose</w:t>
            </w:r>
          </w:p>
        </w:tc>
      </w:tr>
      <w:tr>
        <w:trPr/>
        <w:tc>
          <w:tcPr>
            <w:tcW w:type="dxa" w:w="1900"/>
            <w:tcMar>
              <w:top w:w="80" w:type="dxa"/>
              <w:start w:w="120" w:type="dxa"/>
              <w:bottom w:w="80" w:type="dxa"/>
              <w:end w:w="120" w:type="dxa"/>
            </w:tcMar>
            <w:vAlign w:val="center"/>
          </w:tcPr>
          <w:p>
            <w:pPr>
              <w:spacing w:after="0" w:line="264" w:lineRule="auto"/>
            </w:pPr>
            <w:r>
              <w:rPr>
                <w:rFonts w:ascii="Calibri" w:hAnsi="Calibri"/>
                <w:color w:val="243447"/>
                <w:sz w:val="18"/>
              </w:rPr>
              <w:t>saml_configurations</w:t>
            </w:r>
          </w:p>
        </w:tc>
        <w:tc>
          <w:tcPr>
            <w:tcW w:type="dxa" w:w="3560"/>
            <w:tcMar>
              <w:top w:w="80" w:type="dxa"/>
              <w:start w:w="120" w:type="dxa"/>
              <w:bottom w:w="80" w:type="dxa"/>
              <w:end w:w="120" w:type="dxa"/>
            </w:tcMar>
            <w:vAlign w:val="center"/>
          </w:tcPr>
          <w:p>
            <w:pPr>
              <w:spacing w:after="0" w:line="264" w:lineRule="auto"/>
            </w:pPr>
            <w:r>
              <w:rPr>
                <w:rFonts w:ascii="Calibri" w:hAnsi="Calibri"/>
                <w:color w:val="243447"/>
                <w:sz w:val="18"/>
              </w:rPr>
              <w:t>unique slug/entity_id; mode; URLs; x509_cert; status; is_active; metadata; signing flags</w:t>
            </w:r>
          </w:p>
        </w:tc>
        <w:tc>
          <w:tcPr>
            <w:tcW w:type="dxa" w:w="3900"/>
            <w:tcMar>
              <w:top w:w="80" w:type="dxa"/>
              <w:start w:w="120" w:type="dxa"/>
              <w:bottom w:w="80" w:type="dxa"/>
              <w:end w:w="120" w:type="dxa"/>
            </w:tcMar>
            <w:vAlign w:val="center"/>
          </w:tcPr>
          <w:p>
            <w:pPr>
              <w:spacing w:after="0" w:line="264" w:lineRule="auto"/>
            </w:pPr>
            <w:r>
              <w:rPr>
                <w:rFonts w:ascii="Calibri" w:hAnsi="Calibri"/>
                <w:color w:val="243447"/>
                <w:sz w:val="18"/>
              </w:rPr>
              <w:t>Federation partner configuration. Only one active record per mode is maintained by the controller.</w:t>
            </w:r>
          </w:p>
        </w:tc>
      </w:tr>
      <w:tr>
        <w:trPr/>
        <w:tc>
          <w:tcPr>
            <w:tcW w:type="dxa" w:w="1900"/>
            <w:tcMar>
              <w:top w:w="80" w:type="dxa"/>
              <w:start w:w="120" w:type="dxa"/>
              <w:bottom w:w="80" w:type="dxa"/>
              <w:end w:w="120" w:type="dxa"/>
            </w:tcMar>
            <w:vAlign w:val="center"/>
          </w:tcPr>
          <w:p>
            <w:pPr>
              <w:spacing w:after="0" w:line="264" w:lineRule="auto"/>
            </w:pPr>
            <w:r>
              <w:rPr>
                <w:rFonts w:ascii="Calibri" w:hAnsi="Calibri"/>
                <w:color w:val="243447"/>
                <w:sz w:val="18"/>
              </w:rPr>
              <w:t>saml_replay_records</w:t>
            </w:r>
          </w:p>
        </w:tc>
        <w:tc>
          <w:tcPr>
            <w:tcW w:type="dxa" w:w="3560"/>
            <w:tcMar>
              <w:top w:w="80" w:type="dxa"/>
              <w:start w:w="120" w:type="dxa"/>
              <w:bottom w:w="80" w:type="dxa"/>
              <w:end w:w="120" w:type="dxa"/>
            </w:tcMar>
            <w:vAlign w:val="center"/>
          </w:tcPr>
          <w:p>
            <w:pPr>
              <w:spacing w:after="0" w:line="264" w:lineRule="auto"/>
            </w:pPr>
            <w:r>
              <w:rPr>
                <w:rFonts w:ascii="Calibri" w:hAnsi="Calibri"/>
                <w:color w:val="243447"/>
                <w:sz w:val="18"/>
              </w:rPr>
              <w:t>unique request_id, response_id, assertion_id; expires_at</w:t>
            </w:r>
          </w:p>
        </w:tc>
        <w:tc>
          <w:tcPr>
            <w:tcW w:type="dxa" w:w="3900"/>
            <w:tcMar>
              <w:top w:w="80" w:type="dxa"/>
              <w:start w:w="120" w:type="dxa"/>
              <w:bottom w:w="80" w:type="dxa"/>
              <w:end w:w="120" w:type="dxa"/>
            </w:tcMar>
            <w:vAlign w:val="center"/>
          </w:tcPr>
          <w:p>
            <w:pPr>
              <w:spacing w:after="0" w:line="264" w:lineRule="auto"/>
            </w:pPr>
            <w:r>
              <w:rPr>
                <w:rFonts w:ascii="Calibri" w:hAnsi="Calibri"/>
                <w:color w:val="243447"/>
                <w:sz w:val="18"/>
              </w:rPr>
              <w:t>Correlates requests and blocks response/assertion replay.</w:t>
            </w:r>
          </w:p>
        </w:tc>
      </w:tr>
      <w:tr>
        <w:trPr/>
        <w:tc>
          <w:tcPr>
            <w:tcW w:type="dxa" w:w="1900"/>
            <w:tcMar>
              <w:top w:w="80" w:type="dxa"/>
              <w:start w:w="120" w:type="dxa"/>
              <w:bottom w:w="80" w:type="dxa"/>
              <w:end w:w="120" w:type="dxa"/>
            </w:tcMar>
            <w:vAlign w:val="center"/>
          </w:tcPr>
          <w:p>
            <w:pPr>
              <w:spacing w:after="0" w:line="264" w:lineRule="auto"/>
            </w:pPr>
            <w:r>
              <w:rPr>
                <w:rFonts w:ascii="Calibri" w:hAnsi="Calibri"/>
                <w:color w:val="243447"/>
                <w:sz w:val="18"/>
              </w:rPr>
              <w:t>saml_audit_events</w:t>
            </w:r>
          </w:p>
        </w:tc>
        <w:tc>
          <w:tcPr>
            <w:tcW w:type="dxa" w:w="3560"/>
            <w:tcMar>
              <w:top w:w="80" w:type="dxa"/>
              <w:start w:w="120" w:type="dxa"/>
              <w:bottom w:w="80" w:type="dxa"/>
              <w:end w:w="120" w:type="dxa"/>
            </w:tcMar>
            <w:vAlign w:val="center"/>
          </w:tcPr>
          <w:p>
            <w:pPr>
              <w:spacing w:after="0" w:line="264" w:lineRule="auto"/>
            </w:pPr>
            <w:r>
              <w:rPr>
                <w:rFonts w:ascii="Calibri" w:hAnsi="Calibri"/>
                <w:color w:val="243447"/>
                <w:sz w:val="18"/>
              </w:rPr>
              <w:t>event_name, outcome, partner/user IDs, request/response IDs, IP, metadata</w:t>
            </w:r>
          </w:p>
        </w:tc>
        <w:tc>
          <w:tcPr>
            <w:tcW w:type="dxa" w:w="3900"/>
            <w:tcMar>
              <w:top w:w="80" w:type="dxa"/>
              <w:start w:w="120" w:type="dxa"/>
              <w:bottom w:w="80" w:type="dxa"/>
              <w:end w:w="120" w:type="dxa"/>
            </w:tcMar>
            <w:vAlign w:val="center"/>
          </w:tcPr>
          <w:p>
            <w:pPr>
              <w:spacing w:after="0" w:line="264" w:lineRule="auto"/>
            </w:pPr>
            <w:r>
              <w:rPr>
                <w:rFonts w:ascii="Calibri" w:hAnsi="Calibri"/>
                <w:color w:val="243447"/>
                <w:sz w:val="18"/>
              </w:rPr>
              <w:t>Evidence and troubleshooting without storing entire assertions.</w:t>
            </w:r>
          </w:p>
        </w:tc>
      </w:tr>
      <w:tr>
        <w:trPr/>
        <w:tc>
          <w:tcPr>
            <w:tcW w:type="dxa" w:w="1900"/>
            <w:tcMar>
              <w:top w:w="80" w:type="dxa"/>
              <w:start w:w="120" w:type="dxa"/>
              <w:bottom w:w="80" w:type="dxa"/>
              <w:end w:w="120" w:type="dxa"/>
            </w:tcMar>
            <w:vAlign w:val="center"/>
          </w:tcPr>
          <w:p>
            <w:pPr>
              <w:spacing w:after="0" w:line="264" w:lineRule="auto"/>
            </w:pPr>
            <w:r>
              <w:rPr>
                <w:rFonts w:ascii="Calibri" w:hAnsi="Calibri"/>
                <w:color w:val="243447"/>
                <w:sz w:val="18"/>
              </w:rPr>
              <w:t>user_accounts</w:t>
            </w:r>
          </w:p>
        </w:tc>
        <w:tc>
          <w:tcPr>
            <w:tcW w:type="dxa" w:w="3560"/>
            <w:tcMar>
              <w:top w:w="80" w:type="dxa"/>
              <w:start w:w="120" w:type="dxa"/>
              <w:bottom w:w="80" w:type="dxa"/>
              <w:end w:w="120" w:type="dxa"/>
            </w:tcMar>
            <w:vAlign w:val="center"/>
          </w:tcPr>
          <w:p>
            <w:pPr>
              <w:spacing w:after="0" w:line="264" w:lineRule="auto"/>
            </w:pPr>
            <w:r>
              <w:rPr>
                <w:rFonts w:ascii="Calibri" w:hAnsi="Calibri"/>
                <w:color w:val="243447"/>
                <w:sz w:val="18"/>
              </w:rPr>
              <w:t>email, account_status, role/permissions, last_login_at, last_login_ip</w:t>
            </w:r>
          </w:p>
        </w:tc>
        <w:tc>
          <w:tcPr>
            <w:tcW w:type="dxa" w:w="3900"/>
            <w:tcMar>
              <w:top w:w="80" w:type="dxa"/>
              <w:start w:w="120" w:type="dxa"/>
              <w:bottom w:w="80" w:type="dxa"/>
              <w:end w:w="120" w:type="dxa"/>
            </w:tcMar>
            <w:vAlign w:val="center"/>
          </w:tcPr>
          <w:p>
            <w:pPr>
              <w:spacing w:after="0" w:line="264" w:lineRule="auto"/>
            </w:pPr>
            <w:r>
              <w:rPr>
                <w:rFonts w:ascii="Calibri" w:hAnsi="Calibri"/>
                <w:color w:val="243447"/>
                <w:sz w:val="18"/>
              </w:rPr>
              <w:t>Local authorization source; SAML authenticates but does not auto-provision.</w:t>
            </w:r>
          </w:p>
        </w:tc>
      </w:tr>
    </w:tbl>
    <w:p>
      <w:pPr>
        <w:spacing w:after="40"/>
      </w:pPr>
    </w:p>
    <w:p>
      <w:pPr>
        <w:pStyle w:val="Heading2"/>
      </w:pPr>
      <w:r>
        <w:t>5.3 Seed strategy</w:t>
      </w:r>
    </w:p>
    <w:p>
      <w:pPr>
        <w:keepLines w:val="0"/>
        <w:spacing w:after="120" w:line="300" w:lineRule="auto"/>
      </w:pPr>
      <w:r>
        <w:rPr>
          <w:rFonts w:ascii="Calibri" w:hAnsi="Calibri"/>
          <w:color w:val="243447"/>
          <w:sz w:val="22"/>
        </w:rPr>
        <w:t>For production AMS, set the real certificate first, then run the dedicated seeder. It deactivates other IdP records and upserts the AMS record as active.</w:t>
      </w:r>
    </w:p>
    <w:p>
      <w:pPr>
        <w:spacing w:after="0" w:line="240" w:lineRule="auto"/>
        <w:ind w:left="259" w:right="173"/>
        <w:shd w:fill="F2F4F7"/>
      </w:pPr>
      <w:r>
        <w:rPr>
          <w:rFonts w:ascii="Courier New" w:hAnsi="Courier New"/>
          <w:color w:val="1F2937"/>
          <w:sz w:val="17"/>
        </w:rPr>
        <w:t>php artisan db:seed --class=AmsSamlConfigurationSeeder --force</w:t>
      </w:r>
    </w:p>
    <w:p>
      <w:pPr>
        <w:keepLines w:val="0"/>
        <w:spacing w:after="80" w:line="300" w:lineRule="auto"/>
      </w:pPr>
      <w:r>
        <w:rPr>
          <w:rFonts w:ascii="Calibri" w:hAnsi="Calibri"/>
          <w:color w:val="243447"/>
          <w:sz w:val="22"/>
        </w:rPr>
      </w:r>
    </w:p>
    <w:p>
      <w:pPr>
        <w:spacing w:before="80" w:after="160" w:line="288" w:lineRule="auto"/>
        <w:ind w:left="259" w:right="173"/>
        <w:shd w:fill="F4F6F9"/>
      </w:pPr>
      <w:r>
        <w:rPr>
          <w:rFonts w:ascii="Calibri" w:hAnsi="Calibri"/>
          <w:b/>
          <w:color w:val="7A5A00"/>
          <w:sz w:val="22"/>
        </w:rPr>
        <w:t xml:space="preserve">DO NOT USE LOCAL FIXTURES IN PRODUCTION  </w:t>
      </w:r>
      <w:r>
        <w:rPr>
          <w:rFonts w:ascii="Calibri" w:hAnsi="Calibri"/>
          <w:color w:val="243447"/>
          <w:sz w:val="22"/>
        </w:rPr>
        <w:t>SamlConfigurationSeeder contains a local OnePortal certificate and loopback URLs intended for development/testing. Use AmsSamlConfigurationSeeder or the admin UI with authoritative IdP metadata in production.</w:t>
      </w:r>
    </w:p>
    <w:p>
      <w:pPr>
        <w:pStyle w:val="Heading1"/>
      </w:pPr>
      <w:r>
        <w:t>6. Environment and SAML configuration</w:t>
      </w:r>
    </w:p>
    <w:p>
      <w:pPr>
        <w:pStyle w:val="Heading2"/>
      </w:pPr>
      <w:r>
        <w:t>6.1 Environment values</w:t>
      </w:r>
    </w:p>
    <w:p>
      <w:pPr>
        <w:spacing w:after="0" w:line="240" w:lineRule="auto"/>
        <w:ind w:left="259" w:right="173"/>
        <w:shd w:fill="F2F4F7"/>
      </w:pPr>
      <w:r>
        <w:rPr>
          <w:rFonts w:ascii="Courier New" w:hAnsi="Courier New"/>
          <w:color w:val="1F2937"/>
          <w:sz w:val="17"/>
        </w:rPr>
        <w:t>APP_URL=https://rooms.your-domain.edu.ph</w:t>
      </w:r>
    </w:p>
    <w:p>
      <w:pPr>
        <w:spacing w:after="0" w:line="240" w:lineRule="auto"/>
        <w:ind w:left="259" w:right="173"/>
        <w:shd w:fill="F2F4F7"/>
      </w:pPr>
      <w:r>
        <w:rPr>
          <w:rFonts w:ascii="Courier New" w:hAnsi="Courier New"/>
          <w:color w:val="1F2937"/>
          <w:sz w:val="17"/>
        </w:rPr>
        <w:t xml:space="preserve"> </w:t>
      </w:r>
    </w:p>
    <w:p>
      <w:pPr>
        <w:spacing w:after="0" w:line="240" w:lineRule="auto"/>
        <w:ind w:left="259" w:right="173"/>
        <w:shd w:fill="F2F4F7"/>
      </w:pPr>
      <w:r>
        <w:rPr>
          <w:rFonts w:ascii="Courier New" w:hAnsi="Courier New"/>
          <w:color w:val="1F2937"/>
          <w:sz w:val="17"/>
        </w:rPr>
        <w:t>SAML_SP_ENTITY_ID="${APP_URL}/saml2/metadata"</w:t>
      </w:r>
    </w:p>
    <w:p>
      <w:pPr>
        <w:spacing w:after="0" w:line="240" w:lineRule="auto"/>
        <w:ind w:left="259" w:right="173"/>
        <w:shd w:fill="F2F4F7"/>
      </w:pPr>
      <w:r>
        <w:rPr>
          <w:rFonts w:ascii="Courier New" w:hAnsi="Courier New"/>
          <w:color w:val="1F2937"/>
          <w:sz w:val="17"/>
        </w:rPr>
        <w:t>SAML_IDP_ENTITY_ID="https://ams.upcebu.edu.ph/saml2/metadata"</w:t>
      </w:r>
    </w:p>
    <w:p>
      <w:pPr>
        <w:spacing w:after="0" w:line="240" w:lineRule="auto"/>
        <w:ind w:left="259" w:right="173"/>
        <w:shd w:fill="F2F4F7"/>
      </w:pPr>
      <w:r>
        <w:rPr>
          <w:rFonts w:ascii="Courier New" w:hAnsi="Courier New"/>
          <w:color w:val="1F2937"/>
          <w:sz w:val="17"/>
        </w:rPr>
        <w:t>SAML_IDP_PUBLIC_CERT="-----BEGIN CERTIFICATE-----...-----END CERTIFICATE-----"</w:t>
      </w:r>
    </w:p>
    <w:p>
      <w:pPr>
        <w:spacing w:after="0" w:line="240" w:lineRule="auto"/>
        <w:ind w:left="259" w:right="173"/>
        <w:shd w:fill="F2F4F7"/>
      </w:pPr>
      <w:r>
        <w:rPr>
          <w:rFonts w:ascii="Courier New" w:hAnsi="Courier New"/>
          <w:color w:val="1F2937"/>
          <w:sz w:val="17"/>
        </w:rPr>
        <w:t>SAML_IDP_PRIVATE_KEY=</w:t>
      </w:r>
    </w:p>
    <w:p>
      <w:pPr>
        <w:spacing w:after="0" w:line="240" w:lineRule="auto"/>
        <w:ind w:left="259" w:right="173"/>
        <w:shd w:fill="F2F4F7"/>
      </w:pPr>
      <w:r>
        <w:rPr>
          <w:rFonts w:ascii="Courier New" w:hAnsi="Courier New"/>
          <w:color w:val="1F2937"/>
          <w:sz w:val="17"/>
        </w:rPr>
        <w:t>SAML_IDP_KEY_PASSPHRASE=</w:t>
      </w:r>
    </w:p>
    <w:p>
      <w:pPr>
        <w:spacing w:after="0" w:line="240" w:lineRule="auto"/>
        <w:ind w:left="259" w:right="173"/>
        <w:shd w:fill="F2F4F7"/>
      </w:pPr>
      <w:r>
        <w:rPr>
          <w:rFonts w:ascii="Courier New" w:hAnsi="Courier New"/>
          <w:color w:val="1F2937"/>
          <w:sz w:val="17"/>
        </w:rPr>
        <w:t xml:space="preserve"> </w:t>
      </w:r>
    </w:p>
    <w:p>
      <w:pPr>
        <w:spacing w:after="0" w:line="240" w:lineRule="auto"/>
        <w:ind w:left="259" w:right="173"/>
        <w:shd w:fill="F2F4F7"/>
      </w:pPr>
      <w:r>
        <w:rPr>
          <w:rFonts w:ascii="Courier New" w:hAnsi="Courier New"/>
          <w:color w:val="1F2937"/>
          <w:sz w:val="17"/>
        </w:rPr>
        <w:t>SAML_ASSERTION_TTL_SECONDS=300</w:t>
      </w:r>
    </w:p>
    <w:p>
      <w:pPr>
        <w:spacing w:after="0" w:line="240" w:lineRule="auto"/>
        <w:ind w:left="259" w:right="173"/>
        <w:shd w:fill="F2F4F7"/>
      </w:pPr>
      <w:r>
        <w:rPr>
          <w:rFonts w:ascii="Courier New" w:hAnsi="Courier New"/>
          <w:color w:val="1F2937"/>
          <w:sz w:val="17"/>
        </w:rPr>
        <w:t>SAML_CLOCK_SKEW_SECONDS=60</w:t>
      </w:r>
    </w:p>
    <w:p>
      <w:pPr>
        <w:spacing w:after="0" w:line="240" w:lineRule="auto"/>
        <w:ind w:left="259" w:right="173"/>
        <w:shd w:fill="F2F4F7"/>
      </w:pPr>
      <w:r>
        <w:rPr>
          <w:rFonts w:ascii="Courier New" w:hAnsi="Courier New"/>
          <w:color w:val="1F2937"/>
          <w:sz w:val="17"/>
        </w:rPr>
        <w:t>SAML_REQUIRE_SIGNED_REQUESTS=false</w:t>
      </w:r>
    </w:p>
    <w:p>
      <w:pPr>
        <w:spacing w:after="0" w:line="240" w:lineRule="auto"/>
        <w:ind w:left="259" w:right="173"/>
        <w:shd w:fill="F2F4F7"/>
      </w:pPr>
      <w:r>
        <w:rPr>
          <w:rFonts w:ascii="Courier New" w:hAnsi="Courier New"/>
          <w:color w:val="1F2937"/>
          <w:sz w:val="17"/>
        </w:rPr>
        <w:t>SAML_SIGN_RESPONSES=true</w:t>
      </w:r>
    </w:p>
    <w:p>
      <w:pPr>
        <w:spacing w:after="0" w:line="240" w:lineRule="auto"/>
        <w:ind w:left="259" w:right="173"/>
        <w:shd w:fill="F2F4F7"/>
      </w:pPr>
      <w:r>
        <w:rPr>
          <w:rFonts w:ascii="Courier New" w:hAnsi="Courier New"/>
          <w:color w:val="1F2937"/>
          <w:sz w:val="17"/>
        </w:rPr>
        <w:t>SAML_SIGN_ASSERTIONS=true</w:t>
      </w:r>
    </w:p>
    <w:p>
      <w:pPr>
        <w:keepLines w:val="0"/>
        <w:spacing w:after="80" w:line="300" w:lineRule="auto"/>
      </w:pPr>
      <w:r>
        <w:rPr>
          <w:rFonts w:ascii="Calibri" w:hAnsi="Calibri"/>
          <w:color w:val="243447"/>
          <w:sz w:val="22"/>
        </w:rPr>
      </w:r>
    </w:p>
    <w:p>
      <w:pPr>
        <w:keepLines w:val="0"/>
        <w:spacing w:after="120" w:line="300" w:lineRule="auto"/>
      </w:pPr>
      <w:r>
        <w:rPr>
          <w:rFonts w:ascii="Calibri" w:hAnsi="Calibri"/>
          <w:color w:val="243447"/>
          <w:sz w:val="22"/>
        </w:rPr>
        <w:t>Store the certificate as a single environment value or use the platform’s supported multiline-secret mechanism. Never commit private keys or production certificates with private material. The IdP signing certificate itself is public trust material, but its lifecycle still requires controlled change management.</w:t>
      </w:r>
    </w:p>
    <w:p>
      <w:pPr>
        <w:pStyle w:val="Heading2"/>
      </w:pPr>
      <w:r>
        <w:t>6.2 Clear and rebuild Laravel caches</w:t>
      </w:r>
    </w:p>
    <w:p>
      <w:pPr>
        <w:spacing w:after="0" w:line="240" w:lineRule="auto"/>
        <w:ind w:left="259" w:right="173"/>
        <w:shd w:fill="F2F4F7"/>
      </w:pPr>
      <w:r>
        <w:rPr>
          <w:rFonts w:ascii="Courier New" w:hAnsi="Courier New"/>
          <w:color w:val="1F2937"/>
          <w:sz w:val="17"/>
        </w:rPr>
        <w:t>php artisan config:clear</w:t>
      </w:r>
    </w:p>
    <w:p>
      <w:pPr>
        <w:spacing w:after="0" w:line="240" w:lineRule="auto"/>
        <w:ind w:left="259" w:right="173"/>
        <w:shd w:fill="F2F4F7"/>
      </w:pPr>
      <w:r>
        <w:rPr>
          <w:rFonts w:ascii="Courier New" w:hAnsi="Courier New"/>
          <w:color w:val="1F2937"/>
          <w:sz w:val="17"/>
        </w:rPr>
        <w:t>php artisan route:clear</w:t>
      </w:r>
    </w:p>
    <w:p>
      <w:pPr>
        <w:spacing w:after="0" w:line="240" w:lineRule="auto"/>
        <w:ind w:left="259" w:right="173"/>
        <w:shd w:fill="F2F4F7"/>
      </w:pPr>
      <w:r>
        <w:rPr>
          <w:rFonts w:ascii="Courier New" w:hAnsi="Courier New"/>
          <w:color w:val="1F2937"/>
          <w:sz w:val="17"/>
        </w:rPr>
        <w:t>php artisan cache:clear</w:t>
      </w:r>
    </w:p>
    <w:p>
      <w:pPr>
        <w:spacing w:after="0" w:line="240" w:lineRule="auto"/>
        <w:ind w:left="259" w:right="173"/>
        <w:shd w:fill="F2F4F7"/>
      </w:pPr>
      <w:r>
        <w:rPr>
          <w:rFonts w:ascii="Courier New" w:hAnsi="Courier New"/>
          <w:color w:val="1F2937"/>
          <w:sz w:val="17"/>
        </w:rPr>
        <w:t>php artisan view:clear</w:t>
      </w:r>
    </w:p>
    <w:p>
      <w:pPr>
        <w:spacing w:after="0" w:line="240" w:lineRule="auto"/>
        <w:ind w:left="259" w:right="173"/>
        <w:shd w:fill="F2F4F7"/>
      </w:pPr>
      <w:r>
        <w:rPr>
          <w:rFonts w:ascii="Courier New" w:hAnsi="Courier New"/>
          <w:color w:val="1F2937"/>
          <w:sz w:val="17"/>
        </w:rPr>
        <w:t>php artisan optimize</w:t>
      </w:r>
    </w:p>
    <w:p>
      <w:pPr>
        <w:keepLines w:val="0"/>
        <w:spacing w:after="80" w:line="300" w:lineRule="auto"/>
      </w:pPr>
      <w:r>
        <w:rPr>
          <w:rFonts w:ascii="Calibri" w:hAnsi="Calibri"/>
          <w:color w:val="243447"/>
          <w:sz w:val="22"/>
        </w:rPr>
      </w:r>
    </w:p>
    <w:p>
      <w:pPr>
        <w:pStyle w:val="Heading2"/>
      </w:pPr>
      <w:r>
        <w:t>6.3 Configure through Rooms</w:t>
      </w:r>
    </w:p>
    <w:p>
      <w:pPr>
        <w:keepLines w:val="0"/>
        <w:spacing w:after="120" w:line="300" w:lineRule="auto"/>
      </w:pPr>
      <w:r>
        <w:rPr>
          <w:rFonts w:ascii="Calibri" w:hAnsi="Calibri"/>
          <w:color w:val="243447"/>
          <w:sz w:val="22"/>
        </w:rPr>
        <w:t>Sign in as an admin or sysadmin and open /SamlIntegration (Settings → SAML Config). Import authoritative IdP metadata XML where possible; otherwise enter the fields below manually.</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E8EEF5"/>
            <w:tcMar>
              <w:top w:w="80" w:type="dxa"/>
              <w:start w:w="120" w:type="dxa"/>
              <w:bottom w:w="80" w:type="dxa"/>
              <w:end w:w="120" w:type="dxa"/>
            </w:tcMar>
            <w:vAlign w:val="center"/>
          </w:tcPr>
          <w:p>
            <w:pPr>
              <w:spacing w:after="0"/>
            </w:pPr>
            <w:r>
              <w:rPr>
                <w:rFonts w:ascii="Calibri" w:hAnsi="Calibri"/>
                <w:b/>
                <w:color w:val="1F4D78"/>
                <w:sz w:val="19"/>
              </w:rPr>
              <w:t>Field</w:t>
            </w:r>
          </w:p>
        </w:tc>
        <w:tc>
          <w:tcPr>
            <w:tcW w:type="dxa" w:w="6960"/>
            <w:shd w:fill="E8EEF5"/>
            <w:tcMar>
              <w:top w:w="80" w:type="dxa"/>
              <w:start w:w="120" w:type="dxa"/>
              <w:bottom w:w="80" w:type="dxa"/>
              <w:end w:w="120" w:type="dxa"/>
            </w:tcMar>
            <w:vAlign w:val="center"/>
          </w:tcPr>
          <w:p>
            <w:pPr>
              <w:spacing w:after="0"/>
            </w:pPr>
            <w:r>
              <w:rPr>
                <w:rFonts w:ascii="Calibri" w:hAnsi="Calibri"/>
                <w:b/>
                <w:color w:val="1F4D78"/>
                <w:sz w:val="19"/>
              </w:rPr>
              <w:t>AMS example / rule</w:t>
            </w:r>
          </w:p>
        </w:tc>
      </w:tr>
      <w:tr>
        <w:trPr/>
        <w:tc>
          <w:tcPr>
            <w:tcW w:type="dxa" w:w="2400"/>
            <w:tcMar>
              <w:top w:w="80" w:type="dxa"/>
              <w:start w:w="120" w:type="dxa"/>
              <w:bottom w:w="80" w:type="dxa"/>
              <w:end w:w="120" w:type="dxa"/>
            </w:tcMar>
            <w:vAlign w:val="center"/>
          </w:tcPr>
          <w:p>
            <w:pPr>
              <w:spacing w:after="0" w:line="264" w:lineRule="auto"/>
            </w:pPr>
            <w:r>
              <w:rPr>
                <w:rFonts w:ascii="Calibri" w:hAnsi="Calibri"/>
                <w:color w:val="243447"/>
                <w:sz w:val="18"/>
              </w:rPr>
              <w:t>Name</w:t>
            </w:r>
          </w:p>
        </w:tc>
        <w:tc>
          <w:tcPr>
            <w:tcW w:type="dxa" w:w="6960"/>
            <w:tcMar>
              <w:top w:w="80" w:type="dxa"/>
              <w:start w:w="120" w:type="dxa"/>
              <w:bottom w:w="80" w:type="dxa"/>
              <w:end w:w="120" w:type="dxa"/>
            </w:tcMar>
            <w:vAlign w:val="center"/>
          </w:tcPr>
          <w:p>
            <w:pPr>
              <w:spacing w:after="0" w:line="264" w:lineRule="auto"/>
            </w:pPr>
            <w:r>
              <w:rPr>
                <w:rFonts w:ascii="Calibri" w:hAnsi="Calibri"/>
                <w:color w:val="243447"/>
                <w:sz w:val="18"/>
              </w:rPr>
              <w:t>UP Cebu AMS IdP</w:t>
            </w:r>
          </w:p>
        </w:tc>
      </w:tr>
      <w:tr>
        <w:trPr/>
        <w:tc>
          <w:tcPr>
            <w:tcW w:type="dxa" w:w="2400"/>
            <w:tcMar>
              <w:top w:w="80" w:type="dxa"/>
              <w:start w:w="120" w:type="dxa"/>
              <w:bottom w:w="80" w:type="dxa"/>
              <w:end w:w="120" w:type="dxa"/>
            </w:tcMar>
            <w:vAlign w:val="center"/>
          </w:tcPr>
          <w:p>
            <w:pPr>
              <w:spacing w:after="0" w:line="264" w:lineRule="auto"/>
            </w:pPr>
            <w:r>
              <w:rPr>
                <w:rFonts w:ascii="Calibri" w:hAnsi="Calibri"/>
                <w:color w:val="243447"/>
                <w:sz w:val="18"/>
              </w:rPr>
              <w:t>Mode</w:t>
            </w:r>
          </w:p>
        </w:tc>
        <w:tc>
          <w:tcPr>
            <w:tcW w:type="dxa" w:w="6960"/>
            <w:tcMar>
              <w:top w:w="80" w:type="dxa"/>
              <w:start w:w="120" w:type="dxa"/>
              <w:bottom w:w="80" w:type="dxa"/>
              <w:end w:w="120" w:type="dxa"/>
            </w:tcMar>
            <w:vAlign w:val="center"/>
          </w:tcPr>
          <w:p>
            <w:pPr>
              <w:spacing w:after="0" w:line="264" w:lineRule="auto"/>
            </w:pPr>
            <w:r>
              <w:rPr>
                <w:rFonts w:ascii="Calibri" w:hAnsi="Calibri"/>
                <w:color w:val="243447"/>
                <w:sz w:val="18"/>
              </w:rPr>
              <w:t>IdP</w:t>
            </w:r>
          </w:p>
        </w:tc>
      </w:tr>
      <w:tr>
        <w:trPr/>
        <w:tc>
          <w:tcPr>
            <w:tcW w:type="dxa" w:w="2400"/>
            <w:tcMar>
              <w:top w:w="80" w:type="dxa"/>
              <w:start w:w="120" w:type="dxa"/>
              <w:bottom w:w="80" w:type="dxa"/>
              <w:end w:w="120" w:type="dxa"/>
            </w:tcMar>
            <w:vAlign w:val="center"/>
          </w:tcPr>
          <w:p>
            <w:pPr>
              <w:spacing w:after="0" w:line="264" w:lineRule="auto"/>
            </w:pPr>
            <w:r>
              <w:rPr>
                <w:rFonts w:ascii="Calibri" w:hAnsi="Calibri"/>
                <w:color w:val="243447"/>
                <w:sz w:val="18"/>
              </w:rPr>
              <w:t>Entity ID</w:t>
            </w:r>
          </w:p>
        </w:tc>
        <w:tc>
          <w:tcPr>
            <w:tcW w:type="dxa" w:w="6960"/>
            <w:tcMar>
              <w:top w:w="80" w:type="dxa"/>
              <w:start w:w="120" w:type="dxa"/>
              <w:bottom w:w="80" w:type="dxa"/>
              <w:end w:w="120" w:type="dxa"/>
            </w:tcMar>
            <w:vAlign w:val="center"/>
          </w:tcPr>
          <w:p>
            <w:pPr>
              <w:spacing w:after="0" w:line="264" w:lineRule="auto"/>
            </w:pPr>
            <w:r>
              <w:rPr>
                <w:rFonts w:ascii="Calibri" w:hAnsi="Calibri"/>
                <w:color w:val="243447"/>
                <w:sz w:val="18"/>
              </w:rPr>
              <w:t>https://ams.upcebu.edu.ph/saml2/metadata — replace if metadata differs</w:t>
            </w:r>
          </w:p>
        </w:tc>
      </w:tr>
      <w:tr>
        <w:trPr/>
        <w:tc>
          <w:tcPr>
            <w:tcW w:type="dxa" w:w="2400"/>
            <w:tcMar>
              <w:top w:w="80" w:type="dxa"/>
              <w:start w:w="120" w:type="dxa"/>
              <w:bottom w:w="80" w:type="dxa"/>
              <w:end w:w="120" w:type="dxa"/>
            </w:tcMar>
            <w:vAlign w:val="center"/>
          </w:tcPr>
          <w:p>
            <w:pPr>
              <w:spacing w:after="0" w:line="264" w:lineRule="auto"/>
            </w:pPr>
            <w:r>
              <w:rPr>
                <w:rFonts w:ascii="Calibri" w:hAnsi="Calibri"/>
                <w:color w:val="243447"/>
                <w:sz w:val="18"/>
              </w:rPr>
              <w:t>SSO URL</w:t>
            </w:r>
          </w:p>
        </w:tc>
        <w:tc>
          <w:tcPr>
            <w:tcW w:type="dxa" w:w="6960"/>
            <w:tcMar>
              <w:top w:w="80" w:type="dxa"/>
              <w:start w:w="120" w:type="dxa"/>
              <w:bottom w:w="80" w:type="dxa"/>
              <w:end w:w="120" w:type="dxa"/>
            </w:tcMar>
            <w:vAlign w:val="center"/>
          </w:tcPr>
          <w:p>
            <w:pPr>
              <w:spacing w:after="0" w:line="264" w:lineRule="auto"/>
            </w:pPr>
            <w:r>
              <w:rPr>
                <w:rFonts w:ascii="Calibri" w:hAnsi="Calibri"/>
                <w:color w:val="243447"/>
                <w:sz w:val="18"/>
              </w:rPr>
              <w:t>https://ams.upcebu.edu.ph/saml2/sso — replace if metadata differs</w:t>
            </w:r>
          </w:p>
        </w:tc>
      </w:tr>
      <w:tr>
        <w:trPr/>
        <w:tc>
          <w:tcPr>
            <w:tcW w:type="dxa" w:w="2400"/>
            <w:tcMar>
              <w:top w:w="80" w:type="dxa"/>
              <w:start w:w="120" w:type="dxa"/>
              <w:bottom w:w="80" w:type="dxa"/>
              <w:end w:w="120" w:type="dxa"/>
            </w:tcMar>
            <w:vAlign w:val="center"/>
          </w:tcPr>
          <w:p>
            <w:pPr>
              <w:spacing w:after="0" w:line="264" w:lineRule="auto"/>
            </w:pPr>
            <w:r>
              <w:rPr>
                <w:rFonts w:ascii="Calibri" w:hAnsi="Calibri"/>
                <w:color w:val="243447"/>
                <w:sz w:val="18"/>
              </w:rPr>
              <w:t>SLO URL</w:t>
            </w:r>
          </w:p>
        </w:tc>
        <w:tc>
          <w:tcPr>
            <w:tcW w:type="dxa" w:w="6960"/>
            <w:tcMar>
              <w:top w:w="80" w:type="dxa"/>
              <w:start w:w="120" w:type="dxa"/>
              <w:bottom w:w="80" w:type="dxa"/>
              <w:end w:w="120" w:type="dxa"/>
            </w:tcMar>
            <w:vAlign w:val="center"/>
          </w:tcPr>
          <w:p>
            <w:pPr>
              <w:spacing w:after="0" w:line="264" w:lineRule="auto"/>
            </w:pPr>
            <w:r>
              <w:rPr>
                <w:rFonts w:ascii="Calibri" w:hAnsi="Calibri"/>
                <w:color w:val="243447"/>
                <w:sz w:val="18"/>
              </w:rPr>
              <w:t>Use metadata value; may remain blank until federated logout is implemented</w:t>
            </w:r>
          </w:p>
        </w:tc>
      </w:tr>
      <w:tr>
        <w:trPr/>
        <w:tc>
          <w:tcPr>
            <w:tcW w:type="dxa" w:w="2400"/>
            <w:tcMar>
              <w:top w:w="80" w:type="dxa"/>
              <w:start w:w="120" w:type="dxa"/>
              <w:bottom w:w="80" w:type="dxa"/>
              <w:end w:w="120" w:type="dxa"/>
            </w:tcMar>
            <w:vAlign w:val="center"/>
          </w:tcPr>
          <w:p>
            <w:pPr>
              <w:spacing w:after="0" w:line="264" w:lineRule="auto"/>
            </w:pPr>
            <w:r>
              <w:rPr>
                <w:rFonts w:ascii="Calibri" w:hAnsi="Calibri"/>
                <w:color w:val="243447"/>
                <w:sz w:val="18"/>
              </w:rPr>
              <w:t>X.509 certificate</w:t>
            </w:r>
          </w:p>
        </w:tc>
        <w:tc>
          <w:tcPr>
            <w:tcW w:type="dxa" w:w="6960"/>
            <w:tcMar>
              <w:top w:w="80" w:type="dxa"/>
              <w:start w:w="120" w:type="dxa"/>
              <w:bottom w:w="80" w:type="dxa"/>
              <w:end w:w="120" w:type="dxa"/>
            </w:tcMar>
            <w:vAlign w:val="center"/>
          </w:tcPr>
          <w:p>
            <w:pPr>
              <w:spacing w:after="0" w:line="264" w:lineRule="auto"/>
            </w:pPr>
            <w:r>
              <w:rPr>
                <w:rFonts w:ascii="Calibri" w:hAnsi="Calibri"/>
                <w:color w:val="243447"/>
                <w:sz w:val="18"/>
              </w:rPr>
              <w:t>Exact IdP signing certificate; no private key</w:t>
            </w:r>
          </w:p>
        </w:tc>
      </w:tr>
      <w:tr>
        <w:trPr/>
        <w:tc>
          <w:tcPr>
            <w:tcW w:type="dxa" w:w="2400"/>
            <w:tcMar>
              <w:top w:w="80" w:type="dxa"/>
              <w:start w:w="120" w:type="dxa"/>
              <w:bottom w:w="80" w:type="dxa"/>
              <w:end w:w="120" w:type="dxa"/>
            </w:tcMar>
            <w:vAlign w:val="center"/>
          </w:tcPr>
          <w:p>
            <w:pPr>
              <w:spacing w:after="0" w:line="264" w:lineRule="auto"/>
            </w:pPr>
            <w:r>
              <w:rPr>
                <w:rFonts w:ascii="Calibri" w:hAnsi="Calibri"/>
                <w:color w:val="243447"/>
                <w:sz w:val="18"/>
              </w:rPr>
              <w:t>Signing algorithm</w:t>
            </w:r>
          </w:p>
        </w:tc>
        <w:tc>
          <w:tcPr>
            <w:tcW w:type="dxa" w:w="6960"/>
            <w:tcMar>
              <w:top w:w="80" w:type="dxa"/>
              <w:start w:w="120" w:type="dxa"/>
              <w:bottom w:w="80" w:type="dxa"/>
              <w:end w:w="120" w:type="dxa"/>
            </w:tcMar>
            <w:vAlign w:val="center"/>
          </w:tcPr>
          <w:p>
            <w:pPr>
              <w:spacing w:after="0" w:line="264" w:lineRule="auto"/>
            </w:pPr>
            <w:r>
              <w:rPr>
                <w:rFonts w:ascii="Calibri" w:hAnsi="Calibri"/>
                <w:color w:val="243447"/>
                <w:sz w:val="18"/>
              </w:rPr>
              <w:t>rsa-sha256</w:t>
            </w:r>
          </w:p>
        </w:tc>
      </w:tr>
      <w:tr>
        <w:trPr/>
        <w:tc>
          <w:tcPr>
            <w:tcW w:type="dxa" w:w="2400"/>
            <w:tcMar>
              <w:top w:w="80" w:type="dxa"/>
              <w:start w:w="120" w:type="dxa"/>
              <w:bottom w:w="80" w:type="dxa"/>
              <w:end w:w="120" w:type="dxa"/>
            </w:tcMar>
            <w:vAlign w:val="center"/>
          </w:tcPr>
          <w:p>
            <w:pPr>
              <w:spacing w:after="0" w:line="264" w:lineRule="auto"/>
            </w:pPr>
            <w:r>
              <w:rPr>
                <w:rFonts w:ascii="Calibri" w:hAnsi="Calibri"/>
                <w:color w:val="243447"/>
                <w:sz w:val="18"/>
              </w:rPr>
              <w:t>Default RelayState</w:t>
            </w:r>
          </w:p>
        </w:tc>
        <w:tc>
          <w:tcPr>
            <w:tcW w:type="dxa" w:w="6960"/>
            <w:tcMar>
              <w:top w:w="80" w:type="dxa"/>
              <w:start w:w="120" w:type="dxa"/>
              <w:bottom w:w="80" w:type="dxa"/>
              <w:end w:w="120" w:type="dxa"/>
            </w:tcMar>
            <w:vAlign w:val="center"/>
          </w:tcPr>
          <w:p>
            <w:pPr>
              <w:spacing w:after="0" w:line="264" w:lineRule="auto"/>
            </w:pPr>
            <w:r>
              <w:rPr>
                <w:rFonts w:ascii="Calibri" w:hAnsi="Calibri"/>
                <w:color w:val="243447"/>
                <w:sz w:val="18"/>
              </w:rPr>
              <w:t>/MainDashboard</w:t>
            </w:r>
          </w:p>
        </w:tc>
      </w:tr>
      <w:tr>
        <w:trPr/>
        <w:tc>
          <w:tcPr>
            <w:tcW w:type="dxa" w:w="2400"/>
            <w:tcMar>
              <w:top w:w="80" w:type="dxa"/>
              <w:start w:w="120" w:type="dxa"/>
              <w:bottom w:w="80" w:type="dxa"/>
              <w:end w:w="120" w:type="dxa"/>
            </w:tcMar>
            <w:vAlign w:val="center"/>
          </w:tcPr>
          <w:p>
            <w:pPr>
              <w:spacing w:after="0" w:line="264" w:lineRule="auto"/>
            </w:pPr>
            <w:r>
              <w:rPr>
                <w:rFonts w:ascii="Calibri" w:hAnsi="Calibri"/>
                <w:color w:val="243447"/>
                <w:sz w:val="18"/>
              </w:rPr>
              <w:t>Status / active</w:t>
            </w:r>
          </w:p>
        </w:tc>
        <w:tc>
          <w:tcPr>
            <w:tcW w:type="dxa" w:w="6960"/>
            <w:tcMar>
              <w:top w:w="80" w:type="dxa"/>
              <w:start w:w="120" w:type="dxa"/>
              <w:bottom w:w="80" w:type="dxa"/>
              <w:end w:w="120" w:type="dxa"/>
            </w:tcMar>
            <w:vAlign w:val="center"/>
          </w:tcPr>
          <w:p>
            <w:pPr>
              <w:spacing w:after="0" w:line="264" w:lineRule="auto"/>
            </w:pPr>
            <w:r>
              <w:rPr>
                <w:rFonts w:ascii="Calibri" w:hAnsi="Calibri"/>
                <w:color w:val="243447"/>
                <w:sz w:val="18"/>
              </w:rPr>
              <w:t>active / true</w:t>
            </w:r>
          </w:p>
        </w:tc>
      </w:tr>
      <w:tr>
        <w:trPr/>
        <w:tc>
          <w:tcPr>
            <w:tcW w:type="dxa" w:w="2400"/>
            <w:tcMar>
              <w:top w:w="80" w:type="dxa"/>
              <w:start w:w="120" w:type="dxa"/>
              <w:bottom w:w="80" w:type="dxa"/>
              <w:end w:w="120" w:type="dxa"/>
            </w:tcMar>
            <w:vAlign w:val="center"/>
          </w:tcPr>
          <w:p>
            <w:pPr>
              <w:spacing w:after="0" w:line="264" w:lineRule="auto"/>
            </w:pPr>
            <w:r>
              <w:rPr>
                <w:rFonts w:ascii="Calibri" w:hAnsi="Calibri"/>
                <w:color w:val="243447"/>
                <w:sz w:val="18"/>
              </w:rPr>
              <w:t>Attributes</w:t>
            </w:r>
          </w:p>
        </w:tc>
        <w:tc>
          <w:tcPr>
            <w:tcW w:type="dxa" w:w="6960"/>
            <w:tcMar>
              <w:top w:w="80" w:type="dxa"/>
              <w:start w:w="120" w:type="dxa"/>
              <w:bottom w:w="80" w:type="dxa"/>
              <w:end w:w="120" w:type="dxa"/>
            </w:tcMar>
            <w:vAlign w:val="center"/>
          </w:tcPr>
          <w:p>
            <w:pPr>
              <w:spacing w:after="0" w:line="264" w:lineRule="auto"/>
            </w:pPr>
            <w:r>
              <w:rPr>
                <w:rFonts w:ascii="Calibri" w:hAnsi="Calibri"/>
                <w:color w:val="243447"/>
                <w:sz w:val="18"/>
              </w:rPr>
              <w:t>email, first_name, last_name, display_name, role, department</w:t>
            </w:r>
          </w:p>
        </w:tc>
      </w:tr>
    </w:tbl>
    <w:p>
      <w:pPr>
        <w:spacing w:after="40"/>
      </w:pPr>
    </w:p>
    <w:p>
      <w:pPr>
        <w:spacing w:before="80" w:after="160" w:line="288" w:lineRule="auto"/>
        <w:ind w:left="259" w:right="173"/>
        <w:shd w:fill="F4F6F9"/>
      </w:pPr>
      <w:r>
        <w:rPr>
          <w:rFonts w:ascii="Calibri" w:hAnsi="Calibri"/>
          <w:b/>
          <w:color w:val="2E74B5"/>
          <w:sz w:val="22"/>
        </w:rPr>
        <w:t xml:space="preserve">ACTIVATION RULE  </w:t>
      </w:r>
      <w:r>
        <w:rPr>
          <w:rFonts w:ascii="Calibri" w:hAnsi="Calibri"/>
          <w:color w:val="243447"/>
          <w:sz w:val="22"/>
        </w:rPr>
        <w:t>Creating or updating an active configuration deactivates every other provider in the same mode. Confirm the intended record before activating it.</w:t>
      </w:r>
    </w:p>
    <w:p>
      <w:pPr>
        <w:pStyle w:val="Heading1"/>
      </w:pPr>
      <w:r>
        <w:t>7. IdP registration and attribute contract</w:t>
      </w:r>
    </w:p>
    <w:p>
      <w:pPr>
        <w:pStyle w:val="Heading2"/>
      </w:pPr>
      <w:r>
        <w:t>7.1 Register the SP</w:t>
      </w:r>
    </w:p>
    <w:p>
      <w:pPr>
        <w:pStyle w:val="ListNumber"/>
        <w:spacing w:after="80" w:line="300" w:lineRule="auto"/>
      </w:pPr>
      <w:r>
        <w:rPr>
          <w:rFonts w:ascii="Calibri" w:hAnsi="Calibri"/>
          <w:color w:val="243447"/>
          <w:sz w:val="22"/>
        </w:rPr>
        <w:t>Open the public metadata URL and save/import the XML into AMS/OnePortal.</w:t>
      </w:r>
    </w:p>
    <w:p>
      <w:pPr>
        <w:pStyle w:val="ListNumber"/>
        <w:spacing w:after="80" w:line="300" w:lineRule="auto"/>
      </w:pPr>
      <w:r>
        <w:rPr>
          <w:rFonts w:ascii="Calibri" w:hAnsi="Calibri"/>
          <w:color w:val="243447"/>
          <w:sz w:val="22"/>
        </w:rPr>
        <w:t>Verify the Entity ID and ACS URL exactly match the production APP_URL.</w:t>
      </w:r>
    </w:p>
    <w:p>
      <w:pPr>
        <w:pStyle w:val="ListNumber"/>
        <w:spacing w:after="80" w:line="300" w:lineRule="auto"/>
      </w:pPr>
      <w:r>
        <w:rPr>
          <w:rFonts w:ascii="Calibri" w:hAnsi="Calibri"/>
          <w:color w:val="243447"/>
          <w:sz w:val="22"/>
        </w:rPr>
        <w:t>Select HTTP-POST for SAMLResponse delivery and emailAddress for NameID.</w:t>
      </w:r>
    </w:p>
    <w:p>
      <w:pPr>
        <w:pStyle w:val="ListNumber"/>
        <w:spacing w:after="80" w:line="300" w:lineRule="auto"/>
      </w:pPr>
      <w:r>
        <w:rPr>
          <w:rFonts w:ascii="Calibri" w:hAnsi="Calibri"/>
          <w:color w:val="243447"/>
          <w:sz w:val="22"/>
        </w:rPr>
        <w:t>Configure signed assertions or signed responses according to the agreed profile; retain SHA-256 algorithms.</w:t>
      </w:r>
    </w:p>
    <w:p>
      <w:pPr>
        <w:pStyle w:val="ListNumber"/>
        <w:spacing w:after="80" w:line="300" w:lineRule="auto"/>
      </w:pPr>
      <w:r>
        <w:rPr>
          <w:rFonts w:ascii="Calibri" w:hAnsi="Calibri"/>
          <w:color w:val="243447"/>
          <w:sz w:val="22"/>
        </w:rPr>
        <w:t>Restrict the service to approved groups if the IdP supports assignment, while still enforcing Rooms local-account authorization.</w:t>
      </w:r>
    </w:p>
    <w:p>
      <w:pPr>
        <w:pStyle w:val="Heading2"/>
      </w:pPr>
      <w:r>
        <w:t>7.2 Identity mapping</w:t>
      </w:r>
    </w:p>
    <w:tbl>
      <w:tblPr>
        <w:tblStyle w:val="TableGrid"/>
        <w:tblW w:type="dxa" w:w="9360"/>
        <w:jc w:val="left"/>
        <w:tblLayout w:type="fixed"/>
        <w:tblLook w:firstColumn="1" w:firstRow="1" w:lastColumn="0" w:lastRow="0" w:noHBand="0" w:noVBand="1" w:val="04A0"/>
        <w:tblInd w:w="120" w:type="dxa"/>
      </w:tblPr>
      <w:tblGrid>
        <w:gridCol w:w="2500"/>
        <w:gridCol w:w="3550"/>
        <w:gridCol w:w="3310"/>
      </w:tblGrid>
      <w:tr>
        <w:trPr>
          <w:tblHeader w:val="true"/>
        </w:trPr>
        <w:tc>
          <w:tcPr>
            <w:tcW w:type="dxa" w:w="2500"/>
            <w:shd w:fill="E8EEF5"/>
            <w:tcMar>
              <w:top w:w="80" w:type="dxa"/>
              <w:start w:w="120" w:type="dxa"/>
              <w:bottom w:w="80" w:type="dxa"/>
              <w:end w:w="120" w:type="dxa"/>
            </w:tcMar>
            <w:vAlign w:val="center"/>
          </w:tcPr>
          <w:p>
            <w:pPr>
              <w:spacing w:after="0"/>
            </w:pPr>
            <w:r>
              <w:rPr>
                <w:rFonts w:ascii="Calibri" w:hAnsi="Calibri"/>
                <w:b/>
                <w:color w:val="1F4D78"/>
                <w:sz w:val="19"/>
              </w:rPr>
              <w:t>SAML value</w:t>
            </w:r>
          </w:p>
        </w:tc>
        <w:tc>
          <w:tcPr>
            <w:tcW w:type="dxa" w:w="3550"/>
            <w:shd w:fill="E8EEF5"/>
            <w:tcMar>
              <w:top w:w="80" w:type="dxa"/>
              <w:start w:w="120" w:type="dxa"/>
              <w:bottom w:w="80" w:type="dxa"/>
              <w:end w:w="120" w:type="dxa"/>
            </w:tcMar>
            <w:vAlign w:val="center"/>
          </w:tcPr>
          <w:p>
            <w:pPr>
              <w:spacing w:after="0"/>
            </w:pPr>
            <w:r>
              <w:rPr>
                <w:rFonts w:ascii="Calibri" w:hAnsi="Calibri"/>
                <w:b/>
                <w:color w:val="1F4D78"/>
                <w:sz w:val="19"/>
              </w:rPr>
              <w:t>Rooms behavior</w:t>
            </w:r>
          </w:p>
        </w:tc>
        <w:tc>
          <w:tcPr>
            <w:tcW w:type="dxa" w:w="3310"/>
            <w:shd w:fill="E8EEF5"/>
            <w:tcMar>
              <w:top w:w="80" w:type="dxa"/>
              <w:start w:w="120" w:type="dxa"/>
              <w:bottom w:w="80" w:type="dxa"/>
              <w:end w:w="120" w:type="dxa"/>
            </w:tcMar>
            <w:vAlign w:val="center"/>
          </w:tcPr>
          <w:p>
            <w:pPr>
              <w:spacing w:after="0"/>
            </w:pPr>
            <w:r>
              <w:rPr>
                <w:rFonts w:ascii="Calibri" w:hAnsi="Calibri"/>
                <w:b/>
                <w:color w:val="1F4D78"/>
                <w:sz w:val="19"/>
              </w:rPr>
              <w:t>Requirement</w:t>
            </w:r>
          </w:p>
        </w:tc>
      </w:tr>
      <w:tr>
        <w:trPr/>
        <w:tc>
          <w:tcPr>
            <w:tcW w:type="dxa" w:w="2500"/>
            <w:tcMar>
              <w:top w:w="80" w:type="dxa"/>
              <w:start w:w="120" w:type="dxa"/>
              <w:bottom w:w="80" w:type="dxa"/>
              <w:end w:w="120" w:type="dxa"/>
            </w:tcMar>
            <w:vAlign w:val="center"/>
          </w:tcPr>
          <w:p>
            <w:pPr>
              <w:spacing w:after="0" w:line="264" w:lineRule="auto"/>
            </w:pPr>
            <w:r>
              <w:rPr>
                <w:rFonts w:ascii="Calibri" w:hAnsi="Calibri"/>
                <w:color w:val="243447"/>
                <w:sz w:val="18"/>
              </w:rPr>
              <w:t>NameID</w:t>
            </w:r>
          </w:p>
        </w:tc>
        <w:tc>
          <w:tcPr>
            <w:tcW w:type="dxa" w:w="3550"/>
            <w:tcMar>
              <w:top w:w="80" w:type="dxa"/>
              <w:start w:w="120" w:type="dxa"/>
              <w:bottom w:w="80" w:type="dxa"/>
              <w:end w:w="120" w:type="dxa"/>
            </w:tcMar>
            <w:vAlign w:val="center"/>
          </w:tcPr>
          <w:p>
            <w:pPr>
              <w:spacing w:after="0" w:line="264" w:lineRule="auto"/>
            </w:pPr>
            <w:r>
              <w:rPr>
                <w:rFonts w:ascii="Calibri" w:hAnsi="Calibri"/>
                <w:color w:val="243447"/>
                <w:sz w:val="18"/>
              </w:rPr>
              <w:t>Preferred source of email.</w:t>
            </w:r>
          </w:p>
        </w:tc>
        <w:tc>
          <w:tcPr>
            <w:tcW w:type="dxa" w:w="3310"/>
            <w:tcMar>
              <w:top w:w="80" w:type="dxa"/>
              <w:start w:w="120" w:type="dxa"/>
              <w:bottom w:w="80" w:type="dxa"/>
              <w:end w:w="120" w:type="dxa"/>
            </w:tcMar>
            <w:vAlign w:val="center"/>
          </w:tcPr>
          <w:p>
            <w:pPr>
              <w:spacing w:after="0" w:line="264" w:lineRule="auto"/>
            </w:pPr>
            <w:r>
              <w:rPr>
                <w:rFonts w:ascii="Calibri" w:hAnsi="Calibri"/>
                <w:color w:val="243447"/>
                <w:sz w:val="18"/>
              </w:rPr>
              <w:t>Email address format and value recommended.</w:t>
            </w:r>
          </w:p>
        </w:tc>
      </w:tr>
      <w:tr>
        <w:trPr/>
        <w:tc>
          <w:tcPr>
            <w:tcW w:type="dxa" w:w="2500"/>
            <w:tcMar>
              <w:top w:w="80" w:type="dxa"/>
              <w:start w:w="120" w:type="dxa"/>
              <w:bottom w:w="80" w:type="dxa"/>
              <w:end w:w="120" w:type="dxa"/>
            </w:tcMar>
            <w:vAlign w:val="center"/>
          </w:tcPr>
          <w:p>
            <w:pPr>
              <w:spacing w:after="0" w:line="264" w:lineRule="auto"/>
            </w:pPr>
            <w:r>
              <w:rPr>
                <w:rFonts w:ascii="Calibri" w:hAnsi="Calibri"/>
                <w:color w:val="243447"/>
                <w:sz w:val="18"/>
              </w:rPr>
              <w:t>email / mail / EmailAddress / emailAddress / email OID</w:t>
            </w:r>
          </w:p>
        </w:tc>
        <w:tc>
          <w:tcPr>
            <w:tcW w:type="dxa" w:w="3550"/>
            <w:tcMar>
              <w:top w:w="80" w:type="dxa"/>
              <w:start w:w="120" w:type="dxa"/>
              <w:bottom w:w="80" w:type="dxa"/>
              <w:end w:w="120" w:type="dxa"/>
            </w:tcMar>
            <w:vAlign w:val="center"/>
          </w:tcPr>
          <w:p>
            <w:pPr>
              <w:spacing w:after="0" w:line="264" w:lineRule="auto"/>
            </w:pPr>
            <w:r>
              <w:rPr>
                <w:rFonts w:ascii="Calibri" w:hAnsi="Calibri"/>
                <w:color w:val="243447"/>
                <w:sz w:val="18"/>
              </w:rPr>
              <w:t>Fallback email source when NameID is empty.</w:t>
            </w:r>
          </w:p>
        </w:tc>
        <w:tc>
          <w:tcPr>
            <w:tcW w:type="dxa" w:w="3310"/>
            <w:tcMar>
              <w:top w:w="80" w:type="dxa"/>
              <w:start w:w="120" w:type="dxa"/>
              <w:bottom w:w="80" w:type="dxa"/>
              <w:end w:w="120" w:type="dxa"/>
            </w:tcMar>
            <w:vAlign w:val="center"/>
          </w:tcPr>
          <w:p>
            <w:pPr>
              <w:spacing w:after="0" w:line="264" w:lineRule="auto"/>
            </w:pPr>
            <w:r>
              <w:rPr>
                <w:rFonts w:ascii="Calibri" w:hAnsi="Calibri"/>
                <w:color w:val="243447"/>
                <w:sz w:val="18"/>
              </w:rPr>
              <w:t>One unambiguous value matching user_accounts.email.</w:t>
            </w:r>
          </w:p>
        </w:tc>
      </w:tr>
      <w:tr>
        <w:trPr/>
        <w:tc>
          <w:tcPr>
            <w:tcW w:type="dxa" w:w="2500"/>
            <w:tcMar>
              <w:top w:w="80" w:type="dxa"/>
              <w:start w:w="120" w:type="dxa"/>
              <w:bottom w:w="80" w:type="dxa"/>
              <w:end w:w="120" w:type="dxa"/>
            </w:tcMar>
            <w:vAlign w:val="center"/>
          </w:tcPr>
          <w:p>
            <w:pPr>
              <w:spacing w:after="0" w:line="264" w:lineRule="auto"/>
            </w:pPr>
            <w:r>
              <w:rPr>
                <w:rFonts w:ascii="Calibri" w:hAnsi="Calibri"/>
                <w:color w:val="243447"/>
                <w:sz w:val="18"/>
              </w:rPr>
              <w:t>Other attributes</w:t>
            </w:r>
          </w:p>
        </w:tc>
        <w:tc>
          <w:tcPr>
            <w:tcW w:type="dxa" w:w="3550"/>
            <w:tcMar>
              <w:top w:w="80" w:type="dxa"/>
              <w:start w:w="120" w:type="dxa"/>
              <w:bottom w:w="80" w:type="dxa"/>
              <w:end w:w="120" w:type="dxa"/>
            </w:tcMar>
            <w:vAlign w:val="center"/>
          </w:tcPr>
          <w:p>
            <w:pPr>
              <w:spacing w:after="0" w:line="264" w:lineRule="auto"/>
            </w:pPr>
            <w:r>
              <w:rPr>
                <w:rFonts w:ascii="Calibri" w:hAnsi="Calibri"/>
                <w:color w:val="243447"/>
                <w:sz w:val="18"/>
              </w:rPr>
              <w:t>Captured in parsed assertion data but not used to auto-provision or grant permissions.</w:t>
            </w:r>
          </w:p>
        </w:tc>
        <w:tc>
          <w:tcPr>
            <w:tcW w:type="dxa" w:w="3310"/>
            <w:tcMar>
              <w:top w:w="80" w:type="dxa"/>
              <w:start w:w="120" w:type="dxa"/>
              <w:bottom w:w="80" w:type="dxa"/>
              <w:end w:w="120" w:type="dxa"/>
            </w:tcMar>
            <w:vAlign w:val="center"/>
          </w:tcPr>
          <w:p>
            <w:pPr>
              <w:spacing w:after="0" w:line="264" w:lineRule="auto"/>
            </w:pPr>
            <w:r>
              <w:rPr>
                <w:rFonts w:ascii="Calibri" w:hAnsi="Calibri"/>
                <w:color w:val="243447"/>
                <w:sz w:val="18"/>
              </w:rPr>
              <w:t>Treat as informational unless code is deliberately extended.</w:t>
            </w:r>
          </w:p>
        </w:tc>
      </w:tr>
      <w:tr>
        <w:trPr/>
        <w:tc>
          <w:tcPr>
            <w:tcW w:type="dxa" w:w="2500"/>
            <w:tcMar>
              <w:top w:w="80" w:type="dxa"/>
              <w:start w:w="120" w:type="dxa"/>
              <w:bottom w:w="80" w:type="dxa"/>
              <w:end w:w="120" w:type="dxa"/>
            </w:tcMar>
            <w:vAlign w:val="center"/>
          </w:tcPr>
          <w:p>
            <w:pPr>
              <w:spacing w:after="0" w:line="264" w:lineRule="auto"/>
            </w:pPr>
            <w:r>
              <w:rPr>
                <w:rFonts w:ascii="Calibri" w:hAnsi="Calibri"/>
                <w:color w:val="243447"/>
                <w:sz w:val="18"/>
              </w:rPr>
              <w:t>RelayState</w:t>
            </w:r>
          </w:p>
        </w:tc>
        <w:tc>
          <w:tcPr>
            <w:tcW w:type="dxa" w:w="3550"/>
            <w:tcMar>
              <w:top w:w="80" w:type="dxa"/>
              <w:start w:w="120" w:type="dxa"/>
              <w:bottom w:w="80" w:type="dxa"/>
              <w:end w:w="120" w:type="dxa"/>
            </w:tcMar>
            <w:vAlign w:val="center"/>
          </w:tcPr>
          <w:p>
            <w:pPr>
              <w:spacing w:after="0" w:line="264" w:lineRule="auto"/>
            </w:pPr>
            <w:r>
              <w:rPr>
                <w:rFonts w:ascii="Calibri" w:hAnsi="Calibri"/>
                <w:color w:val="243447"/>
                <w:sz w:val="18"/>
              </w:rPr>
              <w:t>Accepted only when it begins with /; otherwise MainDashboard is used.</w:t>
            </w:r>
          </w:p>
        </w:tc>
        <w:tc>
          <w:tcPr>
            <w:tcW w:type="dxa" w:w="3310"/>
            <w:tcMar>
              <w:top w:w="80" w:type="dxa"/>
              <w:start w:w="120" w:type="dxa"/>
              <w:bottom w:w="80" w:type="dxa"/>
              <w:end w:w="120" w:type="dxa"/>
            </w:tcMar>
            <w:vAlign w:val="center"/>
          </w:tcPr>
          <w:p>
            <w:pPr>
              <w:spacing w:after="0" w:line="264" w:lineRule="auto"/>
            </w:pPr>
            <w:r>
              <w:rPr>
                <w:rFonts w:ascii="Calibri" w:hAnsi="Calibri"/>
                <w:color w:val="243447"/>
                <w:sz w:val="18"/>
              </w:rPr>
              <w:t>Use relative application paths only.</w:t>
            </w:r>
          </w:p>
        </w:tc>
      </w:tr>
    </w:tbl>
    <w:p>
      <w:pPr>
        <w:spacing w:after="40"/>
      </w:pPr>
    </w:p>
    <w:p>
      <w:pPr>
        <w:spacing w:before="80" w:after="160" w:line="288" w:lineRule="auto"/>
        <w:ind w:left="259" w:right="173"/>
        <w:shd w:fill="F4F6F9"/>
      </w:pPr>
      <w:r>
        <w:rPr>
          <w:rFonts w:ascii="Calibri" w:hAnsi="Calibri"/>
          <w:b/>
          <w:color w:val="7A5A00"/>
          <w:sz w:val="22"/>
        </w:rPr>
        <w:t xml:space="preserve">AUTHORIZATION BOUNDARY  </w:t>
      </w:r>
      <w:r>
        <w:rPr>
          <w:rFonts w:ascii="Calibri" w:hAnsi="Calibri"/>
          <w:color w:val="243447"/>
          <w:sz w:val="22"/>
        </w:rPr>
        <w:t>Roles and permissions continue to come from the local user_accounts record. Do not trust a SAML role attribute for authorization unless a separately reviewed mapping and entitlement lifecycle is implemented.</w:t>
      </w:r>
    </w:p>
    <w:p>
      <w:pPr>
        <w:pStyle w:val="Heading2"/>
      </w:pPr>
      <w:r>
        <w:t>7.3 Provision test users</w:t>
      </w:r>
    </w:p>
    <w:p>
      <w:pPr>
        <w:keepLines w:val="0"/>
        <w:spacing w:after="120" w:line="300" w:lineRule="auto"/>
      </w:pPr>
      <w:r>
        <w:rPr>
          <w:rFonts w:ascii="Calibri" w:hAnsi="Calibri"/>
          <w:color w:val="243447"/>
          <w:sz w:val="22"/>
        </w:rPr>
        <w:t>Before testing, create or confirm a Rooms user account whose email equals the IdP NameID after trimming and case normalization. Set account_status to active and assign the minimum required local permissions. Also prepare an inactive user and an IdP-only user for negative tests.</w:t>
      </w:r>
    </w:p>
    <w:p>
      <w:pPr>
        <w:pStyle w:val="Heading1"/>
      </w:pPr>
      <w:r>
        <w:t>8. End-to-end test procedure</w:t>
      </w:r>
    </w:p>
    <w:p>
      <w:pPr>
        <w:pStyle w:val="Heading2"/>
      </w:pPr>
      <w:r>
        <w:t>8.1 Automated verification</w:t>
      </w:r>
    </w:p>
    <w:p>
      <w:pPr>
        <w:spacing w:after="0" w:line="240" w:lineRule="auto"/>
        <w:ind w:left="259" w:right="173"/>
        <w:shd w:fill="F2F4F7"/>
      </w:pPr>
      <w:r>
        <w:rPr>
          <w:rFonts w:ascii="Courier New" w:hAnsi="Courier New"/>
          <w:color w:val="1F2937"/>
          <w:sz w:val="17"/>
        </w:rPr>
        <w:t>php artisan config:clear</w:t>
      </w:r>
    </w:p>
    <w:p>
      <w:pPr>
        <w:spacing w:after="0" w:line="240" w:lineRule="auto"/>
        <w:ind w:left="259" w:right="173"/>
        <w:shd w:fill="F2F4F7"/>
      </w:pPr>
      <w:r>
        <w:rPr>
          <w:rFonts w:ascii="Courier New" w:hAnsi="Courier New"/>
          <w:color w:val="1F2937"/>
          <w:sz w:val="17"/>
        </w:rPr>
        <w:t>php artisan test --filter=SamlIntegrationTest</w:t>
      </w:r>
    </w:p>
    <w:p>
      <w:pPr>
        <w:spacing w:after="0" w:line="240" w:lineRule="auto"/>
        <w:ind w:left="259" w:right="173"/>
        <w:shd w:fill="F2F4F7"/>
      </w:pPr>
      <w:r>
        <w:rPr>
          <w:rFonts w:ascii="Courier New" w:hAnsi="Courier New"/>
          <w:color w:val="1F2937"/>
          <w:sz w:val="17"/>
        </w:rPr>
        <w:t>php artisan route:list | grep -E 'saml2/(login|acs|metadata|logout)'</w:t>
      </w:r>
    </w:p>
    <w:p>
      <w:pPr>
        <w:keepLines w:val="0"/>
        <w:spacing w:after="80" w:line="300" w:lineRule="auto"/>
      </w:pPr>
      <w:r>
        <w:rPr>
          <w:rFonts w:ascii="Calibri" w:hAnsi="Calibri"/>
          <w:color w:val="243447"/>
          <w:sz w:val="22"/>
        </w:rPr>
      </w:r>
    </w:p>
    <w:p>
      <w:pPr>
        <w:keepLines w:val="0"/>
        <w:spacing w:after="120" w:line="300" w:lineRule="auto"/>
      </w:pPr>
      <w:r>
        <w:rPr>
          <w:rFonts w:ascii="Calibri" w:hAnsi="Calibri"/>
          <w:color w:val="243447"/>
          <w:sz w:val="22"/>
        </w:rPr>
        <w:t>The feature suite verifies metadata secrecy, configuration import, admin authorization, single-active-provider behavior, successful ACS login, unknown-user rejection, and request correlation.</w:t>
      </w:r>
    </w:p>
    <w:p>
      <w:pPr>
        <w:pStyle w:val="Heading2"/>
      </w:pPr>
      <w:r>
        <w:t>8.2 Manual federation test</w:t>
      </w:r>
    </w:p>
    <w:p>
      <w:pPr>
        <w:pStyle w:val="ListNumber"/>
        <w:spacing w:after="80" w:line="300" w:lineRule="auto"/>
      </w:pPr>
      <w:r>
        <w:rPr>
          <w:rFonts w:ascii="Calibri" w:hAnsi="Calibri"/>
          <w:color w:val="243447"/>
          <w:sz w:val="22"/>
        </w:rPr>
        <w:t>Open ${APP_URL}/saml2/metadata and confirm HTTP 200, XML content type, correct public URLs, and no private key material.</w:t>
      </w:r>
    </w:p>
    <w:p>
      <w:pPr>
        <w:pStyle w:val="ListNumber"/>
        <w:spacing w:after="80" w:line="300" w:lineRule="auto"/>
      </w:pPr>
      <w:r>
        <w:rPr>
          <w:rFonts w:ascii="Calibri" w:hAnsi="Calibri"/>
          <w:color w:val="243447"/>
          <w:sz w:val="22"/>
        </w:rPr>
        <w:t>Use a private browser session and open ${APP_URL}/saml2/login.</w:t>
      </w:r>
    </w:p>
    <w:p>
      <w:pPr>
        <w:pStyle w:val="ListNumber"/>
        <w:spacing w:after="80" w:line="300" w:lineRule="auto"/>
      </w:pPr>
      <w:r>
        <w:rPr>
          <w:rFonts w:ascii="Calibri" w:hAnsi="Calibri"/>
          <w:color w:val="243447"/>
          <w:sz w:val="22"/>
        </w:rPr>
        <w:t>Confirm redirect host, issuer, ACS, and RelayState at the IdP; authenticate with the known active test user.</w:t>
      </w:r>
    </w:p>
    <w:p>
      <w:pPr>
        <w:pStyle w:val="ListNumber"/>
        <w:spacing w:after="80" w:line="300" w:lineRule="auto"/>
      </w:pPr>
      <w:r>
        <w:rPr>
          <w:rFonts w:ascii="Calibri" w:hAnsi="Calibri"/>
          <w:color w:val="243447"/>
          <w:sz w:val="22"/>
        </w:rPr>
        <w:t>Confirm POST to /saml2/acs, redirect to /MainDashboard, a regenerated session, and updated last-login fields.</w:t>
      </w:r>
    </w:p>
    <w:p>
      <w:pPr>
        <w:pStyle w:val="ListNumber"/>
        <w:spacing w:after="80" w:line="300" w:lineRule="auto"/>
      </w:pPr>
      <w:r>
        <w:rPr>
          <w:rFonts w:ascii="Calibri" w:hAnsi="Calibri"/>
          <w:color w:val="243447"/>
          <w:sz w:val="22"/>
        </w:rPr>
        <w:t>Confirm saml.sp.request.issued and saml.sp.assertion.accepted audit events.</w:t>
      </w:r>
    </w:p>
    <w:p>
      <w:pPr>
        <w:pStyle w:val="ListNumber"/>
        <w:spacing w:after="80" w:line="300" w:lineRule="auto"/>
      </w:pPr>
      <w:r>
        <w:rPr>
          <w:rFonts w:ascii="Calibri" w:hAnsi="Calibri"/>
          <w:color w:val="243447"/>
          <w:sz w:val="22"/>
        </w:rPr>
        <w:t>Repeat with an unknown IdP user; expect /saml2/user-not-found and no local account creation.</w:t>
      </w:r>
    </w:p>
    <w:p>
      <w:pPr>
        <w:pStyle w:val="ListNumber"/>
        <w:spacing w:after="80" w:line="300" w:lineRule="auto"/>
      </w:pPr>
      <w:r>
        <w:rPr>
          <w:rFonts w:ascii="Calibri" w:hAnsi="Calibri"/>
          <w:color w:val="243447"/>
          <w:sz w:val="22"/>
        </w:rPr>
        <w:t>Repeat with an inactive Rooms user; expect the same safe failure page with inactive reason.</w:t>
      </w:r>
    </w:p>
    <w:p>
      <w:pPr>
        <w:pStyle w:val="ListNumber"/>
        <w:spacing w:after="80" w:line="300" w:lineRule="auto"/>
      </w:pPr>
      <w:r>
        <w:rPr>
          <w:rFonts w:ascii="Calibri" w:hAnsi="Calibri"/>
          <w:color w:val="243447"/>
          <w:sz w:val="22"/>
        </w:rPr>
        <w:t>Replay the same SAMLResponse in a controlled test environment; expect rejection.</w:t>
      </w:r>
    </w:p>
    <w:p>
      <w:pPr>
        <w:pStyle w:val="Heading2"/>
      </w:pPr>
      <w:r>
        <w:t>8.3 Acceptance matrix</w:t>
      </w:r>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trPr>
        <w:tc>
          <w:tcPr>
            <w:tcW w:type="dxa" w:w="3900"/>
            <w:shd w:fill="E8EEF5"/>
            <w:tcMar>
              <w:top w:w="80" w:type="dxa"/>
              <w:start w:w="120" w:type="dxa"/>
              <w:bottom w:w="80" w:type="dxa"/>
              <w:end w:w="120" w:type="dxa"/>
            </w:tcMar>
            <w:vAlign w:val="center"/>
          </w:tcPr>
          <w:p>
            <w:pPr>
              <w:spacing w:after="0"/>
            </w:pPr>
            <w:r>
              <w:rPr>
                <w:rFonts w:ascii="Calibri" w:hAnsi="Calibri"/>
                <w:b/>
                <w:color w:val="1F4D78"/>
                <w:sz w:val="19"/>
              </w:rPr>
              <w:t>Scenario</w:t>
            </w:r>
          </w:p>
        </w:tc>
        <w:tc>
          <w:tcPr>
            <w:tcW w:type="dxa" w:w="5460"/>
            <w:shd w:fill="E8EEF5"/>
            <w:tcMar>
              <w:top w:w="80" w:type="dxa"/>
              <w:start w:w="120" w:type="dxa"/>
              <w:bottom w:w="80" w:type="dxa"/>
              <w:end w:w="120" w:type="dxa"/>
            </w:tcMar>
            <w:vAlign w:val="center"/>
          </w:tcPr>
          <w:p>
            <w:pPr>
              <w:spacing w:after="0"/>
            </w:pPr>
            <w:r>
              <w:rPr>
                <w:rFonts w:ascii="Calibri" w:hAnsi="Calibri"/>
                <w:b/>
                <w:color w:val="1F4D78"/>
                <w:sz w:val="19"/>
              </w:rPr>
              <w:t>Expected result</w:t>
            </w:r>
          </w:p>
        </w:tc>
      </w:tr>
      <w:tr>
        <w:trPr/>
        <w:tc>
          <w:tcPr>
            <w:tcW w:type="dxa" w:w="3900"/>
            <w:tcMar>
              <w:top w:w="80" w:type="dxa"/>
              <w:start w:w="120" w:type="dxa"/>
              <w:bottom w:w="80" w:type="dxa"/>
              <w:end w:w="120" w:type="dxa"/>
            </w:tcMar>
            <w:vAlign w:val="center"/>
          </w:tcPr>
          <w:p>
            <w:pPr>
              <w:spacing w:after="0" w:line="264" w:lineRule="auto"/>
            </w:pPr>
            <w:r>
              <w:rPr>
                <w:rFonts w:ascii="Calibri" w:hAnsi="Calibri"/>
                <w:color w:val="243447"/>
                <w:sz w:val="18"/>
              </w:rPr>
              <w:t>Valid signed response; known active email</w:t>
            </w:r>
          </w:p>
        </w:tc>
        <w:tc>
          <w:tcPr>
            <w:tcW w:type="dxa" w:w="5460"/>
            <w:tcMar>
              <w:top w:w="80" w:type="dxa"/>
              <w:start w:w="120" w:type="dxa"/>
              <w:bottom w:w="80" w:type="dxa"/>
              <w:end w:w="120" w:type="dxa"/>
            </w:tcMar>
            <w:vAlign w:val="center"/>
          </w:tcPr>
          <w:p>
            <w:pPr>
              <w:spacing w:after="0" w:line="264" w:lineRule="auto"/>
            </w:pPr>
            <w:r>
              <w:rPr>
                <w:rFonts w:ascii="Calibri" w:hAnsi="Calibri"/>
                <w:color w:val="243447"/>
                <w:sz w:val="18"/>
              </w:rPr>
              <w:t>Login succeeds; dashboard redirect; accepted audit event.</w:t>
            </w:r>
          </w:p>
        </w:tc>
      </w:tr>
      <w:tr>
        <w:trPr/>
        <w:tc>
          <w:tcPr>
            <w:tcW w:type="dxa" w:w="3900"/>
            <w:tcMar>
              <w:top w:w="80" w:type="dxa"/>
              <w:start w:w="120" w:type="dxa"/>
              <w:bottom w:w="80" w:type="dxa"/>
              <w:end w:w="120" w:type="dxa"/>
            </w:tcMar>
            <w:vAlign w:val="center"/>
          </w:tcPr>
          <w:p>
            <w:pPr>
              <w:spacing w:after="0" w:line="264" w:lineRule="auto"/>
            </w:pPr>
            <w:r>
              <w:rPr>
                <w:rFonts w:ascii="Calibri" w:hAnsi="Calibri"/>
                <w:color w:val="243447"/>
                <w:sz w:val="18"/>
              </w:rPr>
              <w:t>Unknown email</w:t>
            </w:r>
          </w:p>
        </w:tc>
        <w:tc>
          <w:tcPr>
            <w:tcW w:type="dxa" w:w="5460"/>
            <w:tcMar>
              <w:top w:w="80" w:type="dxa"/>
              <w:start w:w="120" w:type="dxa"/>
              <w:bottom w:w="80" w:type="dxa"/>
              <w:end w:w="120" w:type="dxa"/>
            </w:tcMar>
            <w:vAlign w:val="center"/>
          </w:tcPr>
          <w:p>
            <w:pPr>
              <w:spacing w:after="0" w:line="264" w:lineRule="auto"/>
            </w:pPr>
            <w:r>
              <w:rPr>
                <w:rFonts w:ascii="Calibri" w:hAnsi="Calibri"/>
                <w:color w:val="243447"/>
                <w:sz w:val="18"/>
              </w:rPr>
              <w:t>No account created; user-not-found page; rejected audit event.</w:t>
            </w:r>
          </w:p>
        </w:tc>
      </w:tr>
      <w:tr>
        <w:trPr/>
        <w:tc>
          <w:tcPr>
            <w:tcW w:type="dxa" w:w="3900"/>
            <w:tcMar>
              <w:top w:w="80" w:type="dxa"/>
              <w:start w:w="120" w:type="dxa"/>
              <w:bottom w:w="80" w:type="dxa"/>
              <w:end w:w="120" w:type="dxa"/>
            </w:tcMar>
            <w:vAlign w:val="center"/>
          </w:tcPr>
          <w:p>
            <w:pPr>
              <w:spacing w:after="0" w:line="264" w:lineRule="auto"/>
            </w:pPr>
            <w:r>
              <w:rPr>
                <w:rFonts w:ascii="Calibri" w:hAnsi="Calibri"/>
                <w:color w:val="243447"/>
                <w:sz w:val="18"/>
              </w:rPr>
              <w:t>Inactive local account</w:t>
            </w:r>
          </w:p>
        </w:tc>
        <w:tc>
          <w:tcPr>
            <w:tcW w:type="dxa" w:w="5460"/>
            <w:tcMar>
              <w:top w:w="80" w:type="dxa"/>
              <w:start w:w="120" w:type="dxa"/>
              <w:bottom w:w="80" w:type="dxa"/>
              <w:end w:w="120" w:type="dxa"/>
            </w:tcMar>
            <w:vAlign w:val="center"/>
          </w:tcPr>
          <w:p>
            <w:pPr>
              <w:spacing w:after="0" w:line="264" w:lineRule="auto"/>
            </w:pPr>
            <w:r>
              <w:rPr>
                <w:rFonts w:ascii="Calibri" w:hAnsi="Calibri"/>
                <w:color w:val="243447"/>
                <w:sz w:val="18"/>
              </w:rPr>
              <w:t>No login; inactive reason recorded.</w:t>
            </w:r>
          </w:p>
        </w:tc>
      </w:tr>
      <w:tr>
        <w:trPr/>
        <w:tc>
          <w:tcPr>
            <w:tcW w:type="dxa" w:w="3900"/>
            <w:tcMar>
              <w:top w:w="80" w:type="dxa"/>
              <w:start w:w="120" w:type="dxa"/>
              <w:bottom w:w="80" w:type="dxa"/>
              <w:end w:w="120" w:type="dxa"/>
            </w:tcMar>
            <w:vAlign w:val="center"/>
          </w:tcPr>
          <w:p>
            <w:pPr>
              <w:spacing w:after="0" w:line="264" w:lineRule="auto"/>
            </w:pPr>
            <w:r>
              <w:rPr>
                <w:rFonts w:ascii="Calibri" w:hAnsi="Calibri"/>
                <w:color w:val="243447"/>
                <w:sz w:val="18"/>
              </w:rPr>
              <w:t>Wrong issuer/audience/destination/recipient</w:t>
            </w:r>
          </w:p>
        </w:tc>
        <w:tc>
          <w:tcPr>
            <w:tcW w:type="dxa" w:w="5460"/>
            <w:tcMar>
              <w:top w:w="80" w:type="dxa"/>
              <w:start w:w="120" w:type="dxa"/>
              <w:bottom w:w="80" w:type="dxa"/>
              <w:end w:w="120" w:type="dxa"/>
            </w:tcMar>
            <w:vAlign w:val="center"/>
          </w:tcPr>
          <w:p>
            <w:pPr>
              <w:spacing w:after="0" w:line="264" w:lineRule="auto"/>
            </w:pPr>
            <w:r>
              <w:rPr>
                <w:rFonts w:ascii="Calibri" w:hAnsi="Calibri"/>
                <w:color w:val="243447"/>
                <w:sz w:val="18"/>
              </w:rPr>
              <w:t>ACS rejects with the corresponding validation message.</w:t>
            </w:r>
          </w:p>
        </w:tc>
      </w:tr>
      <w:tr>
        <w:trPr/>
        <w:tc>
          <w:tcPr>
            <w:tcW w:type="dxa" w:w="3900"/>
            <w:tcMar>
              <w:top w:w="80" w:type="dxa"/>
              <w:start w:w="120" w:type="dxa"/>
              <w:bottom w:w="80" w:type="dxa"/>
              <w:end w:w="120" w:type="dxa"/>
            </w:tcMar>
            <w:vAlign w:val="center"/>
          </w:tcPr>
          <w:p>
            <w:pPr>
              <w:spacing w:after="0" w:line="264" w:lineRule="auto"/>
            </w:pPr>
            <w:r>
              <w:rPr>
                <w:rFonts w:ascii="Calibri" w:hAnsi="Calibri"/>
                <w:color w:val="243447"/>
                <w:sz w:val="18"/>
              </w:rPr>
              <w:t>Expired/not-yet-valid assertion</w:t>
            </w:r>
          </w:p>
        </w:tc>
        <w:tc>
          <w:tcPr>
            <w:tcW w:type="dxa" w:w="5460"/>
            <w:tcMar>
              <w:top w:w="80" w:type="dxa"/>
              <w:start w:w="120" w:type="dxa"/>
              <w:bottom w:w="80" w:type="dxa"/>
              <w:end w:w="120" w:type="dxa"/>
            </w:tcMar>
            <w:vAlign w:val="center"/>
          </w:tcPr>
          <w:p>
            <w:pPr>
              <w:spacing w:after="0" w:line="264" w:lineRule="auto"/>
            </w:pPr>
            <w:r>
              <w:rPr>
                <w:rFonts w:ascii="Calibri" w:hAnsi="Calibri"/>
                <w:color w:val="243447"/>
                <w:sz w:val="18"/>
              </w:rPr>
              <w:t>ACS rejects after applying the configured 60-second skew.</w:t>
            </w:r>
          </w:p>
        </w:tc>
      </w:tr>
      <w:tr>
        <w:trPr/>
        <w:tc>
          <w:tcPr>
            <w:tcW w:type="dxa" w:w="3900"/>
            <w:tcMar>
              <w:top w:w="80" w:type="dxa"/>
              <w:start w:w="120" w:type="dxa"/>
              <w:bottom w:w="80" w:type="dxa"/>
              <w:end w:w="120" w:type="dxa"/>
            </w:tcMar>
            <w:vAlign w:val="center"/>
          </w:tcPr>
          <w:p>
            <w:pPr>
              <w:spacing w:after="0" w:line="264" w:lineRule="auto"/>
            </w:pPr>
            <w:r>
              <w:rPr>
                <w:rFonts w:ascii="Calibri" w:hAnsi="Calibri"/>
                <w:color w:val="243447"/>
                <w:sz w:val="18"/>
              </w:rPr>
              <w:t>Reused response or assertion ID</w:t>
            </w:r>
          </w:p>
        </w:tc>
        <w:tc>
          <w:tcPr>
            <w:tcW w:type="dxa" w:w="5460"/>
            <w:tcMar>
              <w:top w:w="80" w:type="dxa"/>
              <w:start w:w="120" w:type="dxa"/>
              <w:bottom w:w="80" w:type="dxa"/>
              <w:end w:w="120" w:type="dxa"/>
            </w:tcMar>
            <w:vAlign w:val="center"/>
          </w:tcPr>
          <w:p>
            <w:pPr>
              <w:spacing w:after="0" w:line="264" w:lineRule="auto"/>
            </w:pPr>
            <w:r>
              <w:rPr>
                <w:rFonts w:ascii="Calibri" w:hAnsi="Calibri"/>
                <w:color w:val="243447"/>
                <w:sz w:val="18"/>
              </w:rPr>
              <w:t>ACS rejects as already used.</w:t>
            </w:r>
          </w:p>
        </w:tc>
      </w:tr>
      <w:tr>
        <w:trPr/>
        <w:tc>
          <w:tcPr>
            <w:tcW w:type="dxa" w:w="3900"/>
            <w:tcMar>
              <w:top w:w="80" w:type="dxa"/>
              <w:start w:w="120" w:type="dxa"/>
              <w:bottom w:w="80" w:type="dxa"/>
              <w:end w:w="120" w:type="dxa"/>
            </w:tcMar>
            <w:vAlign w:val="center"/>
          </w:tcPr>
          <w:p>
            <w:pPr>
              <w:spacing w:after="0" w:line="264" w:lineRule="auto"/>
            </w:pPr>
            <w:r>
              <w:rPr>
                <w:rFonts w:ascii="Calibri" w:hAnsi="Calibri"/>
                <w:color w:val="243447"/>
                <w:sz w:val="18"/>
              </w:rPr>
              <w:t>Invalid or missing signature/certificate</w:t>
            </w:r>
          </w:p>
        </w:tc>
        <w:tc>
          <w:tcPr>
            <w:tcW w:type="dxa" w:w="5460"/>
            <w:tcMar>
              <w:top w:w="80" w:type="dxa"/>
              <w:start w:w="120" w:type="dxa"/>
              <w:bottom w:w="80" w:type="dxa"/>
              <w:end w:w="120" w:type="dxa"/>
            </w:tcMar>
            <w:vAlign w:val="center"/>
          </w:tcPr>
          <w:p>
            <w:pPr>
              <w:spacing w:after="0" w:line="264" w:lineRule="auto"/>
            </w:pPr>
            <w:r>
              <w:rPr>
                <w:rFonts w:ascii="Calibri" w:hAnsi="Calibri"/>
                <w:color w:val="243447"/>
                <w:sz w:val="18"/>
              </w:rPr>
              <w:t>OneLogin validation rejects; event is audited.</w:t>
            </w:r>
          </w:p>
        </w:tc>
      </w:tr>
      <w:tr>
        <w:trPr/>
        <w:tc>
          <w:tcPr>
            <w:tcW w:type="dxa" w:w="3900"/>
            <w:tcMar>
              <w:top w:w="80" w:type="dxa"/>
              <w:start w:w="120" w:type="dxa"/>
              <w:bottom w:w="80" w:type="dxa"/>
              <w:end w:w="120" w:type="dxa"/>
            </w:tcMar>
            <w:vAlign w:val="center"/>
          </w:tcPr>
          <w:p>
            <w:pPr>
              <w:spacing w:after="0" w:line="264" w:lineRule="auto"/>
            </w:pPr>
            <w:r>
              <w:rPr>
                <w:rFonts w:ascii="Calibri" w:hAnsi="Calibri"/>
                <w:color w:val="243447"/>
                <w:sz w:val="18"/>
              </w:rPr>
              <w:t>External RelayState URL</w:t>
            </w:r>
          </w:p>
        </w:tc>
        <w:tc>
          <w:tcPr>
            <w:tcW w:type="dxa" w:w="5460"/>
            <w:tcMar>
              <w:top w:w="80" w:type="dxa"/>
              <w:start w:w="120" w:type="dxa"/>
              <w:bottom w:w="80" w:type="dxa"/>
              <w:end w:w="120" w:type="dxa"/>
            </w:tcMar>
            <w:vAlign w:val="center"/>
          </w:tcPr>
          <w:p>
            <w:pPr>
              <w:spacing w:after="0" w:line="264" w:lineRule="auto"/>
            </w:pPr>
            <w:r>
              <w:rPr>
                <w:rFonts w:ascii="Calibri" w:hAnsi="Calibri"/>
                <w:color w:val="243447"/>
                <w:sz w:val="18"/>
              </w:rPr>
              <w:t>Ignored; fallback redirects to MainDashboard.</w:t>
            </w:r>
          </w:p>
        </w:tc>
      </w:tr>
    </w:tbl>
    <w:p>
      <w:pPr>
        <w:spacing w:after="40"/>
      </w:pPr>
    </w:p>
    <w:p>
      <w:pPr>
        <w:pStyle w:val="Heading1"/>
      </w:pPr>
      <w:r>
        <w:t>9. Deployment, rollback, and operations</w:t>
      </w:r>
    </w:p>
    <w:p>
      <w:pPr>
        <w:pStyle w:val="Heading2"/>
      </w:pPr>
      <w:r>
        <w:t>9.1 Production deployment</w:t>
      </w:r>
    </w:p>
    <w:p>
      <w:pPr>
        <w:pStyle w:val="ListNumber"/>
        <w:spacing w:after="80" w:line="300" w:lineRule="auto"/>
      </w:pPr>
      <w:r>
        <w:rPr>
          <w:rFonts w:ascii="Calibri" w:hAnsi="Calibri"/>
          <w:color w:val="243447"/>
          <w:sz w:val="22"/>
        </w:rPr>
        <w:t>Back up the database and current .env/secrets; record the current release identifier.</w:t>
      </w:r>
    </w:p>
    <w:p>
      <w:pPr>
        <w:pStyle w:val="ListNumber"/>
        <w:spacing w:after="80" w:line="300" w:lineRule="auto"/>
      </w:pPr>
      <w:r>
        <w:rPr>
          <w:rFonts w:ascii="Calibri" w:hAnsi="Calibri"/>
          <w:color w:val="243447"/>
          <w:sz w:val="22"/>
        </w:rPr>
        <w:t>Deploy code and run PHP syntax checks for the SAML and login controllers.</w:t>
      </w:r>
    </w:p>
    <w:p>
      <w:pPr>
        <w:pStyle w:val="ListNumber"/>
        <w:spacing w:after="80" w:line="300" w:lineRule="auto"/>
      </w:pPr>
      <w:r>
        <w:rPr>
          <w:rFonts w:ascii="Calibri" w:hAnsi="Calibri"/>
          <w:color w:val="243447"/>
          <w:sz w:val="22"/>
        </w:rPr>
        <w:t>Run composer install --no-dev --optimize-autoloader.</w:t>
      </w:r>
    </w:p>
    <w:p>
      <w:pPr>
        <w:pStyle w:val="ListNumber"/>
        <w:spacing w:after="80" w:line="300" w:lineRule="auto"/>
      </w:pPr>
      <w:r>
        <w:rPr>
          <w:rFonts w:ascii="Calibri" w:hAnsi="Calibri"/>
          <w:color w:val="243447"/>
          <w:sz w:val="22"/>
        </w:rPr>
        <w:t>Run php artisan migrate --force.</w:t>
      </w:r>
    </w:p>
    <w:p>
      <w:pPr>
        <w:pStyle w:val="ListNumber"/>
        <w:spacing w:after="80" w:line="300" w:lineRule="auto"/>
      </w:pPr>
      <w:r>
        <w:rPr>
          <w:rFonts w:ascii="Calibri" w:hAnsi="Calibri"/>
          <w:color w:val="243447"/>
          <w:sz w:val="22"/>
        </w:rPr>
        <w:t>Clear Laravel caches, seed/configure AMS, then run php artisan optimize.</w:t>
      </w:r>
    </w:p>
    <w:p>
      <w:pPr>
        <w:pStyle w:val="ListNumber"/>
        <w:spacing w:after="80" w:line="300" w:lineRule="auto"/>
      </w:pPr>
      <w:r>
        <w:rPr>
          <w:rFonts w:ascii="Calibri" w:hAnsi="Calibri"/>
          <w:color w:val="243447"/>
          <w:sz w:val="22"/>
        </w:rPr>
        <w:t>Verify routes and metadata, reload PHP-FPM/nginx where applicable, then perform a known-user smoke test.</w:t>
      </w:r>
    </w:p>
    <w:p>
      <w:pPr>
        <w:pStyle w:val="ListNumber"/>
        <w:spacing w:after="80" w:line="300" w:lineRule="auto"/>
      </w:pPr>
      <w:r>
        <w:rPr>
          <w:rFonts w:ascii="Calibri" w:hAnsi="Calibri"/>
          <w:color w:val="243447"/>
          <w:sz w:val="22"/>
        </w:rPr>
        <w:t>Monitor rejected audit events and application logs closely during the stabilization window.</w:t>
      </w:r>
    </w:p>
    <w:p>
      <w:pPr>
        <w:keepLines w:val="0"/>
        <w:spacing w:after="120" w:line="300" w:lineRule="auto"/>
      </w:pPr>
      <w:r>
        <w:rPr>
          <w:rFonts w:ascii="Calibri" w:hAnsi="Calibri"/>
          <w:color w:val="243447"/>
          <w:sz w:val="22"/>
        </w:rPr>
        <w:t>The repository script scripts/deploy-saml-fix.sh automates this sequence. Set APP_DIR, PHP_FPM_SERVICE, and WEB_SERVICE for the target host before using it; review the hard-coded final test URL.</w:t>
      </w:r>
    </w:p>
    <w:p>
      <w:pPr>
        <w:spacing w:after="0" w:line="240" w:lineRule="auto"/>
        <w:ind w:left="259" w:right="173"/>
        <w:shd w:fill="F2F4F7"/>
      </w:pPr>
      <w:r>
        <w:rPr>
          <w:rFonts w:ascii="Courier New" w:hAnsi="Courier New"/>
          <w:color w:val="1F2937"/>
          <w:sz w:val="17"/>
        </w:rPr>
        <w:t>APP_DIR=/var/www/html PHP_FPM_SERVICE=php8.2-fpm WEB_SERVICE=nginx bash scripts/deploy-saml-fix.sh</w:t>
      </w:r>
    </w:p>
    <w:p>
      <w:pPr>
        <w:keepLines w:val="0"/>
        <w:spacing w:after="80" w:line="300" w:lineRule="auto"/>
      </w:pPr>
      <w:r>
        <w:rPr>
          <w:rFonts w:ascii="Calibri" w:hAnsi="Calibri"/>
          <w:color w:val="243447"/>
          <w:sz w:val="22"/>
        </w:rPr>
      </w:r>
    </w:p>
    <w:p>
      <w:pPr>
        <w:pStyle w:val="Heading2"/>
      </w:pPr>
      <w:r>
        <w:t>9.2 Rollback</w:t>
      </w:r>
    </w:p>
    <w:p>
      <w:pPr>
        <w:pStyle w:val="ListBullet"/>
        <w:spacing w:after="80" w:line="300" w:lineRule="auto"/>
      </w:pPr>
      <w:r>
        <w:rPr>
          <w:rFonts w:ascii="Calibri" w:hAnsi="Calibri"/>
          <w:color w:val="243447"/>
          <w:sz w:val="22"/>
        </w:rPr>
        <w:t>Deactivate the new IdP configuration or restore the previously active record through the database/admin UI.</w:t>
      </w:r>
    </w:p>
    <w:p>
      <w:pPr>
        <w:pStyle w:val="ListBullet"/>
        <w:spacing w:after="80" w:line="300" w:lineRule="auto"/>
      </w:pPr>
      <w:r>
        <w:rPr>
          <w:rFonts w:ascii="Calibri" w:hAnsi="Calibri"/>
          <w:color w:val="243447"/>
          <w:sz w:val="22"/>
        </w:rPr>
        <w:t>Restore the previous application release and cached configuration; retain audit records for investigation.</w:t>
      </w:r>
    </w:p>
    <w:p>
      <w:pPr>
        <w:pStyle w:val="ListBullet"/>
        <w:spacing w:after="80" w:line="300" w:lineRule="auto"/>
      </w:pPr>
      <w:r>
        <w:rPr>
          <w:rFonts w:ascii="Calibri" w:hAnsi="Calibri"/>
          <w:color w:val="243447"/>
          <w:sz w:val="22"/>
        </w:rPr>
        <w:t>If a migration rollback is necessary, confirm no required audit/replay/configuration data will be lost before running it.</w:t>
      </w:r>
    </w:p>
    <w:p>
      <w:pPr>
        <w:pStyle w:val="ListBullet"/>
        <w:spacing w:after="80" w:line="300" w:lineRule="auto"/>
      </w:pPr>
      <w:r>
        <w:rPr>
          <w:rFonts w:ascii="Calibri" w:hAnsi="Calibri"/>
          <w:color w:val="243447"/>
          <w:sz w:val="22"/>
        </w:rPr>
        <w:t>Keep local login available until federation is stable; communicate the temporary access path only to authorized administrators.</w:t>
      </w:r>
    </w:p>
    <w:p>
      <w:pPr>
        <w:pStyle w:val="Heading2"/>
      </w:pPr>
      <w:r>
        <w:t>9.3 Operational controls</w:t>
      </w:r>
    </w:p>
    <w:p>
      <w:pPr>
        <w:pStyle w:val="ListBullet"/>
        <w:spacing w:after="80" w:line="300" w:lineRule="auto"/>
      </w:pPr>
      <w:r>
        <w:rPr>
          <w:rFonts w:ascii="Calibri" w:hAnsi="Calibri"/>
          <w:color w:val="243447"/>
          <w:sz w:val="22"/>
        </w:rPr>
        <w:t>Schedule deletion of expired saml_replay_records to control table growth.</w:t>
      </w:r>
    </w:p>
    <w:p>
      <w:pPr>
        <w:pStyle w:val="ListBullet"/>
        <w:spacing w:after="80" w:line="300" w:lineRule="auto"/>
      </w:pPr>
      <w:r>
        <w:rPr>
          <w:rFonts w:ascii="Calibri" w:hAnsi="Calibri"/>
          <w:color w:val="243447"/>
          <w:sz w:val="22"/>
        </w:rPr>
        <w:t>Alert on sustained saml.sp.assertion.rejected volume, certificate expiry, and metadata/issuer changes.</w:t>
      </w:r>
    </w:p>
    <w:p>
      <w:pPr>
        <w:pStyle w:val="ListBullet"/>
        <w:spacing w:after="80" w:line="300" w:lineRule="auto"/>
      </w:pPr>
      <w:r>
        <w:rPr>
          <w:rFonts w:ascii="Calibri" w:hAnsi="Calibri"/>
          <w:color w:val="243447"/>
          <w:sz w:val="22"/>
        </w:rPr>
        <w:t>Review SAML audit retention and personal-data handling; metadata may contain email on rejected/accepted events.</w:t>
      </w:r>
    </w:p>
    <w:p>
      <w:pPr>
        <w:pStyle w:val="ListBullet"/>
        <w:spacing w:after="80" w:line="300" w:lineRule="auto"/>
      </w:pPr>
      <w:r>
        <w:rPr>
          <w:rFonts w:ascii="Calibri" w:hAnsi="Calibri"/>
          <w:color w:val="243447"/>
          <w:sz w:val="22"/>
        </w:rPr>
        <w:t>Test the federation after proxy, hostname, TLS, IdP, certificate, clock, or session configuration changes.</w:t>
      </w:r>
    </w:p>
    <w:p>
      <w:pPr>
        <w:pStyle w:val="ListBullet"/>
        <w:spacing w:after="80" w:line="300" w:lineRule="auto"/>
      </w:pPr>
      <w:r>
        <w:rPr>
          <w:rFonts w:ascii="Calibri" w:hAnsi="Calibri"/>
          <w:color w:val="243447"/>
          <w:sz w:val="22"/>
        </w:rPr>
        <w:t>Document certificate rollover with an overlap window or dual-certificate support before the current certificate expires.</w:t>
      </w:r>
    </w:p>
    <w:p>
      <w:pPr>
        <w:pStyle w:val="Heading1"/>
      </w:pPr>
      <w:r>
        <w:t>10. Troubleshooting</w:t>
      </w:r>
    </w:p>
    <w:tbl>
      <w:tblPr>
        <w:tblStyle w:val="TableGrid"/>
        <w:tblW w:type="dxa" w:w="9360"/>
        <w:jc w:val="left"/>
        <w:tblLayout w:type="fixed"/>
        <w:tblLook w:firstColumn="1" w:firstRow="1" w:lastColumn="0" w:lastRow="0" w:noHBand="0" w:noVBand="1" w:val="04A0"/>
        <w:tblInd w:w="120" w:type="dxa"/>
      </w:tblPr>
      <w:tblGrid>
        <w:gridCol w:w="2550"/>
        <w:gridCol w:w="3420"/>
        <w:gridCol w:w="3390"/>
      </w:tblGrid>
      <w:tr>
        <w:trPr>
          <w:tblHeader w:val="true"/>
        </w:trPr>
        <w:tc>
          <w:tcPr>
            <w:tcW w:type="dxa" w:w="2550"/>
            <w:shd w:fill="E8EEF5"/>
            <w:tcMar>
              <w:top w:w="80" w:type="dxa"/>
              <w:start w:w="120" w:type="dxa"/>
              <w:bottom w:w="80" w:type="dxa"/>
              <w:end w:w="120" w:type="dxa"/>
            </w:tcMar>
            <w:vAlign w:val="center"/>
          </w:tcPr>
          <w:p>
            <w:pPr>
              <w:spacing w:after="0"/>
            </w:pPr>
            <w:r>
              <w:rPr>
                <w:rFonts w:ascii="Calibri" w:hAnsi="Calibri"/>
                <w:b/>
                <w:color w:val="1F4D78"/>
                <w:sz w:val="19"/>
              </w:rPr>
              <w:t>Symptom / message</w:t>
            </w:r>
          </w:p>
        </w:tc>
        <w:tc>
          <w:tcPr>
            <w:tcW w:type="dxa" w:w="3420"/>
            <w:shd w:fill="E8EEF5"/>
            <w:tcMar>
              <w:top w:w="80" w:type="dxa"/>
              <w:start w:w="120" w:type="dxa"/>
              <w:bottom w:w="80" w:type="dxa"/>
              <w:end w:w="120" w:type="dxa"/>
            </w:tcMar>
            <w:vAlign w:val="center"/>
          </w:tcPr>
          <w:p>
            <w:pPr>
              <w:spacing w:after="0"/>
            </w:pPr>
            <w:r>
              <w:rPr>
                <w:rFonts w:ascii="Calibri" w:hAnsi="Calibri"/>
                <w:b/>
                <w:color w:val="1F4D78"/>
                <w:sz w:val="19"/>
              </w:rPr>
              <w:t>Likely cause</w:t>
            </w:r>
          </w:p>
        </w:tc>
        <w:tc>
          <w:tcPr>
            <w:tcW w:type="dxa" w:w="3390"/>
            <w:shd w:fill="E8EEF5"/>
            <w:tcMar>
              <w:top w:w="80" w:type="dxa"/>
              <w:start w:w="120" w:type="dxa"/>
              <w:bottom w:w="80" w:type="dxa"/>
              <w:end w:w="120" w:type="dxa"/>
            </w:tcMar>
            <w:vAlign w:val="center"/>
          </w:tcPr>
          <w:p>
            <w:pPr>
              <w:spacing w:after="0"/>
            </w:pPr>
            <w:r>
              <w:rPr>
                <w:rFonts w:ascii="Calibri" w:hAnsi="Calibri"/>
                <w:b/>
                <w:color w:val="1F4D78"/>
                <w:sz w:val="19"/>
              </w:rPr>
              <w:t>Action</w:t>
            </w:r>
          </w:p>
        </w:tc>
      </w:tr>
      <w:tr>
        <w:trPr/>
        <w:tc>
          <w:tcPr>
            <w:tcW w:type="dxa" w:w="2550"/>
            <w:tcMar>
              <w:top w:w="80" w:type="dxa"/>
              <w:start w:w="120" w:type="dxa"/>
              <w:bottom w:w="80" w:type="dxa"/>
              <w:end w:w="120" w:type="dxa"/>
            </w:tcMar>
            <w:vAlign w:val="center"/>
          </w:tcPr>
          <w:p>
            <w:pPr>
              <w:spacing w:after="0" w:line="264" w:lineRule="auto"/>
            </w:pPr>
            <w:r>
              <w:rPr>
                <w:rFonts w:ascii="Calibri" w:hAnsi="Calibri"/>
                <w:color w:val="243447"/>
                <w:sz w:val="18"/>
              </w:rPr>
              <w:t>SAML login is not configured</w:t>
            </w:r>
          </w:p>
        </w:tc>
        <w:tc>
          <w:tcPr>
            <w:tcW w:type="dxa" w:w="3420"/>
            <w:tcMar>
              <w:top w:w="80" w:type="dxa"/>
              <w:start w:w="120" w:type="dxa"/>
              <w:bottom w:w="80" w:type="dxa"/>
              <w:end w:w="120" w:type="dxa"/>
            </w:tcMar>
            <w:vAlign w:val="center"/>
          </w:tcPr>
          <w:p>
            <w:pPr>
              <w:spacing w:after="0" w:line="264" w:lineRule="auto"/>
            </w:pPr>
            <w:r>
              <w:rPr>
                <w:rFonts w:ascii="Calibri" w:hAnsi="Calibri"/>
                <w:color w:val="243447"/>
                <w:sz w:val="18"/>
              </w:rPr>
              <w:t>No IdP record is both status=active and is_active=true, or SSO URL is blank.</w:t>
            </w:r>
          </w:p>
        </w:tc>
        <w:tc>
          <w:tcPr>
            <w:tcW w:type="dxa" w:w="3390"/>
            <w:tcMar>
              <w:top w:w="80" w:type="dxa"/>
              <w:start w:w="120" w:type="dxa"/>
              <w:bottom w:w="80" w:type="dxa"/>
              <w:end w:w="120" w:type="dxa"/>
            </w:tcMar>
            <w:vAlign w:val="center"/>
          </w:tcPr>
          <w:p>
            <w:pPr>
              <w:spacing w:after="0" w:line="264" w:lineRule="auto"/>
            </w:pPr>
            <w:r>
              <w:rPr>
                <w:rFonts w:ascii="Calibri" w:hAnsi="Calibri"/>
                <w:color w:val="243447"/>
                <w:sz w:val="18"/>
              </w:rPr>
              <w:t>Activate exactly one IdP and verify its SSO URL.</w:t>
            </w:r>
          </w:p>
        </w:tc>
      </w:tr>
      <w:tr>
        <w:trPr/>
        <w:tc>
          <w:tcPr>
            <w:tcW w:type="dxa" w:w="2550"/>
            <w:tcMar>
              <w:top w:w="80" w:type="dxa"/>
              <w:start w:w="120" w:type="dxa"/>
              <w:bottom w:w="80" w:type="dxa"/>
              <w:end w:w="120" w:type="dxa"/>
            </w:tcMar>
            <w:vAlign w:val="center"/>
          </w:tcPr>
          <w:p>
            <w:pPr>
              <w:spacing w:after="0" w:line="264" w:lineRule="auto"/>
            </w:pPr>
            <w:r>
              <w:rPr>
                <w:rFonts w:ascii="Calibri" w:hAnsi="Calibri"/>
                <w:color w:val="243447"/>
                <w:sz w:val="18"/>
              </w:rPr>
              <w:t>Issuer does not match</w:t>
            </w:r>
          </w:p>
        </w:tc>
        <w:tc>
          <w:tcPr>
            <w:tcW w:type="dxa" w:w="3420"/>
            <w:tcMar>
              <w:top w:w="80" w:type="dxa"/>
              <w:start w:w="120" w:type="dxa"/>
              <w:bottom w:w="80" w:type="dxa"/>
              <w:end w:w="120" w:type="dxa"/>
            </w:tcMar>
            <w:vAlign w:val="center"/>
          </w:tcPr>
          <w:p>
            <w:pPr>
              <w:spacing w:after="0" w:line="264" w:lineRule="auto"/>
            </w:pPr>
            <w:r>
              <w:rPr>
                <w:rFonts w:ascii="Calibri" w:hAnsi="Calibri"/>
                <w:color w:val="243447"/>
                <w:sz w:val="18"/>
              </w:rPr>
              <w:t>Configured Entity ID differs from Response Issuer.</w:t>
            </w:r>
          </w:p>
        </w:tc>
        <w:tc>
          <w:tcPr>
            <w:tcW w:type="dxa" w:w="3390"/>
            <w:tcMar>
              <w:top w:w="80" w:type="dxa"/>
              <w:start w:w="120" w:type="dxa"/>
              <w:bottom w:w="80" w:type="dxa"/>
              <w:end w:w="120" w:type="dxa"/>
            </w:tcMar>
            <w:vAlign w:val="center"/>
          </w:tcPr>
          <w:p>
            <w:pPr>
              <w:spacing w:after="0" w:line="264" w:lineRule="auto"/>
            </w:pPr>
            <w:r>
              <w:rPr>
                <w:rFonts w:ascii="Calibri" w:hAnsi="Calibri"/>
                <w:color w:val="243447"/>
                <w:sz w:val="18"/>
              </w:rPr>
              <w:t>Copy the exact entityID from authoritative IdP metadata.</w:t>
            </w:r>
          </w:p>
        </w:tc>
      </w:tr>
      <w:tr>
        <w:trPr/>
        <w:tc>
          <w:tcPr>
            <w:tcW w:type="dxa" w:w="2550"/>
            <w:tcMar>
              <w:top w:w="80" w:type="dxa"/>
              <w:start w:w="120" w:type="dxa"/>
              <w:bottom w:w="80" w:type="dxa"/>
              <w:end w:w="120" w:type="dxa"/>
            </w:tcMar>
            <w:vAlign w:val="center"/>
          </w:tcPr>
          <w:p>
            <w:pPr>
              <w:spacing w:after="0" w:line="264" w:lineRule="auto"/>
            </w:pPr>
            <w:r>
              <w:rPr>
                <w:rFonts w:ascii="Calibri" w:hAnsi="Calibri"/>
                <w:color w:val="243447"/>
                <w:sz w:val="18"/>
              </w:rPr>
              <w:t>Destination or recipient mismatch</w:t>
            </w:r>
          </w:p>
        </w:tc>
        <w:tc>
          <w:tcPr>
            <w:tcW w:type="dxa" w:w="3420"/>
            <w:tcMar>
              <w:top w:w="80" w:type="dxa"/>
              <w:start w:w="120" w:type="dxa"/>
              <w:bottom w:w="80" w:type="dxa"/>
              <w:end w:w="120" w:type="dxa"/>
            </w:tcMar>
            <w:vAlign w:val="center"/>
          </w:tcPr>
          <w:p>
            <w:pPr>
              <w:spacing w:after="0" w:line="264" w:lineRule="auto"/>
            </w:pPr>
            <w:r>
              <w:rPr>
                <w:rFonts w:ascii="Calibri" w:hAnsi="Calibri"/>
                <w:color w:val="243447"/>
                <w:sz w:val="18"/>
              </w:rPr>
              <w:t>APP_URL/proxy scheme/host/port or IdP ACS registration differs.</w:t>
            </w:r>
          </w:p>
        </w:tc>
        <w:tc>
          <w:tcPr>
            <w:tcW w:type="dxa" w:w="3390"/>
            <w:tcMar>
              <w:top w:w="80" w:type="dxa"/>
              <w:start w:w="120" w:type="dxa"/>
              <w:bottom w:w="80" w:type="dxa"/>
              <w:end w:w="120" w:type="dxa"/>
            </w:tcMar>
            <w:vAlign w:val="center"/>
          </w:tcPr>
          <w:p>
            <w:pPr>
              <w:spacing w:after="0" w:line="264" w:lineRule="auto"/>
            </w:pPr>
            <w:r>
              <w:rPr>
                <w:rFonts w:ascii="Calibri" w:hAnsi="Calibri"/>
                <w:color w:val="243447"/>
                <w:sz w:val="18"/>
              </w:rPr>
              <w:t>Correct public URL generation, trusted proxy behavior, and registered ACS.</w:t>
            </w:r>
          </w:p>
        </w:tc>
      </w:tr>
      <w:tr>
        <w:trPr/>
        <w:tc>
          <w:tcPr>
            <w:tcW w:type="dxa" w:w="2550"/>
            <w:tcMar>
              <w:top w:w="80" w:type="dxa"/>
              <w:start w:w="120" w:type="dxa"/>
              <w:bottom w:w="80" w:type="dxa"/>
              <w:end w:w="120" w:type="dxa"/>
            </w:tcMar>
            <w:vAlign w:val="center"/>
          </w:tcPr>
          <w:p>
            <w:pPr>
              <w:spacing w:after="0" w:line="264" w:lineRule="auto"/>
            </w:pPr>
            <w:r>
              <w:rPr>
                <w:rFonts w:ascii="Calibri" w:hAnsi="Calibri"/>
                <w:color w:val="243447"/>
                <w:sz w:val="18"/>
              </w:rPr>
              <w:t>Audience mismatch</w:t>
            </w:r>
          </w:p>
        </w:tc>
        <w:tc>
          <w:tcPr>
            <w:tcW w:type="dxa" w:w="3420"/>
            <w:tcMar>
              <w:top w:w="80" w:type="dxa"/>
              <w:start w:w="120" w:type="dxa"/>
              <w:bottom w:w="80" w:type="dxa"/>
              <w:end w:w="120" w:type="dxa"/>
            </w:tcMar>
            <w:vAlign w:val="center"/>
          </w:tcPr>
          <w:p>
            <w:pPr>
              <w:spacing w:after="0" w:line="264" w:lineRule="auto"/>
            </w:pPr>
            <w:r>
              <w:rPr>
                <w:rFonts w:ascii="Calibri" w:hAnsi="Calibri"/>
                <w:color w:val="243447"/>
                <w:sz w:val="18"/>
              </w:rPr>
              <w:t>SAML_SP_ENTITY_ID differs from Audience.</w:t>
            </w:r>
          </w:p>
        </w:tc>
        <w:tc>
          <w:tcPr>
            <w:tcW w:type="dxa" w:w="3390"/>
            <w:tcMar>
              <w:top w:w="80" w:type="dxa"/>
              <w:start w:w="120" w:type="dxa"/>
              <w:bottom w:w="80" w:type="dxa"/>
              <w:end w:w="120" w:type="dxa"/>
            </w:tcMar>
            <w:vAlign w:val="center"/>
          </w:tcPr>
          <w:p>
            <w:pPr>
              <w:spacing w:after="0" w:line="264" w:lineRule="auto"/>
            </w:pPr>
            <w:r>
              <w:rPr>
                <w:rFonts w:ascii="Calibri" w:hAnsi="Calibri"/>
                <w:color w:val="243447"/>
                <w:sz w:val="18"/>
              </w:rPr>
              <w:t>Align the IdP audience with the exact SP Entity ID.</w:t>
            </w:r>
          </w:p>
        </w:tc>
      </w:tr>
      <w:tr>
        <w:trPr/>
        <w:tc>
          <w:tcPr>
            <w:tcW w:type="dxa" w:w="2550"/>
            <w:tcMar>
              <w:top w:w="80" w:type="dxa"/>
              <w:start w:w="120" w:type="dxa"/>
              <w:bottom w:w="80" w:type="dxa"/>
              <w:end w:w="120" w:type="dxa"/>
            </w:tcMar>
            <w:vAlign w:val="center"/>
          </w:tcPr>
          <w:p>
            <w:pPr>
              <w:spacing w:after="0" w:line="264" w:lineRule="auto"/>
            </w:pPr>
            <w:r>
              <w:rPr>
                <w:rFonts w:ascii="Calibri" w:hAnsi="Calibri"/>
                <w:color w:val="243447"/>
                <w:sz w:val="18"/>
              </w:rPr>
              <w:t>Response does not match active login request</w:t>
            </w:r>
          </w:p>
        </w:tc>
        <w:tc>
          <w:tcPr>
            <w:tcW w:type="dxa" w:w="3420"/>
            <w:tcMar>
              <w:top w:w="80" w:type="dxa"/>
              <w:start w:w="120" w:type="dxa"/>
              <w:bottom w:w="80" w:type="dxa"/>
              <w:end w:w="120" w:type="dxa"/>
            </w:tcMar>
            <w:vAlign w:val="center"/>
          </w:tcPr>
          <w:p>
            <w:pPr>
              <w:spacing w:after="0" w:line="264" w:lineRule="auto"/>
            </w:pPr>
            <w:r>
              <w:rPr>
                <w:rFonts w:ascii="Calibri" w:hAnsi="Calibri"/>
                <w:color w:val="243447"/>
                <w:sz w:val="18"/>
              </w:rPr>
              <w:t>Unknown/expired InResponseTo or replay-record persistence problem.</w:t>
            </w:r>
          </w:p>
        </w:tc>
        <w:tc>
          <w:tcPr>
            <w:tcW w:type="dxa" w:w="3390"/>
            <w:tcMar>
              <w:top w:w="80" w:type="dxa"/>
              <w:start w:w="120" w:type="dxa"/>
              <w:bottom w:w="80" w:type="dxa"/>
              <w:end w:w="120" w:type="dxa"/>
            </w:tcMar>
            <w:vAlign w:val="center"/>
          </w:tcPr>
          <w:p>
            <w:pPr>
              <w:spacing w:after="0" w:line="264" w:lineRule="auto"/>
            </w:pPr>
            <w:r>
              <w:rPr>
                <w:rFonts w:ascii="Calibri" w:hAnsi="Calibri"/>
                <w:color w:val="243447"/>
                <w:sz w:val="18"/>
              </w:rPr>
              <w:t>Start a new SP-initiated login; inspect request record and TTL.</w:t>
            </w:r>
          </w:p>
        </w:tc>
      </w:tr>
      <w:tr>
        <w:trPr/>
        <w:tc>
          <w:tcPr>
            <w:tcW w:type="dxa" w:w="2550"/>
            <w:tcMar>
              <w:top w:w="80" w:type="dxa"/>
              <w:start w:w="120" w:type="dxa"/>
              <w:bottom w:w="80" w:type="dxa"/>
              <w:end w:w="120" w:type="dxa"/>
            </w:tcMar>
            <w:vAlign w:val="center"/>
          </w:tcPr>
          <w:p>
            <w:pPr>
              <w:spacing w:after="0" w:line="264" w:lineRule="auto"/>
            </w:pPr>
            <w:r>
              <w:rPr>
                <w:rFonts w:ascii="Calibri" w:hAnsi="Calibri"/>
                <w:color w:val="243447"/>
                <w:sz w:val="18"/>
              </w:rPr>
              <w:t>Assertion expired / not valid yet</w:t>
            </w:r>
          </w:p>
        </w:tc>
        <w:tc>
          <w:tcPr>
            <w:tcW w:type="dxa" w:w="3420"/>
            <w:tcMar>
              <w:top w:w="80" w:type="dxa"/>
              <w:start w:w="120" w:type="dxa"/>
              <w:bottom w:w="80" w:type="dxa"/>
              <w:end w:w="120" w:type="dxa"/>
            </w:tcMar>
            <w:vAlign w:val="center"/>
          </w:tcPr>
          <w:p>
            <w:pPr>
              <w:spacing w:after="0" w:line="264" w:lineRule="auto"/>
            </w:pPr>
            <w:r>
              <w:rPr>
                <w:rFonts w:ascii="Calibri" w:hAnsi="Calibri"/>
                <w:color w:val="243447"/>
                <w:sz w:val="18"/>
              </w:rPr>
              <w:t>Clock drift or incorrect assertion validity window.</w:t>
            </w:r>
          </w:p>
        </w:tc>
        <w:tc>
          <w:tcPr>
            <w:tcW w:type="dxa" w:w="3390"/>
            <w:tcMar>
              <w:top w:w="80" w:type="dxa"/>
              <w:start w:w="120" w:type="dxa"/>
              <w:bottom w:w="80" w:type="dxa"/>
              <w:end w:w="120" w:type="dxa"/>
            </w:tcMar>
            <w:vAlign w:val="center"/>
          </w:tcPr>
          <w:p>
            <w:pPr>
              <w:spacing w:after="0" w:line="264" w:lineRule="auto"/>
            </w:pPr>
            <w:r>
              <w:rPr>
                <w:rFonts w:ascii="Calibri" w:hAnsi="Calibri"/>
                <w:color w:val="243447"/>
                <w:sz w:val="18"/>
              </w:rPr>
              <w:t>Synchronize clocks; keep skew small and justified.</w:t>
            </w:r>
          </w:p>
        </w:tc>
      </w:tr>
      <w:tr>
        <w:trPr/>
        <w:tc>
          <w:tcPr>
            <w:tcW w:type="dxa" w:w="2550"/>
            <w:tcMar>
              <w:top w:w="80" w:type="dxa"/>
              <w:start w:w="120" w:type="dxa"/>
              <w:bottom w:w="80" w:type="dxa"/>
              <w:end w:w="120" w:type="dxa"/>
            </w:tcMar>
            <w:vAlign w:val="center"/>
          </w:tcPr>
          <w:p>
            <w:pPr>
              <w:spacing w:after="0" w:line="264" w:lineRule="auto"/>
            </w:pPr>
            <w:r>
              <w:rPr>
                <w:rFonts w:ascii="Calibri" w:hAnsi="Calibri"/>
                <w:color w:val="243447"/>
                <w:sz w:val="18"/>
              </w:rPr>
              <w:t>Invalid signature or assertion</w:t>
            </w:r>
          </w:p>
        </w:tc>
        <w:tc>
          <w:tcPr>
            <w:tcW w:type="dxa" w:w="3420"/>
            <w:tcMar>
              <w:top w:w="80" w:type="dxa"/>
              <w:start w:w="120" w:type="dxa"/>
              <w:bottom w:w="80" w:type="dxa"/>
              <w:end w:w="120" w:type="dxa"/>
            </w:tcMar>
            <w:vAlign w:val="center"/>
          </w:tcPr>
          <w:p>
            <w:pPr>
              <w:spacing w:after="0" w:line="264" w:lineRule="auto"/>
            </w:pPr>
            <w:r>
              <w:rPr>
                <w:rFonts w:ascii="Calibri" w:hAnsi="Calibri"/>
                <w:color w:val="243447"/>
                <w:sz w:val="18"/>
              </w:rPr>
              <w:t>Wrong/expired certificate, unsigned message profile, altered XML, or algorithm mismatch.</w:t>
            </w:r>
          </w:p>
        </w:tc>
        <w:tc>
          <w:tcPr>
            <w:tcW w:type="dxa" w:w="3390"/>
            <w:tcMar>
              <w:top w:w="80" w:type="dxa"/>
              <w:start w:w="120" w:type="dxa"/>
              <w:bottom w:w="80" w:type="dxa"/>
              <w:end w:w="120" w:type="dxa"/>
            </w:tcMar>
            <w:vAlign w:val="center"/>
          </w:tcPr>
          <w:p>
            <w:pPr>
              <w:spacing w:after="0" w:line="264" w:lineRule="auto"/>
            </w:pPr>
            <w:r>
              <w:rPr>
                <w:rFonts w:ascii="Calibri" w:hAnsi="Calibri"/>
                <w:color w:val="243447"/>
                <w:sz w:val="18"/>
              </w:rPr>
              <w:t>Refresh trusted IdP certificate and confirm signing profile with IdP admin.</w:t>
            </w:r>
          </w:p>
        </w:tc>
      </w:tr>
      <w:tr>
        <w:trPr/>
        <w:tc>
          <w:tcPr>
            <w:tcW w:type="dxa" w:w="2550"/>
            <w:tcMar>
              <w:top w:w="80" w:type="dxa"/>
              <w:start w:w="120" w:type="dxa"/>
              <w:bottom w:w="80" w:type="dxa"/>
              <w:end w:w="120" w:type="dxa"/>
            </w:tcMar>
            <w:vAlign w:val="center"/>
          </w:tcPr>
          <w:p>
            <w:pPr>
              <w:spacing w:after="0" w:line="264" w:lineRule="auto"/>
            </w:pPr>
            <w:r>
              <w:rPr>
                <w:rFonts w:ascii="Calibri" w:hAnsi="Calibri"/>
                <w:color w:val="243447"/>
                <w:sz w:val="18"/>
              </w:rPr>
              <w:t>Email NameID missing</w:t>
            </w:r>
          </w:p>
        </w:tc>
        <w:tc>
          <w:tcPr>
            <w:tcW w:type="dxa" w:w="3420"/>
            <w:tcMar>
              <w:top w:w="80" w:type="dxa"/>
              <w:start w:w="120" w:type="dxa"/>
              <w:bottom w:w="80" w:type="dxa"/>
              <w:end w:w="120" w:type="dxa"/>
            </w:tcMar>
            <w:vAlign w:val="center"/>
          </w:tcPr>
          <w:p>
            <w:pPr>
              <w:spacing w:after="0" w:line="264" w:lineRule="auto"/>
            </w:pPr>
            <w:r>
              <w:rPr>
                <w:rFonts w:ascii="Calibri" w:hAnsi="Calibri"/>
                <w:color w:val="243447"/>
                <w:sz w:val="18"/>
              </w:rPr>
              <w:t>IdP sends a different NameID and no recognized email attribute.</w:t>
            </w:r>
          </w:p>
        </w:tc>
        <w:tc>
          <w:tcPr>
            <w:tcW w:type="dxa" w:w="3390"/>
            <w:tcMar>
              <w:top w:w="80" w:type="dxa"/>
              <w:start w:w="120" w:type="dxa"/>
              <w:bottom w:w="80" w:type="dxa"/>
              <w:end w:w="120" w:type="dxa"/>
            </w:tcMar>
            <w:vAlign w:val="center"/>
          </w:tcPr>
          <w:p>
            <w:pPr>
              <w:spacing w:after="0" w:line="264" w:lineRule="auto"/>
            </w:pPr>
            <w:r>
              <w:rPr>
                <w:rFonts w:ascii="Calibri" w:hAnsi="Calibri"/>
                <w:color w:val="243447"/>
                <w:sz w:val="18"/>
              </w:rPr>
              <w:t>Map NameID to emailAddress or release a supported email attribute.</w:t>
            </w:r>
          </w:p>
        </w:tc>
      </w:tr>
      <w:tr>
        <w:trPr/>
        <w:tc>
          <w:tcPr>
            <w:tcW w:type="dxa" w:w="2550"/>
            <w:tcMar>
              <w:top w:w="80" w:type="dxa"/>
              <w:start w:w="120" w:type="dxa"/>
              <w:bottom w:w="80" w:type="dxa"/>
              <w:end w:w="120" w:type="dxa"/>
            </w:tcMar>
            <w:vAlign w:val="center"/>
          </w:tcPr>
          <w:p>
            <w:pPr>
              <w:spacing w:after="0" w:line="264" w:lineRule="auto"/>
            </w:pPr>
            <w:r>
              <w:rPr>
                <w:rFonts w:ascii="Calibri" w:hAnsi="Calibri"/>
                <w:color w:val="243447"/>
                <w:sz w:val="18"/>
              </w:rPr>
              <w:t>User-not-found page</w:t>
            </w:r>
          </w:p>
        </w:tc>
        <w:tc>
          <w:tcPr>
            <w:tcW w:type="dxa" w:w="3420"/>
            <w:tcMar>
              <w:top w:w="80" w:type="dxa"/>
              <w:start w:w="120" w:type="dxa"/>
              <w:bottom w:w="80" w:type="dxa"/>
              <w:end w:w="120" w:type="dxa"/>
            </w:tcMar>
            <w:vAlign w:val="center"/>
          </w:tcPr>
          <w:p>
            <w:pPr>
              <w:spacing w:after="0" w:line="264" w:lineRule="auto"/>
            </w:pPr>
            <w:r>
              <w:rPr>
                <w:rFonts w:ascii="Calibri" w:hAnsi="Calibri"/>
                <w:color w:val="243447"/>
                <w:sz w:val="18"/>
              </w:rPr>
              <w:t>Valid federation but no matching active local account.</w:t>
            </w:r>
          </w:p>
        </w:tc>
        <w:tc>
          <w:tcPr>
            <w:tcW w:type="dxa" w:w="3390"/>
            <w:tcMar>
              <w:top w:w="80" w:type="dxa"/>
              <w:start w:w="120" w:type="dxa"/>
              <w:bottom w:w="80" w:type="dxa"/>
              <w:end w:w="120" w:type="dxa"/>
            </w:tcMar>
            <w:vAlign w:val="center"/>
          </w:tcPr>
          <w:p>
            <w:pPr>
              <w:spacing w:after="0" w:line="264" w:lineRule="auto"/>
            </w:pPr>
            <w:r>
              <w:rPr>
                <w:rFonts w:ascii="Calibri" w:hAnsi="Calibri"/>
                <w:color w:val="243447"/>
                <w:sz w:val="18"/>
              </w:rPr>
              <w:t>Provision/activate user_accounts entry; verify spelling and domain.</w:t>
            </w:r>
          </w:p>
        </w:tc>
      </w:tr>
      <w:tr>
        <w:trPr/>
        <w:tc>
          <w:tcPr>
            <w:tcW w:type="dxa" w:w="2550"/>
            <w:tcMar>
              <w:top w:w="80" w:type="dxa"/>
              <w:start w:w="120" w:type="dxa"/>
              <w:bottom w:w="80" w:type="dxa"/>
              <w:end w:w="120" w:type="dxa"/>
            </w:tcMar>
            <w:vAlign w:val="center"/>
          </w:tcPr>
          <w:p>
            <w:pPr>
              <w:spacing w:after="0" w:line="264" w:lineRule="auto"/>
            </w:pPr>
            <w:r>
              <w:rPr>
                <w:rFonts w:ascii="Calibri" w:hAnsi="Calibri"/>
                <w:color w:val="243447"/>
                <w:sz w:val="18"/>
              </w:rPr>
              <w:t>Redirect loop or HTTP URL in metadata</w:t>
            </w:r>
          </w:p>
        </w:tc>
        <w:tc>
          <w:tcPr>
            <w:tcW w:type="dxa" w:w="3420"/>
            <w:tcMar>
              <w:top w:w="80" w:type="dxa"/>
              <w:start w:w="120" w:type="dxa"/>
              <w:bottom w:w="80" w:type="dxa"/>
              <w:end w:w="120" w:type="dxa"/>
            </w:tcMar>
            <w:vAlign w:val="center"/>
          </w:tcPr>
          <w:p>
            <w:pPr>
              <w:spacing w:after="0" w:line="264" w:lineRule="auto"/>
            </w:pPr>
            <w:r>
              <w:rPr>
                <w:rFonts w:ascii="Calibri" w:hAnsi="Calibri"/>
                <w:color w:val="243447"/>
                <w:sz w:val="18"/>
              </w:rPr>
              <w:t>Incorrect APP_URL or reverse proxy scheme forwarding.</w:t>
            </w:r>
          </w:p>
        </w:tc>
        <w:tc>
          <w:tcPr>
            <w:tcW w:type="dxa" w:w="3390"/>
            <w:tcMar>
              <w:top w:w="80" w:type="dxa"/>
              <w:start w:w="120" w:type="dxa"/>
              <w:bottom w:w="80" w:type="dxa"/>
              <w:end w:w="120" w:type="dxa"/>
            </w:tcMar>
            <w:vAlign w:val="center"/>
          </w:tcPr>
          <w:p>
            <w:pPr>
              <w:spacing w:after="0" w:line="264" w:lineRule="auto"/>
            </w:pPr>
            <w:r>
              <w:rPr>
                <w:rFonts w:ascii="Calibri" w:hAnsi="Calibri"/>
                <w:color w:val="243447"/>
                <w:sz w:val="18"/>
              </w:rPr>
              <w:t>Set production HTTPS APP_URL, trusted proxies, and clear config cache.</w:t>
            </w:r>
          </w:p>
        </w:tc>
      </w:tr>
    </w:tbl>
    <w:p>
      <w:pPr>
        <w:spacing w:after="40"/>
      </w:pPr>
    </w:p>
    <w:p>
      <w:pPr>
        <w:pStyle w:val="Heading2"/>
      </w:pPr>
      <w:r>
        <w:t>10.1 Evidence to collect</w:t>
      </w:r>
    </w:p>
    <w:p>
      <w:pPr>
        <w:pStyle w:val="ListBullet"/>
        <w:spacing w:after="80" w:line="300" w:lineRule="auto"/>
      </w:pPr>
      <w:r>
        <w:rPr>
          <w:rFonts w:ascii="Calibri" w:hAnsi="Calibri"/>
          <w:color w:val="243447"/>
          <w:sz w:val="22"/>
        </w:rPr>
        <w:t>Timestamp and timezone, request ID/response ID, user email (appropriately protected), and source IP.</w:t>
      </w:r>
    </w:p>
    <w:p>
      <w:pPr>
        <w:pStyle w:val="ListBullet"/>
        <w:spacing w:after="80" w:line="300" w:lineRule="auto"/>
      </w:pPr>
      <w:r>
        <w:rPr>
          <w:rFonts w:ascii="Calibri" w:hAnsi="Calibri"/>
          <w:color w:val="243447"/>
          <w:sz w:val="22"/>
        </w:rPr>
        <w:t>Active saml_configurations record without exposing secrets or private keys.</w:t>
      </w:r>
    </w:p>
    <w:p>
      <w:pPr>
        <w:pStyle w:val="ListBullet"/>
        <w:spacing w:after="80" w:line="300" w:lineRule="auto"/>
      </w:pPr>
      <w:r>
        <w:rPr>
          <w:rFonts w:ascii="Calibri" w:hAnsi="Calibri"/>
          <w:color w:val="243447"/>
          <w:sz w:val="22"/>
        </w:rPr>
        <w:t>Relevant saml_audit_events row and Laravel log lines.</w:t>
      </w:r>
    </w:p>
    <w:p>
      <w:pPr>
        <w:pStyle w:val="ListBullet"/>
        <w:spacing w:after="80" w:line="300" w:lineRule="auto"/>
      </w:pPr>
      <w:r>
        <w:rPr>
          <w:rFonts w:ascii="Calibri" w:hAnsi="Calibri"/>
          <w:color w:val="243447"/>
          <w:sz w:val="22"/>
        </w:rPr>
        <w:t>Decoded SAMLResponse only in a controlled secure environment; never paste production assertions into public tools.</w:t>
      </w:r>
    </w:p>
    <w:p>
      <w:pPr>
        <w:pStyle w:val="ListBullet"/>
        <w:spacing w:after="80" w:line="300" w:lineRule="auto"/>
      </w:pPr>
      <w:r>
        <w:rPr>
          <w:rFonts w:ascii="Calibri" w:hAnsi="Calibri"/>
          <w:color w:val="243447"/>
          <w:sz w:val="22"/>
        </w:rPr>
        <w:t>Current metadata output, APP_URL, SAML_SP_ENTITY_ID, certificate fingerprint/expiry, and proxy headers.</w:t>
      </w:r>
    </w:p>
    <w:p>
      <w:pPr>
        <w:pStyle w:val="Heading1"/>
      </w:pPr>
      <w:r>
        <w:t>11. Replication checklist</w:t>
      </w:r>
    </w:p>
    <w:p>
      <w:pPr>
        <w:pStyle w:val="ListBullet"/>
        <w:spacing w:after="80" w:line="300" w:lineRule="auto"/>
      </w:pPr>
      <w:r>
        <w:rPr>
          <w:rFonts w:ascii="Calibri" w:hAnsi="Calibri"/>
          <w:color w:val="243447"/>
          <w:sz w:val="22"/>
        </w:rPr>
        <w:t>[ ] Production URL, TLS, proxy, and NTP are correct.</w:t>
      </w:r>
    </w:p>
    <w:p>
      <w:pPr>
        <w:pStyle w:val="ListBullet"/>
        <w:spacing w:after="80" w:line="300" w:lineRule="auto"/>
      </w:pPr>
      <w:r>
        <w:rPr>
          <w:rFonts w:ascii="Calibri" w:hAnsi="Calibri"/>
          <w:color w:val="243447"/>
          <w:sz w:val="22"/>
        </w:rPr>
        <w:t>[ ] OneLogin PHP-SAML dependency and PHP XML/OpenSSL support are installed.</w:t>
      </w:r>
    </w:p>
    <w:p>
      <w:pPr>
        <w:pStyle w:val="ListBullet"/>
        <w:spacing w:after="80" w:line="300" w:lineRule="auto"/>
      </w:pPr>
      <w:r>
        <w:rPr>
          <w:rFonts w:ascii="Calibri" w:hAnsi="Calibri"/>
          <w:color w:val="243447"/>
          <w:sz w:val="22"/>
        </w:rPr>
        <w:t>[ ] Three SAML migrations have completed.</w:t>
      </w:r>
    </w:p>
    <w:p>
      <w:pPr>
        <w:pStyle w:val="ListBullet"/>
        <w:spacing w:after="80" w:line="300" w:lineRule="auto"/>
      </w:pPr>
      <w:r>
        <w:rPr>
          <w:rFonts w:ascii="Calibri" w:hAnsi="Calibri"/>
          <w:color w:val="243447"/>
          <w:sz w:val="22"/>
        </w:rPr>
        <w:t>[ ] Environment values are present and Laravel caches were rebuilt.</w:t>
      </w:r>
    </w:p>
    <w:p>
      <w:pPr>
        <w:pStyle w:val="ListBullet"/>
        <w:spacing w:after="80" w:line="300" w:lineRule="auto"/>
      </w:pPr>
      <w:r>
        <w:rPr>
          <w:rFonts w:ascii="Calibri" w:hAnsi="Calibri"/>
          <w:color w:val="243447"/>
          <w:sz w:val="22"/>
        </w:rPr>
        <w:t>[ ] SP metadata shows the correct Entity ID, ACS, SLO, and NameID format.</w:t>
      </w:r>
    </w:p>
    <w:p>
      <w:pPr>
        <w:pStyle w:val="ListBullet"/>
        <w:spacing w:after="80" w:line="300" w:lineRule="auto"/>
      </w:pPr>
      <w:r>
        <w:rPr>
          <w:rFonts w:ascii="Calibri" w:hAnsi="Calibri"/>
          <w:color w:val="243447"/>
          <w:sz w:val="22"/>
        </w:rPr>
        <w:t>[ ] IdP metadata/certificate were imported from an authoritative source.</w:t>
      </w:r>
    </w:p>
    <w:p>
      <w:pPr>
        <w:pStyle w:val="ListBullet"/>
        <w:spacing w:after="80" w:line="300" w:lineRule="auto"/>
      </w:pPr>
      <w:r>
        <w:rPr>
          <w:rFonts w:ascii="Calibri" w:hAnsi="Calibri"/>
          <w:color w:val="243447"/>
          <w:sz w:val="22"/>
        </w:rPr>
        <w:t>[ ] Exactly one IdP record is active.</w:t>
      </w:r>
    </w:p>
    <w:p>
      <w:pPr>
        <w:pStyle w:val="ListBullet"/>
        <w:spacing w:after="80" w:line="300" w:lineRule="auto"/>
      </w:pPr>
      <w:r>
        <w:rPr>
          <w:rFonts w:ascii="Calibri" w:hAnsi="Calibri"/>
          <w:color w:val="243447"/>
          <w:sz w:val="22"/>
        </w:rPr>
        <w:t>[ ] IdP has registered the exact SP Entity ID and ACS URL.</w:t>
      </w:r>
    </w:p>
    <w:p>
      <w:pPr>
        <w:pStyle w:val="ListBullet"/>
        <w:spacing w:after="80" w:line="300" w:lineRule="auto"/>
      </w:pPr>
      <w:r>
        <w:rPr>
          <w:rFonts w:ascii="Calibri" w:hAnsi="Calibri"/>
          <w:color w:val="243447"/>
          <w:sz w:val="22"/>
        </w:rPr>
        <w:t>[ ] Email NameID/attribute mapping is confirmed.</w:t>
      </w:r>
    </w:p>
    <w:p>
      <w:pPr>
        <w:pStyle w:val="ListBullet"/>
        <w:spacing w:after="80" w:line="300" w:lineRule="auto"/>
      </w:pPr>
      <w:r>
        <w:rPr>
          <w:rFonts w:ascii="Calibri" w:hAnsi="Calibri"/>
          <w:color w:val="243447"/>
          <w:sz w:val="22"/>
        </w:rPr>
        <w:t>[ ] Active, inactive, and unknown test identities are prepared.</w:t>
      </w:r>
    </w:p>
    <w:p>
      <w:pPr>
        <w:pStyle w:val="ListBullet"/>
        <w:spacing w:after="80" w:line="300" w:lineRule="auto"/>
      </w:pPr>
      <w:r>
        <w:rPr>
          <w:rFonts w:ascii="Calibri" w:hAnsi="Calibri"/>
          <w:color w:val="243447"/>
          <w:sz w:val="22"/>
        </w:rPr>
        <w:t>[ ] Automated SAML tests pass.</w:t>
      </w:r>
    </w:p>
    <w:p>
      <w:pPr>
        <w:pStyle w:val="ListBullet"/>
        <w:spacing w:after="80" w:line="300" w:lineRule="auto"/>
      </w:pPr>
      <w:r>
        <w:rPr>
          <w:rFonts w:ascii="Calibri" w:hAnsi="Calibri"/>
          <w:color w:val="243447"/>
          <w:sz w:val="22"/>
        </w:rPr>
        <w:t>[ ] Positive and negative federation tests pass with audit evidence.</w:t>
      </w:r>
    </w:p>
    <w:p>
      <w:pPr>
        <w:pStyle w:val="ListBullet"/>
        <w:spacing w:after="80" w:line="300" w:lineRule="auto"/>
      </w:pPr>
      <w:r>
        <w:rPr>
          <w:rFonts w:ascii="Calibri" w:hAnsi="Calibri"/>
          <w:color w:val="243447"/>
          <w:sz w:val="22"/>
        </w:rPr>
        <w:t>[ ] Rollback and non-SAML administrator access are proven.</w:t>
      </w:r>
    </w:p>
    <w:p>
      <w:pPr>
        <w:pStyle w:val="ListBullet"/>
        <w:spacing w:after="80" w:line="300" w:lineRule="auto"/>
      </w:pPr>
      <w:r>
        <w:rPr>
          <w:rFonts w:ascii="Calibri" w:hAnsi="Calibri"/>
          <w:color w:val="243447"/>
          <w:sz w:val="22"/>
        </w:rPr>
        <w:t>[ ] Certificate expiry, replay cleanup, logs, alerts, and ownership are documented.</w:t>
      </w:r>
    </w:p>
    <w:p>
      <w:pPr>
        <w:pStyle w:val="Heading1"/>
      </w:pPr>
      <w:r>
        <w:t>Appendix A · Configuration source of truth</w:t>
      </w:r>
    </w:p>
    <w:tbl>
      <w:tblPr>
        <w:tblStyle w:val="TableGrid"/>
        <w:tblW w:type="dxa" w:w="9360"/>
        <w:jc w:val="left"/>
        <w:tblLayout w:type="fixed"/>
        <w:tblLook w:firstColumn="1" w:firstRow="1" w:lastColumn="0" w:lastRow="0" w:noHBand="0" w:noVBand="1" w:val="04A0"/>
        <w:tblInd w:w="120" w:type="dxa"/>
      </w:tblPr>
      <w:tblGrid>
        <w:gridCol w:w="2000"/>
        <w:gridCol w:w="3600"/>
        <w:gridCol w:w="3760"/>
      </w:tblGrid>
      <w:tr>
        <w:trPr>
          <w:tblHeader w:val="true"/>
        </w:trPr>
        <w:tc>
          <w:tcPr>
            <w:tcW w:type="dxa" w:w="2000"/>
            <w:shd w:fill="E8EEF5"/>
            <w:tcMar>
              <w:top w:w="80" w:type="dxa"/>
              <w:start w:w="120" w:type="dxa"/>
              <w:bottom w:w="80" w:type="dxa"/>
              <w:end w:w="120" w:type="dxa"/>
            </w:tcMar>
            <w:vAlign w:val="center"/>
          </w:tcPr>
          <w:p>
            <w:pPr>
              <w:spacing w:after="0"/>
            </w:pPr>
            <w:r>
              <w:rPr>
                <w:rFonts w:ascii="Calibri" w:hAnsi="Calibri"/>
                <w:b/>
                <w:color w:val="1F4D78"/>
                <w:sz w:val="19"/>
              </w:rPr>
              <w:t>Value</w:t>
            </w:r>
          </w:p>
        </w:tc>
        <w:tc>
          <w:tcPr>
            <w:tcW w:type="dxa" w:w="3600"/>
            <w:shd w:fill="E8EEF5"/>
            <w:tcMar>
              <w:top w:w="80" w:type="dxa"/>
              <w:start w:w="120" w:type="dxa"/>
              <w:bottom w:w="80" w:type="dxa"/>
              <w:end w:w="120" w:type="dxa"/>
            </w:tcMar>
            <w:vAlign w:val="center"/>
          </w:tcPr>
          <w:p>
            <w:pPr>
              <w:spacing w:after="0"/>
            </w:pPr>
            <w:r>
              <w:rPr>
                <w:rFonts w:ascii="Calibri" w:hAnsi="Calibri"/>
                <w:b/>
                <w:color w:val="1F4D78"/>
                <w:sz w:val="19"/>
              </w:rPr>
              <w:t>Source</w:t>
            </w:r>
          </w:p>
        </w:tc>
        <w:tc>
          <w:tcPr>
            <w:tcW w:type="dxa" w:w="3760"/>
            <w:shd w:fill="E8EEF5"/>
            <w:tcMar>
              <w:top w:w="80" w:type="dxa"/>
              <w:start w:w="120" w:type="dxa"/>
              <w:bottom w:w="80" w:type="dxa"/>
              <w:end w:w="120" w:type="dxa"/>
            </w:tcMar>
            <w:vAlign w:val="center"/>
          </w:tcPr>
          <w:p>
            <w:pPr>
              <w:spacing w:after="0"/>
            </w:pPr>
            <w:r>
              <w:rPr>
                <w:rFonts w:ascii="Calibri" w:hAnsi="Calibri"/>
                <w:b/>
                <w:color w:val="1F4D78"/>
                <w:sz w:val="19"/>
              </w:rPr>
              <w:t>Consumed by</w:t>
            </w:r>
          </w:p>
        </w:tc>
      </w:tr>
      <w:tr>
        <w:trPr/>
        <w:tc>
          <w:tcPr>
            <w:tcW w:type="dxa" w:w="2000"/>
            <w:tcMar>
              <w:top w:w="80" w:type="dxa"/>
              <w:start w:w="120" w:type="dxa"/>
              <w:bottom w:w="80" w:type="dxa"/>
              <w:end w:w="120" w:type="dxa"/>
            </w:tcMar>
            <w:vAlign w:val="center"/>
          </w:tcPr>
          <w:p>
            <w:pPr>
              <w:spacing w:after="0" w:line="264" w:lineRule="auto"/>
            </w:pPr>
            <w:r>
              <w:rPr>
                <w:rFonts w:ascii="Calibri" w:hAnsi="Calibri"/>
                <w:color w:val="243447"/>
                <w:sz w:val="18"/>
              </w:rPr>
              <w:t>SP Entity ID</w:t>
            </w:r>
          </w:p>
        </w:tc>
        <w:tc>
          <w:tcPr>
            <w:tcW w:type="dxa" w:w="3600"/>
            <w:tcMar>
              <w:top w:w="80" w:type="dxa"/>
              <w:start w:w="120" w:type="dxa"/>
              <w:bottom w:w="80" w:type="dxa"/>
              <w:end w:w="120" w:type="dxa"/>
            </w:tcMar>
            <w:vAlign w:val="center"/>
          </w:tcPr>
          <w:p>
            <w:pPr>
              <w:spacing w:after="0" w:line="264" w:lineRule="auto"/>
            </w:pPr>
            <w:r>
              <w:rPr>
                <w:rFonts w:ascii="Calibri" w:hAnsi="Calibri"/>
                <w:color w:val="243447"/>
                <w:sz w:val="18"/>
              </w:rPr>
              <w:t>SAML_SP_ENTITY_ID, default APP_URL/saml2/metadata</w:t>
            </w:r>
          </w:p>
        </w:tc>
        <w:tc>
          <w:tcPr>
            <w:tcW w:type="dxa" w:w="3760"/>
            <w:tcMar>
              <w:top w:w="80" w:type="dxa"/>
              <w:start w:w="120" w:type="dxa"/>
              <w:bottom w:w="80" w:type="dxa"/>
              <w:end w:w="120" w:type="dxa"/>
            </w:tcMar>
            <w:vAlign w:val="center"/>
          </w:tcPr>
          <w:p>
            <w:pPr>
              <w:spacing w:after="0" w:line="264" w:lineRule="auto"/>
            </w:pPr>
            <w:r>
              <w:rPr>
                <w:rFonts w:ascii="Calibri" w:hAnsi="Calibri"/>
                <w:color w:val="243447"/>
                <w:sz w:val="18"/>
              </w:rPr>
              <w:t>Metadata, AuthnRequest Issuer, audience validation, OneLogin settings.</w:t>
            </w:r>
          </w:p>
        </w:tc>
      </w:tr>
      <w:tr>
        <w:trPr/>
        <w:tc>
          <w:tcPr>
            <w:tcW w:type="dxa" w:w="2000"/>
            <w:tcMar>
              <w:top w:w="80" w:type="dxa"/>
              <w:start w:w="120" w:type="dxa"/>
              <w:bottom w:w="80" w:type="dxa"/>
              <w:end w:w="120" w:type="dxa"/>
            </w:tcMar>
            <w:vAlign w:val="center"/>
          </w:tcPr>
          <w:p>
            <w:pPr>
              <w:spacing w:after="0" w:line="264" w:lineRule="auto"/>
            </w:pPr>
            <w:r>
              <w:rPr>
                <w:rFonts w:ascii="Calibri" w:hAnsi="Calibri"/>
                <w:color w:val="243447"/>
                <w:sz w:val="18"/>
              </w:rPr>
              <w:t>ACS URL</w:t>
            </w:r>
          </w:p>
        </w:tc>
        <w:tc>
          <w:tcPr>
            <w:tcW w:type="dxa" w:w="3600"/>
            <w:tcMar>
              <w:top w:w="80" w:type="dxa"/>
              <w:start w:w="120" w:type="dxa"/>
              <w:bottom w:w="80" w:type="dxa"/>
              <w:end w:w="120" w:type="dxa"/>
            </w:tcMar>
            <w:vAlign w:val="center"/>
          </w:tcPr>
          <w:p>
            <w:pPr>
              <w:spacing w:after="0" w:line="264" w:lineRule="auto"/>
            </w:pPr>
            <w:r>
              <w:rPr>
                <w:rFonts w:ascii="Calibri" w:hAnsi="Calibri"/>
                <w:color w:val="243447"/>
                <w:sz w:val="18"/>
              </w:rPr>
              <w:t>Laravel url('/saml2/acs')</w:t>
            </w:r>
          </w:p>
        </w:tc>
        <w:tc>
          <w:tcPr>
            <w:tcW w:type="dxa" w:w="3760"/>
            <w:tcMar>
              <w:top w:w="80" w:type="dxa"/>
              <w:start w:w="120" w:type="dxa"/>
              <w:bottom w:w="80" w:type="dxa"/>
              <w:end w:w="120" w:type="dxa"/>
            </w:tcMar>
            <w:vAlign w:val="center"/>
          </w:tcPr>
          <w:p>
            <w:pPr>
              <w:spacing w:after="0" w:line="264" w:lineRule="auto"/>
            </w:pPr>
            <w:r>
              <w:rPr>
                <w:rFonts w:ascii="Calibri" w:hAnsi="Calibri"/>
                <w:color w:val="243447"/>
                <w:sz w:val="18"/>
              </w:rPr>
              <w:t>Metadata, AuthnRequest, recipient/destination validation.</w:t>
            </w:r>
          </w:p>
        </w:tc>
      </w:tr>
      <w:tr>
        <w:trPr/>
        <w:tc>
          <w:tcPr>
            <w:tcW w:type="dxa" w:w="2000"/>
            <w:tcMar>
              <w:top w:w="80" w:type="dxa"/>
              <w:start w:w="120" w:type="dxa"/>
              <w:bottom w:w="80" w:type="dxa"/>
              <w:end w:w="120" w:type="dxa"/>
            </w:tcMar>
            <w:vAlign w:val="center"/>
          </w:tcPr>
          <w:p>
            <w:pPr>
              <w:spacing w:after="0" w:line="264" w:lineRule="auto"/>
            </w:pPr>
            <w:r>
              <w:rPr>
                <w:rFonts w:ascii="Calibri" w:hAnsi="Calibri"/>
                <w:color w:val="243447"/>
                <w:sz w:val="18"/>
              </w:rPr>
              <w:t>IdP Entity ID</w:t>
            </w:r>
          </w:p>
        </w:tc>
        <w:tc>
          <w:tcPr>
            <w:tcW w:type="dxa" w:w="3600"/>
            <w:tcMar>
              <w:top w:w="80" w:type="dxa"/>
              <w:start w:w="120" w:type="dxa"/>
              <w:bottom w:w="80" w:type="dxa"/>
              <w:end w:w="120" w:type="dxa"/>
            </w:tcMar>
            <w:vAlign w:val="center"/>
          </w:tcPr>
          <w:p>
            <w:pPr>
              <w:spacing w:after="0" w:line="264" w:lineRule="auto"/>
            </w:pPr>
            <w:r>
              <w:rPr>
                <w:rFonts w:ascii="Calibri" w:hAnsi="Calibri"/>
                <w:color w:val="243447"/>
                <w:sz w:val="18"/>
              </w:rPr>
              <w:t>Active saml_configurations.entity_id</w:t>
            </w:r>
          </w:p>
        </w:tc>
        <w:tc>
          <w:tcPr>
            <w:tcW w:type="dxa" w:w="3760"/>
            <w:tcMar>
              <w:top w:w="80" w:type="dxa"/>
              <w:start w:w="120" w:type="dxa"/>
              <w:bottom w:w="80" w:type="dxa"/>
              <w:end w:w="120" w:type="dxa"/>
            </w:tcMar>
            <w:vAlign w:val="center"/>
          </w:tcPr>
          <w:p>
            <w:pPr>
              <w:spacing w:after="0" w:line="264" w:lineRule="auto"/>
            </w:pPr>
            <w:r>
              <w:rPr>
                <w:rFonts w:ascii="Calibri" w:hAnsi="Calibri"/>
                <w:color w:val="243447"/>
                <w:sz w:val="18"/>
              </w:rPr>
              <w:t>Issuer validation and OneLogin IdP settings.</w:t>
            </w:r>
          </w:p>
        </w:tc>
      </w:tr>
      <w:tr>
        <w:trPr/>
        <w:tc>
          <w:tcPr>
            <w:tcW w:type="dxa" w:w="2000"/>
            <w:tcMar>
              <w:top w:w="80" w:type="dxa"/>
              <w:start w:w="120" w:type="dxa"/>
              <w:bottom w:w="80" w:type="dxa"/>
              <w:end w:w="120" w:type="dxa"/>
            </w:tcMar>
            <w:vAlign w:val="center"/>
          </w:tcPr>
          <w:p>
            <w:pPr>
              <w:spacing w:after="0" w:line="264" w:lineRule="auto"/>
            </w:pPr>
            <w:r>
              <w:rPr>
                <w:rFonts w:ascii="Calibri" w:hAnsi="Calibri"/>
                <w:color w:val="243447"/>
                <w:sz w:val="18"/>
              </w:rPr>
              <w:t>IdP SSO/SLO</w:t>
            </w:r>
          </w:p>
        </w:tc>
        <w:tc>
          <w:tcPr>
            <w:tcW w:type="dxa" w:w="3600"/>
            <w:tcMar>
              <w:top w:w="80" w:type="dxa"/>
              <w:start w:w="120" w:type="dxa"/>
              <w:bottom w:w="80" w:type="dxa"/>
              <w:end w:w="120" w:type="dxa"/>
            </w:tcMar>
            <w:vAlign w:val="center"/>
          </w:tcPr>
          <w:p>
            <w:pPr>
              <w:spacing w:after="0" w:line="264" w:lineRule="auto"/>
            </w:pPr>
            <w:r>
              <w:rPr>
                <w:rFonts w:ascii="Calibri" w:hAnsi="Calibri"/>
                <w:color w:val="243447"/>
                <w:sz w:val="18"/>
              </w:rPr>
              <w:t>Active saml_configurations URLs</w:t>
            </w:r>
          </w:p>
        </w:tc>
        <w:tc>
          <w:tcPr>
            <w:tcW w:type="dxa" w:w="3760"/>
            <w:tcMar>
              <w:top w:w="80" w:type="dxa"/>
              <w:start w:w="120" w:type="dxa"/>
              <w:bottom w:w="80" w:type="dxa"/>
              <w:end w:w="120" w:type="dxa"/>
            </w:tcMar>
            <w:vAlign w:val="center"/>
          </w:tcPr>
          <w:p>
            <w:pPr>
              <w:spacing w:after="0" w:line="264" w:lineRule="auto"/>
            </w:pPr>
            <w:r>
              <w:rPr>
                <w:rFonts w:ascii="Calibri" w:hAnsi="Calibri"/>
                <w:color w:val="243447"/>
                <w:sz w:val="18"/>
              </w:rPr>
              <w:t>Redirect destination and library settings.</w:t>
            </w:r>
          </w:p>
        </w:tc>
      </w:tr>
      <w:tr>
        <w:trPr/>
        <w:tc>
          <w:tcPr>
            <w:tcW w:type="dxa" w:w="2000"/>
            <w:tcMar>
              <w:top w:w="80" w:type="dxa"/>
              <w:start w:w="120" w:type="dxa"/>
              <w:bottom w:w="80" w:type="dxa"/>
              <w:end w:w="120" w:type="dxa"/>
            </w:tcMar>
            <w:vAlign w:val="center"/>
          </w:tcPr>
          <w:p>
            <w:pPr>
              <w:spacing w:after="0" w:line="264" w:lineRule="auto"/>
            </w:pPr>
            <w:r>
              <w:rPr>
                <w:rFonts w:ascii="Calibri" w:hAnsi="Calibri"/>
                <w:color w:val="243447"/>
                <w:sz w:val="18"/>
              </w:rPr>
              <w:t>IdP certificate</w:t>
            </w:r>
          </w:p>
        </w:tc>
        <w:tc>
          <w:tcPr>
            <w:tcW w:type="dxa" w:w="3600"/>
            <w:tcMar>
              <w:top w:w="80" w:type="dxa"/>
              <w:start w:w="120" w:type="dxa"/>
              <w:bottom w:w="80" w:type="dxa"/>
              <w:end w:w="120" w:type="dxa"/>
            </w:tcMar>
            <w:vAlign w:val="center"/>
          </w:tcPr>
          <w:p>
            <w:pPr>
              <w:spacing w:after="0" w:line="264" w:lineRule="auto"/>
            </w:pPr>
            <w:r>
              <w:rPr>
                <w:rFonts w:ascii="Calibri" w:hAnsi="Calibri"/>
                <w:color w:val="243447"/>
                <w:sz w:val="18"/>
              </w:rPr>
              <w:t>Active saml_configurations.x509_cert</w:t>
            </w:r>
          </w:p>
        </w:tc>
        <w:tc>
          <w:tcPr>
            <w:tcW w:type="dxa" w:w="3760"/>
            <w:tcMar>
              <w:top w:w="80" w:type="dxa"/>
              <w:start w:w="120" w:type="dxa"/>
              <w:bottom w:w="80" w:type="dxa"/>
              <w:end w:w="120" w:type="dxa"/>
            </w:tcMar>
            <w:vAlign w:val="center"/>
          </w:tcPr>
          <w:p>
            <w:pPr>
              <w:spacing w:after="0" w:line="264" w:lineRule="auto"/>
            </w:pPr>
            <w:r>
              <w:rPr>
                <w:rFonts w:ascii="Calibri" w:hAnsi="Calibri"/>
                <w:color w:val="243447"/>
                <w:sz w:val="18"/>
              </w:rPr>
              <w:t>SAML signature validation.</w:t>
            </w:r>
          </w:p>
        </w:tc>
      </w:tr>
      <w:tr>
        <w:trPr/>
        <w:tc>
          <w:tcPr>
            <w:tcW w:type="dxa" w:w="2000"/>
            <w:tcMar>
              <w:top w:w="80" w:type="dxa"/>
              <w:start w:w="120" w:type="dxa"/>
              <w:bottom w:w="80" w:type="dxa"/>
              <w:end w:w="120" w:type="dxa"/>
            </w:tcMar>
            <w:vAlign w:val="center"/>
          </w:tcPr>
          <w:p>
            <w:pPr>
              <w:spacing w:after="0" w:line="264" w:lineRule="auto"/>
            </w:pPr>
            <w:r>
              <w:rPr>
                <w:rFonts w:ascii="Calibri" w:hAnsi="Calibri"/>
                <w:color w:val="243447"/>
                <w:sz w:val="18"/>
              </w:rPr>
              <w:t>TTL / skew</w:t>
            </w:r>
          </w:p>
        </w:tc>
        <w:tc>
          <w:tcPr>
            <w:tcW w:type="dxa" w:w="3600"/>
            <w:tcMar>
              <w:top w:w="80" w:type="dxa"/>
              <w:start w:w="120" w:type="dxa"/>
              <w:bottom w:w="80" w:type="dxa"/>
              <w:end w:w="120" w:type="dxa"/>
            </w:tcMar>
            <w:vAlign w:val="center"/>
          </w:tcPr>
          <w:p>
            <w:pPr>
              <w:spacing w:after="0" w:line="264" w:lineRule="auto"/>
            </w:pPr>
            <w:r>
              <w:rPr>
                <w:rFonts w:ascii="Calibri" w:hAnsi="Calibri"/>
                <w:color w:val="243447"/>
                <w:sz w:val="18"/>
              </w:rPr>
              <w:t>SAML_ASSERTION_TTL_SECONDS / SAML_CLOCK_SKEW_SECONDS</w:t>
            </w:r>
          </w:p>
        </w:tc>
        <w:tc>
          <w:tcPr>
            <w:tcW w:type="dxa" w:w="3760"/>
            <w:tcMar>
              <w:top w:w="80" w:type="dxa"/>
              <w:start w:w="120" w:type="dxa"/>
              <w:bottom w:w="80" w:type="dxa"/>
              <w:end w:w="120" w:type="dxa"/>
            </w:tcMar>
            <w:vAlign w:val="center"/>
          </w:tcPr>
          <w:p>
            <w:pPr>
              <w:spacing w:after="0" w:line="264" w:lineRule="auto"/>
            </w:pPr>
            <w:r>
              <w:rPr>
                <w:rFonts w:ascii="Calibri" w:hAnsi="Calibri"/>
                <w:color w:val="243447"/>
                <w:sz w:val="18"/>
              </w:rPr>
              <w:t>Request/replay expiry and assertion timing.</w:t>
            </w:r>
          </w:p>
        </w:tc>
      </w:tr>
    </w:tbl>
    <w:p>
      <w:pPr>
        <w:spacing w:after="40"/>
      </w:pPr>
    </w:p>
    <w:p>
      <w:pPr>
        <w:pStyle w:val="Heading1"/>
      </w:pPr>
      <w:r>
        <w:t>Appendix B · Known gaps and recommended backlog</w:t>
      </w:r>
    </w:p>
    <w:p>
      <w:pPr>
        <w:pStyle w:val="ListBullet"/>
        <w:spacing w:after="80" w:line="300" w:lineRule="auto"/>
      </w:pPr>
      <w:r>
        <w:rPr>
          <w:rFonts w:ascii="Calibri" w:hAnsi="Calibri"/>
          <w:color w:val="243447"/>
          <w:sz w:val="22"/>
        </w:rPr>
        <w:t>P0: Separate SP signing keys/certificates from IdP trust certificates; do not publish the IdP certificate as an SP signing key.</w:t>
      </w:r>
    </w:p>
    <w:p>
      <w:pPr>
        <w:pStyle w:val="ListBullet"/>
        <w:spacing w:after="80" w:line="300" w:lineRule="auto"/>
      </w:pPr>
      <w:r>
        <w:rPr>
          <w:rFonts w:ascii="Calibri" w:hAnsi="Calibri"/>
          <w:color w:val="243447"/>
          <w:sz w:val="22"/>
        </w:rPr>
        <w:t>P0: If metadata declares AuthnRequestsSigned=true, implement correct Redirect-binding signing and validate it with the IdP.</w:t>
      </w:r>
    </w:p>
    <w:p>
      <w:pPr>
        <w:pStyle w:val="ListBullet"/>
        <w:spacing w:after="80" w:line="300" w:lineRule="auto"/>
      </w:pPr>
      <w:r>
        <w:rPr>
          <w:rFonts w:ascii="Calibri" w:hAnsi="Calibri"/>
          <w:color w:val="243447"/>
          <w:sz w:val="22"/>
        </w:rPr>
        <w:t>P1: Align configurable signature requirements with the OneLogin security options; document whether response, assertion, or both must be signed.</w:t>
      </w:r>
    </w:p>
    <w:p>
      <w:pPr>
        <w:pStyle w:val="ListBullet"/>
        <w:spacing w:after="80" w:line="300" w:lineRule="auto"/>
      </w:pPr>
      <w:r>
        <w:rPr>
          <w:rFonts w:ascii="Calibri" w:hAnsi="Calibri"/>
          <w:color w:val="243447"/>
          <w:sz w:val="22"/>
        </w:rPr>
        <w:t>P1: Implement full SAML Single Logout only if required, including LogoutRequest/LogoutResponse validation and session correlation.</w:t>
      </w:r>
    </w:p>
    <w:p>
      <w:pPr>
        <w:pStyle w:val="ListBullet"/>
        <w:spacing w:after="80" w:line="300" w:lineRule="auto"/>
      </w:pPr>
      <w:r>
        <w:rPr>
          <w:rFonts w:ascii="Calibri" w:hAnsi="Calibri"/>
          <w:color w:val="243447"/>
          <w:sz w:val="22"/>
        </w:rPr>
        <w:t>P1: Add certificate-expiry monitoring and a rollover strategy that accepts old and new signing certificates during transition.</w:t>
      </w:r>
    </w:p>
    <w:p>
      <w:pPr>
        <w:pStyle w:val="ListBullet"/>
        <w:spacing w:after="80" w:line="300" w:lineRule="auto"/>
      </w:pPr>
      <w:r>
        <w:rPr>
          <w:rFonts w:ascii="Calibri" w:hAnsi="Calibri"/>
          <w:color w:val="243447"/>
          <w:sz w:val="22"/>
        </w:rPr>
        <w:t>P2: Add scheduled replay-record cleanup and operational dashboards/alerts for accepted and rejected events.</w:t>
      </w:r>
    </w:p>
    <w:p>
      <w:pPr>
        <w:pStyle w:val="ListBullet"/>
        <w:spacing w:after="80" w:line="300" w:lineRule="auto"/>
      </w:pPr>
      <w:r>
        <w:rPr>
          <w:rFonts w:ascii="Calibri" w:hAnsi="Calibri"/>
          <w:color w:val="243447"/>
          <w:sz w:val="22"/>
        </w:rPr>
        <w:t>P2: Add tests for wrong issuer/audience/destination, expired assertions, replay, inactive account, unsafe RelayState, and certificate rollover.</w:t>
      </w:r>
    </w:p>
    <w:p>
      <w:pPr>
        <w:pStyle w:val="ListBullet"/>
        <w:spacing w:after="80" w:line="300" w:lineRule="auto"/>
      </w:pPr>
      <w:r>
        <w:rPr>
          <w:rFonts w:ascii="Calibri" w:hAnsi="Calibri"/>
          <w:color w:val="243447"/>
          <w:sz w:val="22"/>
        </w:rPr>
        <w:t>P2: Consider encrypted assertions only when required by the risk assessment; key management and decryption must be designed explicitly.</w:t>
      </w:r>
    </w:p>
    <w:p>
      <w:pPr>
        <w:pStyle w:val="Heading1"/>
      </w:pPr>
      <w:r>
        <w:t>Appendix C · Repository reference</w:t>
      </w:r>
    </w:p>
    <w:p>
      <w:pPr>
        <w:keepLines w:val="0"/>
        <w:spacing w:after="120" w:line="300" w:lineRule="auto"/>
      </w:pPr>
      <w:r>
        <w:rPr>
          <w:rFonts w:ascii="Calibri" w:hAnsi="Calibri"/>
          <w:color w:val="243447"/>
          <w:sz w:val="22"/>
        </w:rPr>
        <w:t>This guide is based on the following implementation artifacts in the cebu_rooms2 workspace:</w:t>
      </w:r>
    </w:p>
    <w:p>
      <w:pPr>
        <w:pStyle w:val="ListBullet"/>
        <w:spacing w:after="80" w:line="300" w:lineRule="auto"/>
      </w:pPr>
      <w:r>
        <w:rPr>
          <w:rFonts w:ascii="Calibri" w:hAnsi="Calibri"/>
          <w:color w:val="243447"/>
          <w:sz w:val="22"/>
        </w:rPr>
        <w:t>app/Http/Controllers/SamlSpController.php</w:t>
      </w:r>
    </w:p>
    <w:p>
      <w:pPr>
        <w:pStyle w:val="ListBullet"/>
        <w:spacing w:after="80" w:line="300" w:lineRule="auto"/>
      </w:pPr>
      <w:r>
        <w:rPr>
          <w:rFonts w:ascii="Calibri" w:hAnsi="Calibri"/>
          <w:color w:val="243447"/>
          <w:sz w:val="22"/>
        </w:rPr>
        <w:t>app/Http/Controllers/SamlMetadataController.php</w:t>
      </w:r>
    </w:p>
    <w:p>
      <w:pPr>
        <w:pStyle w:val="ListBullet"/>
        <w:spacing w:after="80" w:line="300" w:lineRule="auto"/>
      </w:pPr>
      <w:r>
        <w:rPr>
          <w:rFonts w:ascii="Calibri" w:hAnsi="Calibri"/>
          <w:color w:val="243447"/>
          <w:sz w:val="22"/>
        </w:rPr>
        <w:t>app/Http/Controllers/SamlConfigurationController.php</w:t>
      </w:r>
    </w:p>
    <w:p>
      <w:pPr>
        <w:pStyle w:val="ListBullet"/>
        <w:spacing w:after="80" w:line="300" w:lineRule="auto"/>
      </w:pPr>
      <w:r>
        <w:rPr>
          <w:rFonts w:ascii="Calibri" w:hAnsi="Calibri"/>
          <w:color w:val="243447"/>
          <w:sz w:val="22"/>
        </w:rPr>
        <w:t>app/Models/SamlConfiguration.php, SamlReplayRecord.php, SamlAuditEvent.php</w:t>
      </w:r>
    </w:p>
    <w:p>
      <w:pPr>
        <w:pStyle w:val="ListBullet"/>
        <w:spacing w:after="80" w:line="300" w:lineRule="auto"/>
      </w:pPr>
      <w:r>
        <w:rPr>
          <w:rFonts w:ascii="Calibri" w:hAnsi="Calibri"/>
          <w:color w:val="243447"/>
          <w:sz w:val="22"/>
        </w:rPr>
        <w:t>database/migrations/2026_07_06_000001 through 000003</w:t>
      </w:r>
    </w:p>
    <w:p>
      <w:pPr>
        <w:pStyle w:val="ListBullet"/>
        <w:spacing w:after="80" w:line="300" w:lineRule="auto"/>
      </w:pPr>
      <w:r>
        <w:rPr>
          <w:rFonts w:ascii="Calibri" w:hAnsi="Calibri"/>
          <w:color w:val="243447"/>
          <w:sz w:val="22"/>
        </w:rPr>
        <w:t>database/seeders/AmsSamlConfigurationSeeder.php and SamlConfigurationSeeder.php</w:t>
      </w:r>
    </w:p>
    <w:p>
      <w:pPr>
        <w:pStyle w:val="ListBullet"/>
        <w:spacing w:after="80" w:line="300" w:lineRule="auto"/>
      </w:pPr>
      <w:r>
        <w:rPr>
          <w:rFonts w:ascii="Calibri" w:hAnsi="Calibri"/>
          <w:color w:val="243447"/>
          <w:sz w:val="22"/>
        </w:rPr>
        <w:t>resources/js/Pages/SamlIntegration.vue</w:t>
      </w:r>
    </w:p>
    <w:p>
      <w:pPr>
        <w:pStyle w:val="ListBullet"/>
        <w:spacing w:after="80" w:line="300" w:lineRule="auto"/>
      </w:pPr>
      <w:r>
        <w:rPr>
          <w:rFonts w:ascii="Calibri" w:hAnsi="Calibri"/>
          <w:color w:val="243447"/>
          <w:sz w:val="22"/>
        </w:rPr>
        <w:t>tests/Feature/SamlIntegrationTest.php</w:t>
      </w:r>
    </w:p>
    <w:p>
      <w:pPr>
        <w:pStyle w:val="ListBullet"/>
        <w:spacing w:after="80" w:line="300" w:lineRule="auto"/>
      </w:pPr>
      <w:r>
        <w:rPr>
          <w:rFonts w:ascii="Calibri" w:hAnsi="Calibri"/>
          <w:color w:val="243447"/>
          <w:sz w:val="22"/>
        </w:rPr>
        <w:t>docs/saml-ams-upcebu-configuration.md</w:t>
      </w:r>
    </w:p>
    <w:p>
      <w:pPr>
        <w:pStyle w:val="ListBullet"/>
        <w:spacing w:after="80" w:line="300" w:lineRule="auto"/>
      </w:pPr>
      <w:r>
        <w:rPr>
          <w:rFonts w:ascii="Calibri" w:hAnsi="Calibri"/>
          <w:color w:val="243447"/>
          <w:sz w:val="22"/>
        </w:rPr>
        <w:t>scripts/deploy-saml-fix.sh</w:t>
      </w:r>
    </w:p>
    <w:p>
      <w:pPr>
        <w:keepLines w:val="0"/>
        <w:spacing w:after="0" w:line="300" w:lineRule="auto"/>
        <w:jc w:val="center"/>
      </w:pPr>
      <w:r>
        <w:rPr>
          <w:rFonts w:ascii="Calibri" w:hAnsi="Calibri"/>
          <w:color w:val="243447"/>
          <w:sz w:val="22"/>
        </w:rPr>
        <w:t>End of guide.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7"/>
      </w:rPr>
      <w:t>CEBU ROOMS  |  SAML 2.0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