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0" w:line="240" w:lineRule="auto"/>
        <w:jc w:val="center"/>
      </w:pPr>
      <w:r>
        <w:rPr>
          <w:b/>
          <w:i w:val="0"/>
          <w:sz w:val="32"/>
        </w:rPr>
        <w:t>LAPORAN TUGAS BESAR</w:t>
      </w:r>
    </w:p>
    <w:p>
      <w:pPr>
        <w:spacing w:before="0" w:after="360" w:line="240" w:lineRule="auto"/>
        <w:jc w:val="center"/>
      </w:pPr>
      <w:r>
        <w:rPr>
          <w:b/>
          <w:i w:val="0"/>
          <w:sz w:val="28"/>
        </w:rPr>
        <w:t>DEEP LEARNING</w:t>
      </w:r>
    </w:p>
    <w:p>
      <w:pPr>
        <w:spacing w:before="0" w:after="0" w:line="240" w:lineRule="auto"/>
        <w:jc w:val="center"/>
      </w:pPr>
      <w:r>
        <w:rPr>
          <w:b/>
          <w:i w:val="0"/>
          <w:sz w:val="26"/>
        </w:rPr>
        <w:t>Perbandingan Machine Learning dan Deep Learning untuk Deteksi,</w:t>
      </w:r>
    </w:p>
    <w:p>
      <w:pPr>
        <w:spacing w:before="0" w:after="0" w:line="240" w:lineRule="auto"/>
        <w:jc w:val="center"/>
      </w:pPr>
      <w:r>
        <w:rPr>
          <w:b/>
          <w:i w:val="0"/>
          <w:sz w:val="26"/>
        </w:rPr>
        <w:t>Pemetaan Poligon, dan Perencanaan Respons Tumpahan Minyak</w:t>
      </w:r>
    </w:p>
    <w:p>
      <w:pPr>
        <w:spacing w:before="0" w:after="80" w:line="240" w:lineRule="auto"/>
        <w:jc w:val="center"/>
      </w:pPr>
      <w:r>
        <w:rPr>
          <w:b/>
          <w:i w:val="0"/>
          <w:sz w:val="26"/>
        </w:rPr>
        <w:t>pada Citra Sentinel-1 SAR di Browser</w:t>
      </w:r>
    </w:p>
    <w:p>
      <w:pPr>
        <w:spacing w:before="0" w:after="440" w:line="240" w:lineRule="auto"/>
        <w:jc w:val="center"/>
      </w:pPr>
      <w:r>
        <w:rPr>
          <w:b w:val="0"/>
          <w:i w:val="0"/>
          <w:sz w:val="22"/>
        </w:rPr>
        <w:t>(Kasus 38: Marine Oil Spill Detection and Mapping via Satellite SAR)</w:t>
      </w:r>
    </w:p>
    <w:p>
      <w:pPr>
        <w:spacing w:after="400"/>
        <w:jc w:val="center"/>
      </w:pPr>
      <w:r>
        <w:drawing>
          <wp:inline xmlns:a="http://schemas.openxmlformats.org/drawingml/2006/main" xmlns:pic="http://schemas.openxmlformats.org/drawingml/2006/picture">
            <wp:extent cx="1872000" cy="1834077"/>
            <wp:docPr id="1" name="Picture 1"/>
            <wp:cNvGraphicFramePr>
              <a:graphicFrameLocks noChangeAspect="1"/>
            </wp:cNvGraphicFramePr>
            <a:graphic>
              <a:graphicData uri="http://schemas.openxmlformats.org/drawingml/2006/picture">
                <pic:pic>
                  <pic:nvPicPr>
                    <pic:cNvPr id="0" name="logo_upnvjt.png"/>
                    <pic:cNvPicPr/>
                  </pic:nvPicPr>
                  <pic:blipFill>
                    <a:blip r:embed="rId9"/>
                    <a:stretch>
                      <a:fillRect/>
                    </a:stretch>
                  </pic:blipFill>
                  <pic:spPr>
                    <a:xfrm>
                      <a:off x="0" y="0"/>
                      <a:ext cx="1872000" cy="1834077"/>
                    </a:xfrm>
                    <a:prstGeom prst="rect"/>
                  </pic:spPr>
                </pic:pic>
              </a:graphicData>
            </a:graphic>
          </wp:inline>
        </w:drawing>
      </w:r>
    </w:p>
    <w:p>
      <w:pPr>
        <w:spacing w:before="0" w:after="40" w:line="240" w:lineRule="auto"/>
        <w:jc w:val="center"/>
      </w:pPr>
      <w:r>
        <w:rPr>
          <w:b w:val="0"/>
          <w:i w:val="0"/>
          <w:sz w:val="24"/>
        </w:rPr>
        <w:t>Disusun oleh:</w:t>
      </w:r>
    </w:p>
    <w:p>
      <w:pPr>
        <w:spacing w:before="0" w:after="120" w:line="240" w:lineRule="auto"/>
        <w:jc w:val="center"/>
      </w:pPr>
      <w:r>
        <w:rPr>
          <w:b/>
          <w:i w:val="0"/>
          <w:sz w:val="24"/>
        </w:rPr>
        <w:t>Kelompok 1 — CAYMAN</w:t>
      </w:r>
    </w:p>
    <w:tbl>
      <w:tblPr>
        <w:tblW w:type="auto" w:w="0"/>
        <w:jc w:val="center"/>
        <w:tblLayout w:type="fixed"/>
        <w:tblLook w:firstColumn="1" w:firstRow="1" w:lastColumn="0" w:lastRow="0" w:noHBand="0" w:noVBand="1" w:val="04A0"/>
      </w:tblPr>
      <w:tblGrid>
        <w:gridCol w:w="4536"/>
        <w:gridCol w:w="4536"/>
      </w:tblGrid>
      <w:tr>
        <w:tc>
          <w:tcPr>
            <w:tcW w:type="dxa" w:w="3969"/>
          </w:tcPr>
          <w:p>
            <w:pPr>
              <w:spacing w:after="20" w:line="240" w:lineRule="auto"/>
              <w:jc w:val="left"/>
            </w:pPr>
            <w:r>
              <w:rPr>
                <w:sz w:val="23"/>
              </w:rPr>
              <w:t>Ade Rizky Darmawan (Ketua)</w:t>
            </w:r>
          </w:p>
        </w:tc>
        <w:tc>
          <w:tcPr>
            <w:tcW w:type="dxa" w:w="2381"/>
          </w:tcPr>
          <w:p>
            <w:pPr>
              <w:spacing w:after="20" w:line="240" w:lineRule="auto"/>
              <w:jc w:val="left"/>
            </w:pPr>
            <w:r>
              <w:rPr>
                <w:sz w:val="23"/>
              </w:rPr>
              <w:t>NPM : 23083010080</w:t>
            </w:r>
          </w:p>
        </w:tc>
      </w:tr>
      <w:tr>
        <w:tc>
          <w:tcPr>
            <w:tcW w:type="dxa" w:w="3969"/>
          </w:tcPr>
          <w:p>
            <w:pPr>
              <w:spacing w:after="20" w:line="240" w:lineRule="auto"/>
              <w:jc w:val="left"/>
            </w:pPr>
            <w:r>
              <w:rPr>
                <w:sz w:val="23"/>
              </w:rPr>
              <w:t>Arkananta Daniswara Handoyo</w:t>
            </w:r>
          </w:p>
        </w:tc>
        <w:tc>
          <w:tcPr>
            <w:tcW w:type="dxa" w:w="2381"/>
          </w:tcPr>
          <w:p>
            <w:pPr>
              <w:spacing w:after="20" w:line="240" w:lineRule="auto"/>
              <w:jc w:val="left"/>
            </w:pPr>
            <w:r>
              <w:rPr>
                <w:sz w:val="23"/>
              </w:rPr>
              <w:t>NPM : 23083010059</w:t>
            </w:r>
          </w:p>
        </w:tc>
      </w:tr>
      <w:tr>
        <w:tc>
          <w:tcPr>
            <w:tcW w:type="dxa" w:w="3969"/>
          </w:tcPr>
          <w:p>
            <w:pPr>
              <w:spacing w:after="20" w:line="240" w:lineRule="auto"/>
              <w:jc w:val="left"/>
            </w:pPr>
            <w:r>
              <w:rPr>
                <w:sz w:val="23"/>
              </w:rPr>
              <w:t>Muhammad Arsyad Alzam</w:t>
            </w:r>
          </w:p>
        </w:tc>
        <w:tc>
          <w:tcPr>
            <w:tcW w:type="dxa" w:w="2381"/>
          </w:tcPr>
          <w:p>
            <w:pPr>
              <w:spacing w:after="20" w:line="240" w:lineRule="auto"/>
              <w:jc w:val="left"/>
            </w:pPr>
            <w:r>
              <w:rPr>
                <w:sz w:val="23"/>
              </w:rPr>
              <w:t>NPM : 23083010082</w:t>
            </w:r>
          </w:p>
        </w:tc>
      </w:tr>
      <w:tr>
        <w:tc>
          <w:tcPr>
            <w:tcW w:type="dxa" w:w="3969"/>
          </w:tcPr>
          <w:p>
            <w:pPr>
              <w:spacing w:after="20" w:line="240" w:lineRule="auto"/>
              <w:jc w:val="left"/>
            </w:pPr>
            <w:r>
              <w:rPr>
                <w:sz w:val="23"/>
              </w:rPr>
              <w:t>Choirul Amin</w:t>
            </w:r>
          </w:p>
        </w:tc>
        <w:tc>
          <w:tcPr>
            <w:tcW w:type="dxa" w:w="2381"/>
          </w:tcPr>
          <w:p>
            <w:pPr>
              <w:spacing w:after="20" w:line="240" w:lineRule="auto"/>
              <w:jc w:val="left"/>
            </w:pPr>
            <w:r>
              <w:rPr>
                <w:sz w:val="23"/>
              </w:rPr>
              <w:t>NPM : 22083010050</w:t>
            </w:r>
          </w:p>
        </w:tc>
      </w:tr>
      <w:tr>
        <w:tc>
          <w:tcPr>
            <w:tcW w:type="dxa" w:w="3969"/>
          </w:tcPr>
          <w:p>
            <w:pPr>
              <w:spacing w:after="20" w:line="240" w:lineRule="auto"/>
              <w:jc w:val="left"/>
            </w:pPr>
            <w:r>
              <w:rPr>
                <w:sz w:val="23"/>
              </w:rPr>
              <w:t>Hana Titania Sastrian</w:t>
            </w:r>
          </w:p>
        </w:tc>
        <w:tc>
          <w:tcPr>
            <w:tcW w:type="dxa" w:w="2381"/>
          </w:tcPr>
          <w:p>
            <w:pPr>
              <w:spacing w:after="20" w:line="240" w:lineRule="auto"/>
              <w:jc w:val="left"/>
            </w:pPr>
            <w:r>
              <w:rPr>
                <w:sz w:val="23"/>
              </w:rPr>
              <w:t>NPM : 23083010056</w:t>
            </w:r>
          </w:p>
        </w:tc>
      </w:tr>
      <w:tr>
        <w:tc>
          <w:tcPr>
            <w:tcW w:type="dxa" w:w="3969"/>
          </w:tcPr>
          <w:p>
            <w:pPr>
              <w:spacing w:after="20" w:line="240" w:lineRule="auto"/>
              <w:jc w:val="left"/>
            </w:pPr>
            <w:r>
              <w:rPr>
                <w:sz w:val="23"/>
              </w:rPr>
              <w:t>Zaydan Arief Athallah</w:t>
            </w:r>
          </w:p>
        </w:tc>
        <w:tc>
          <w:tcPr>
            <w:tcW w:type="dxa" w:w="2381"/>
          </w:tcPr>
          <w:p>
            <w:pPr>
              <w:spacing w:after="20" w:line="240" w:lineRule="auto"/>
              <w:jc w:val="left"/>
            </w:pPr>
            <w:r>
              <w:rPr>
                <w:sz w:val="23"/>
              </w:rPr>
              <w:t>NPM : 23083010063</w:t>
            </w:r>
          </w:p>
        </w:tc>
      </w:tr>
    </w:tbl>
    <w:p>
      <w:pPr>
        <w:spacing w:before="320" w:after="0" w:line="240" w:lineRule="auto"/>
        <w:jc w:val="center"/>
      </w:pPr>
      <w:r>
        <w:rPr>
          <w:b w:val="0"/>
          <w:i w:val="0"/>
          <w:sz w:val="24"/>
        </w:rPr>
        <w:t>Dosen Pengampu:</w:t>
      </w:r>
    </w:p>
    <w:p>
      <w:pPr>
        <w:spacing w:before="0" w:after="120" w:line="240" w:lineRule="auto"/>
        <w:jc w:val="center"/>
      </w:pPr>
      <w:r>
        <w:rPr>
          <w:b w:val="0"/>
          <w:i w:val="0"/>
          <w:sz w:val="24"/>
        </w:rPr>
        <w:t>Dr. I Gede Susrama Mas Diyasa, ST., MT.</w:t>
      </w:r>
    </w:p>
    <w:p>
      <w:pPr>
        <w:spacing w:before="0" w:after="0" w:line="240" w:lineRule="auto"/>
        <w:jc w:val="center"/>
      </w:pPr>
      <w:r>
        <w:rPr>
          <w:b w:val="0"/>
          <w:i w:val="0"/>
          <w:sz w:val="24"/>
        </w:rPr>
        <w:t>Dosen Praktisi:</w:t>
      </w:r>
    </w:p>
    <w:p>
      <w:pPr>
        <w:spacing w:before="0" w:after="520" w:line="240" w:lineRule="auto"/>
        <w:jc w:val="center"/>
      </w:pPr>
      <w:r>
        <w:rPr>
          <w:b w:val="0"/>
          <w:i w:val="0"/>
          <w:sz w:val="24"/>
        </w:rPr>
        <w:t>Kahpi Baiquni Arifani, S.Kom., M.Kom.</w:t>
      </w:r>
    </w:p>
    <w:p>
      <w:pPr>
        <w:spacing w:before="0" w:after="0" w:line="240" w:lineRule="auto"/>
        <w:jc w:val="center"/>
      </w:pPr>
      <w:r>
        <w:rPr>
          <w:b/>
          <w:i w:val="0"/>
          <w:sz w:val="24"/>
        </w:rPr>
        <w:t>PROGRAM STUDI SAINS DATA</w:t>
      </w:r>
    </w:p>
    <w:p>
      <w:pPr>
        <w:spacing w:before="0" w:after="0" w:line="240" w:lineRule="auto"/>
        <w:jc w:val="center"/>
      </w:pPr>
      <w:r>
        <w:rPr>
          <w:b/>
          <w:i w:val="0"/>
          <w:sz w:val="24"/>
        </w:rPr>
        <w:t>FAKULTAS ILMU KOMPUTER</w:t>
      </w:r>
    </w:p>
    <w:p>
      <w:pPr>
        <w:spacing w:before="0" w:after="0" w:line="240" w:lineRule="auto"/>
        <w:jc w:val="center"/>
      </w:pPr>
      <w:r>
        <w:rPr>
          <w:b/>
          <w:i w:val="0"/>
          <w:sz w:val="24"/>
        </w:rPr>
        <w:t>UPN “VETERAN” JAWA TIMUR</w:t>
      </w:r>
    </w:p>
    <w:p>
      <w:pPr>
        <w:spacing w:before="0" w:after="0" w:line="240" w:lineRule="auto"/>
        <w:jc w:val="center"/>
      </w:pPr>
      <w:r>
        <w:rPr>
          <w:b/>
          <w:i w:val="0"/>
          <w:sz w:val="24"/>
        </w:rPr>
        <w:t>2026</w:t>
      </w:r>
    </w:p>
    <w:p>
      <w:pPr>
        <w:sectPr>
          <w:pgSz w:w="11906" w:h="16838"/>
          <w:pgMar w:top="1417" w:right="1417" w:bottom="1417" w:left="1417" w:header="720" w:footer="720" w:gutter="0"/>
          <w:cols w:space="720"/>
          <w:docGrid w:linePitch="360"/>
        </w:sectPr>
      </w:pPr>
    </w:p>
    <w:p>
      <w:pPr>
        <w:spacing w:after="120"/>
        <w:jc w:val="center"/>
      </w:pPr>
      <w:r>
        <w:rPr>
          <w:b/>
          <w:sz w:val="30"/>
        </w:rPr>
        <w:t>Perbandingan Machine Learning dan Deep Learning untuk Deteksi, Pemetaan Poligon, dan Perencanaan Respons Tumpahan Minyak pada Citra Sentinel-1 SAR di Browser</w:t>
      </w:r>
    </w:p>
    <w:p>
      <w:pPr>
        <w:spacing w:after="40"/>
        <w:jc w:val="center"/>
      </w:pPr>
      <w:r>
        <w:rPr>
          <w:sz w:val="21"/>
        </w:rPr>
        <w:t xml:space="preserve">Kelompok 1 — </w:t>
      </w:r>
      <w:r>
        <w:rPr>
          <w:b/>
          <w:sz w:val="21"/>
        </w:rPr>
        <w:t>CAYMAN</w:t>
      </w:r>
      <w:r>
        <w:rPr>
          <w:sz w:val="21"/>
        </w:rPr>
        <w:t xml:space="preserve"> · Kasus 38: </w:t>
      </w:r>
      <w:r>
        <w:rPr>
          <w:i/>
          <w:sz w:val="21"/>
        </w:rPr>
        <w:t>Marine Oil Spill Detection and Mapping via Satellite SAR</w:t>
      </w:r>
    </w:p>
    <w:p>
      <w:pPr>
        <w:spacing w:after="200"/>
        <w:jc w:val="center"/>
      </w:pPr>
      <w:r>
        <w:rPr>
          <w:sz w:val="19"/>
        </w:rPr>
        <w:t>Kode &amp; dokumentasi: github.com/aderizkydarmawan/cayman-oil-spill-sar · Aplikasi web: cayman-kelompok1.vercel.app</w:t>
      </w:r>
    </w:p>
    <w:p>
      <w:pPr>
        <w:ind w:left="454" w:right="454"/>
        <w:jc w:val="both"/>
      </w:pPr>
      <w:r>
        <w:rPr>
          <w:b/>
          <w:sz w:val="20"/>
        </w:rPr>
        <w:t xml:space="preserve">Abstrak — </w:t>
      </w:r>
      <w:r>
        <w:rPr>
          <w:sz w:val="20"/>
        </w:rPr>
        <w:t xml:space="preserve">Tumpahan minyak dari fasilitas migas lepas pantai, pipa bawah laut, dan kapal tanker harus dipetakan secepat mungkin agar respons HSSE tepat sasaran. Penelitian ini membandingkan dua model </w:t>
      </w:r>
      <w:r>
        <w:rPr>
          <w:i/>
          <w:sz w:val="20"/>
        </w:rPr>
        <w:t>machine learning</w:t>
      </w:r>
      <w:r>
        <w:rPr>
          <w:sz w:val="20"/>
        </w:rPr>
        <w:t xml:space="preserve"> (Random Forest dan LightGBM dengan 13 fitur tekstur buatan) dan dua model </w:t>
      </w:r>
      <w:r>
        <w:rPr>
          <w:i/>
          <w:sz w:val="20"/>
        </w:rPr>
        <w:t>deep learning</w:t>
      </w:r>
      <w:r>
        <w:rPr>
          <w:sz w:val="20"/>
        </w:rPr>
        <w:t xml:space="preserve"> (U-Net Lite yang dilatih dari nol dan DeepLabV3+ MobileNetV2 pralatih) untuk segmentasi tumpahan minyak pada citra Sentinel-1 SAR dataset SOS (2.850 latih, 504 validasi, 839 uji). Semua model memakai split, aturan threshold (dipilih pada data validasi), dan metrik yang sama. Pada data uji, DeepLabV3+ mencapai Dice 0,867 dan IoU 0,765, disusul U-Net Lite (0,855), LightGBM (0,806), dan Random Forest (0,804), seluruhnya di atas baseline </w:t>
      </w:r>
      <w:r>
        <w:rPr>
          <w:i/>
          <w:sz w:val="20"/>
        </w:rPr>
        <w:t>dark-spot</w:t>
      </w:r>
      <w:r>
        <w:rPr>
          <w:sz w:val="20"/>
        </w:rPr>
        <w:t xml:space="preserve"> (0,726). Model DL unggul 5–6 poin Dice terutama karena precision yang lebih tinggi, sedangkan model ML sangat kecil (0,24–1,8 MB). Kelima model diekspor ke ONNX (DL dikuantisasi INT8 tanpa penurunan Dice yang berarti) dan dijalankan di browser. Aplikasi web juga mengubah mask menjadi poligon per slick, mensimulasikan arah dan laju penyebaran (drift 3% angin + arus, penyebaran Fay dan difusi Okubo), memperkirakan panjang </w:t>
      </w:r>
      <w:r>
        <w:rPr>
          <w:i/>
          <w:sz w:val="20"/>
        </w:rPr>
        <w:t>oil boom</w:t>
      </w:r>
      <w:r>
        <w:rPr>
          <w:sz w:val="20"/>
        </w:rPr>
        <w:t>, serta menghitung efisiensi biaya dan penurunan risiko HSSE akibat berkurangnya patroli lapangan.</w:t>
      </w:r>
    </w:p>
    <w:p>
      <w:pPr>
        <w:spacing w:after="160"/>
        <w:ind w:left="454" w:right="454"/>
      </w:pPr>
      <w:r>
        <w:rPr>
          <w:b/>
          <w:sz w:val="20"/>
        </w:rPr>
        <w:t xml:space="preserve">Kata kunci: </w:t>
      </w:r>
      <w:r>
        <w:rPr>
          <w:i/>
          <w:sz w:val="20"/>
        </w:rPr>
        <w:t>oil spill, SAR, Sentinel-1, segmentasi semantik, random forest, LightGBM, U-Net, DeepLabV3+, edge AI, oil boom, HSSE.</w:t>
      </w:r>
    </w:p>
    <w:p>
      <w:pPr>
        <w:pStyle w:val="Heading1"/>
      </w:pPr>
      <w:r>
        <w:t>1. Pendahuluan</w:t>
      </w:r>
    </w:p>
    <w:p>
      <w:pPr>
        <w:ind w:firstLine="425"/>
        <w:jc w:val="both"/>
      </w:pPr>
      <w:r>
        <w:t xml:space="preserve">Tumpahan minyak adalah salah satu ancaman terbesar bagi ekosistem laut, dan sebagian besar terkait aktivitas industri migas lepas pantai: semburan dari rig pengeboran, kecelakaan tanker, hingga buangan rutin kapal [6]. Pada pilar </w:t>
      </w:r>
      <w:r>
        <w:rPr>
          <w:b/>
        </w:rPr>
        <w:t>HSSE</w:t>
      </w:r>
      <w:r>
        <w:t xml:space="preserve"> (</w:t>
      </w:r>
      <w:r>
        <w:rPr>
          <w:i/>
        </w:rPr>
        <w:t>Health, Safety, Security and Environment</w:t>
      </w:r>
      <w:r>
        <w:t xml:space="preserve">), tim respons membutuhkan lokasi, luas, dan arah gerak tumpahan secepat mungkin untuk menentukan penempatan </w:t>
      </w:r>
      <w:r>
        <w:rPr>
          <w:i/>
        </w:rPr>
        <w:t>oil boom</w:t>
      </w:r>
      <w:r>
        <w:t xml:space="preserve">, </w:t>
      </w:r>
      <w:r>
        <w:rPr>
          <w:i/>
        </w:rPr>
        <w:t>skimmer</w:t>
      </w:r>
      <w:r>
        <w:t>, dan kapal penanggulangan [1]. Pengecekan manual melalui patroli udara atau laut mahal dan memaparkan personel pada uap hidrokarbon serta risiko kecelakaan.</w:t>
      </w:r>
    </w:p>
    <w:p>
      <w:pPr>
        <w:ind w:firstLine="425"/>
        <w:jc w:val="both"/>
      </w:pPr>
      <w:r>
        <w:t xml:space="preserve">Radar apertur sintetis (SAR) menjadi sensor utama pemantauan tumpahan minyak karena bekerja siang–malam dan menembus awan. Lapisan minyak meredam gelombang kapiler sehingga tampak sebagai area gelap pada citra SAR [1]. Liao dkk. menemukan lebih dari 80% kejadian tumpahan di Teluk Jiaozhou terjadi pada malam hari [8]. Tantangan utamanya adalah fenomena </w:t>
      </w:r>
      <w:r>
        <w:rPr>
          <w:i/>
        </w:rPr>
        <w:t>look-alike</w:t>
      </w:r>
      <w:r>
        <w:t xml:space="preserve"> (angin lemah, lapisan biogenik) yang juga tampak gelap [2], [4], [7]. Tabel 1 merangkum penelitian rujukan; angka antarpenelitian umumnya </w:t>
      </w:r>
      <w:r>
        <w:rPr>
          <w:b/>
        </w:rPr>
        <w:t>tidak dapat dibandingkan langsung</w:t>
      </w:r>
      <w:r>
        <w:t xml:space="preserve"> karena dataset dan protokolnya berbeda, kecuali Zhu dkk. [3] yang memperkenalkan dataset SOS yang juga kami gunakan.</w:t>
      </w:r>
    </w:p>
    <w:p>
      <w:pPr>
        <w:ind w:firstLine="425"/>
        <w:jc w:val="both"/>
      </w:pPr>
      <w:r>
        <w:t xml:space="preserve">Kontribusi proyek ini: (1) </w:t>
      </w:r>
      <w:r>
        <w:rPr>
          <w:i/>
        </w:rPr>
        <w:t>pipeline</w:t>
      </w:r>
      <w:r>
        <w:t xml:space="preserve"> yang diaudit, termasuk pemeriksaan kebocoran antar split; (2) perbandingan adil model ML dan DL pada protokol yang sama, termasuk uji lintas sensor; (3) aplikasi web dengan inferensi di sisi klien untuk kelima model, poligon per slick, dan GeoJSON; serta (4) simulasi arah dan laju penyebaran, estimasi kebutuhan </w:t>
      </w:r>
      <w:r>
        <w:rPr>
          <w:i/>
        </w:rPr>
        <w:t>oil boom</w:t>
      </w:r>
      <w:r>
        <w:t>, dan analisis biaya serta risiko HSSE.</w:t>
      </w:r>
    </w:p>
    <w:p>
      <w:pPr>
        <w:keepNext/>
        <w:spacing w:after="60" w:before="120"/>
        <w:jc w:val="center"/>
      </w:pPr>
      <w:r>
        <w:rPr>
          <w:b/>
          <w:sz w:val="19"/>
        </w:rPr>
        <w:t>Tabel 1.</w:t>
      </w:r>
      <w:r>
        <w:rPr>
          <w:sz w:val="19"/>
        </w:rPr>
        <w:t xml:space="preserve"> Ringkasan penelitian rujukan (state of the art).</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928"/>
            <w:shd w:val="clear" w:color="auto" w:fill="E7EEF7"/>
            <w:tcBorders>
              <w:top w:val="single" w:sz="10" w:color="000000" w:space="0"/>
              <w:bottom w:val="single" w:sz="6" w:color="000000" w:space="0"/>
            </w:tcBorders>
          </w:tcPr>
          <w:p>
            <w:pPr>
              <w:keepNext/>
              <w:spacing w:after="20" w:line="240" w:lineRule="auto"/>
              <w:jc w:val="left"/>
            </w:pPr>
            <w:r>
              <w:rPr>
                <w:b/>
                <w:sz w:val="17"/>
              </w:rPr>
              <w:t>Rujukan</w:t>
            </w:r>
          </w:p>
        </w:tc>
        <w:tc>
          <w:tcPr>
            <w:tcW w:type="dxa" w:w="2041"/>
            <w:shd w:val="clear" w:color="auto" w:fill="E7EEF7"/>
            <w:tcBorders>
              <w:top w:val="single" w:sz="10" w:color="000000" w:space="0"/>
              <w:bottom w:val="single" w:sz="6" w:color="000000" w:space="0"/>
            </w:tcBorders>
          </w:tcPr>
          <w:p>
            <w:pPr>
              <w:keepNext/>
              <w:spacing w:after="20" w:line="240" w:lineRule="auto"/>
              <w:jc w:val="center"/>
            </w:pPr>
            <w:r>
              <w:rPr>
                <w:b/>
                <w:sz w:val="17"/>
              </w:rPr>
              <w:t>Data</w:t>
            </w:r>
          </w:p>
        </w:tc>
        <w:tc>
          <w:tcPr>
            <w:tcW w:type="dxa" w:w="2494"/>
            <w:shd w:val="clear" w:color="auto" w:fill="E7EEF7"/>
            <w:tcBorders>
              <w:top w:val="single" w:sz="10" w:color="000000" w:space="0"/>
              <w:bottom w:val="single" w:sz="6" w:color="000000" w:space="0"/>
            </w:tcBorders>
          </w:tcPr>
          <w:p>
            <w:pPr>
              <w:keepNext/>
              <w:spacing w:after="20" w:line="240" w:lineRule="auto"/>
              <w:jc w:val="center"/>
            </w:pPr>
            <w:r>
              <w:rPr>
                <w:b/>
                <w:sz w:val="17"/>
              </w:rPr>
              <w:t>Metode</w:t>
            </w:r>
          </w:p>
        </w:tc>
        <w:tc>
          <w:tcPr>
            <w:tcW w:type="dxa" w:w="2608"/>
            <w:shd w:val="clear" w:color="auto" w:fill="E7EEF7"/>
            <w:tcBorders>
              <w:top w:val="single" w:sz="10" w:color="000000" w:space="0"/>
              <w:bottom w:val="single" w:sz="6" w:color="000000" w:space="0"/>
            </w:tcBorders>
          </w:tcPr>
          <w:p>
            <w:pPr>
              <w:keepNext/>
              <w:spacing w:after="20" w:line="240" w:lineRule="auto"/>
              <w:jc w:val="center"/>
            </w:pPr>
            <w:r>
              <w:rPr>
                <w:b/>
                <w:sz w:val="17"/>
              </w:rPr>
              <w:t>Hasil utama (sesuai paper)</w:t>
            </w:r>
          </w:p>
        </w:tc>
      </w:tr>
      <w:tr>
        <w:trPr>
          <w:cantSplit/>
        </w:trPr>
        <w:tc>
          <w:tcPr>
            <w:tcW w:type="dxa" w:w="1928"/>
          </w:tcPr>
          <w:p>
            <w:pPr>
              <w:keepNext/>
              <w:spacing w:after="20" w:line="240" w:lineRule="auto"/>
              <w:jc w:val="left"/>
            </w:pPr>
            <w:r>
              <w:rPr>
                <w:sz w:val="17"/>
              </w:rPr>
              <w:t>Zhu dkk., 2022 [3]</w:t>
            </w:r>
          </w:p>
        </w:tc>
        <w:tc>
          <w:tcPr>
            <w:tcW w:type="dxa" w:w="2041"/>
          </w:tcPr>
          <w:p>
            <w:pPr>
              <w:keepNext/>
              <w:spacing w:after="20" w:line="240" w:lineRule="auto"/>
              <w:jc w:val="center"/>
            </w:pPr>
            <w:r>
              <w:rPr>
                <w:sz w:val="17"/>
              </w:rPr>
              <w:t>SOS: ALOS PALSAR &amp; Sentinel-1A</w:t>
            </w:r>
          </w:p>
        </w:tc>
        <w:tc>
          <w:tcPr>
            <w:tcW w:type="dxa" w:w="2494"/>
          </w:tcPr>
          <w:p>
            <w:pPr>
              <w:keepNext/>
              <w:spacing w:after="20" w:line="240" w:lineRule="auto"/>
              <w:jc w:val="center"/>
            </w:pPr>
            <w:r>
              <w:rPr>
                <w:sz w:val="17"/>
              </w:rPr>
              <w:t>CBD-Net (multiskala, scSE, supervisi tepi)</w:t>
            </w:r>
          </w:p>
        </w:tc>
        <w:tc>
          <w:tcPr>
            <w:tcW w:type="dxa" w:w="2608"/>
          </w:tcPr>
          <w:p>
            <w:pPr>
              <w:keepNext/>
              <w:spacing w:after="20" w:line="240" w:lineRule="auto"/>
              <w:jc w:val="center"/>
            </w:pPr>
            <w:r>
              <w:rPr>
                <w:sz w:val="17"/>
              </w:rPr>
              <w:t>Sentinel-1: mIoU 83,42%, F1 87,87%</w:t>
            </w:r>
          </w:p>
        </w:tc>
      </w:tr>
      <w:tr>
        <w:trPr>
          <w:cantSplit/>
        </w:trPr>
        <w:tc>
          <w:tcPr>
            <w:tcW w:type="dxa" w:w="1928"/>
          </w:tcPr>
          <w:p>
            <w:pPr>
              <w:keepNext/>
              <w:spacing w:after="20" w:line="240" w:lineRule="auto"/>
              <w:jc w:val="left"/>
            </w:pPr>
            <w:r>
              <w:rPr>
                <w:sz w:val="17"/>
              </w:rPr>
              <w:t>Shaban dkk., 2021 [5]</w:t>
            </w:r>
          </w:p>
        </w:tc>
        <w:tc>
          <w:tcPr>
            <w:tcW w:type="dxa" w:w="2041"/>
          </w:tcPr>
          <w:p>
            <w:pPr>
              <w:keepNext/>
              <w:spacing w:after="20" w:line="240" w:lineRule="auto"/>
              <w:jc w:val="center"/>
            </w:pPr>
            <w:r>
              <w:rPr>
                <w:sz w:val="17"/>
              </w:rPr>
              <w:t>SAR, dataset tidak seimbang</w:t>
            </w:r>
          </w:p>
        </w:tc>
        <w:tc>
          <w:tcPr>
            <w:tcW w:type="dxa" w:w="2494"/>
          </w:tcPr>
          <w:p>
            <w:pPr>
              <w:keepNext/>
              <w:spacing w:after="20" w:line="240" w:lineRule="auto"/>
              <w:jc w:val="center"/>
            </w:pPr>
            <w:r>
              <w:rPr>
                <w:sz w:val="17"/>
              </w:rPr>
              <w:t>CNN 23 lapis + U-Net 5 tahap</w:t>
            </w:r>
          </w:p>
        </w:tc>
        <w:tc>
          <w:tcPr>
            <w:tcW w:type="dxa" w:w="2608"/>
          </w:tcPr>
          <w:p>
            <w:pPr>
              <w:keepNext/>
              <w:spacing w:after="20" w:line="240" w:lineRule="auto"/>
              <w:jc w:val="center"/>
            </w:pPr>
            <w:r>
              <w:rPr>
                <w:sz w:val="17"/>
              </w:rPr>
              <w:t>Dice 80%, precision 84%</w:t>
            </w:r>
          </w:p>
        </w:tc>
      </w:tr>
      <w:tr>
        <w:trPr>
          <w:cantSplit/>
        </w:trPr>
        <w:tc>
          <w:tcPr>
            <w:tcW w:type="dxa" w:w="1928"/>
          </w:tcPr>
          <w:p>
            <w:pPr>
              <w:keepNext/>
              <w:spacing w:after="20" w:line="240" w:lineRule="auto"/>
              <w:jc w:val="left"/>
            </w:pPr>
            <w:r>
              <w:rPr>
                <w:sz w:val="17"/>
              </w:rPr>
              <w:t>Hasimoto-Beltran dkk., 2023 [6]</w:t>
            </w:r>
          </w:p>
        </w:tc>
        <w:tc>
          <w:tcPr>
            <w:tcW w:type="dxa" w:w="2041"/>
          </w:tcPr>
          <w:p>
            <w:pPr>
              <w:keepNext/>
              <w:spacing w:after="20" w:line="240" w:lineRule="auto"/>
              <w:jc w:val="center"/>
            </w:pPr>
            <w:r>
              <w:rPr>
                <w:sz w:val="17"/>
              </w:rPr>
              <w:t>16 citra ENVISAT-ASAR</w:t>
            </w:r>
          </w:p>
        </w:tc>
        <w:tc>
          <w:tcPr>
            <w:tcW w:type="dxa" w:w="2494"/>
          </w:tcPr>
          <w:p>
            <w:pPr>
              <w:keepNext/>
              <w:spacing w:after="20" w:line="240" w:lineRule="auto"/>
              <w:jc w:val="center"/>
            </w:pPr>
            <w:r>
              <w:rPr>
                <w:sz w:val="17"/>
              </w:rPr>
              <w:t>M-DNN multi-kanal (U-Net + ResNet)</w:t>
            </w:r>
          </w:p>
        </w:tc>
        <w:tc>
          <w:tcPr>
            <w:tcW w:type="dxa" w:w="2608"/>
          </w:tcPr>
          <w:p>
            <w:pPr>
              <w:keepNext/>
              <w:spacing w:after="20" w:line="240" w:lineRule="auto"/>
              <w:jc w:val="center"/>
            </w:pPr>
            <w:r>
              <w:rPr>
                <w:sz w:val="17"/>
              </w:rPr>
              <w:t>F1 hingga 98,24% (dataset sendiri)</w:t>
            </w:r>
          </w:p>
        </w:tc>
      </w:tr>
      <w:tr>
        <w:trPr>
          <w:cantSplit/>
        </w:trPr>
        <w:tc>
          <w:tcPr>
            <w:tcW w:type="dxa" w:w="1928"/>
          </w:tcPr>
          <w:p>
            <w:pPr>
              <w:keepNext/>
              <w:spacing w:after="20" w:line="240" w:lineRule="auto"/>
              <w:jc w:val="left"/>
            </w:pPr>
            <w:r>
              <w:rPr>
                <w:sz w:val="17"/>
              </w:rPr>
              <w:t>Li dkk., 2023 [7]</w:t>
            </w:r>
          </w:p>
        </w:tc>
        <w:tc>
          <w:tcPr>
            <w:tcW w:type="dxa" w:w="2041"/>
          </w:tcPr>
          <w:p>
            <w:pPr>
              <w:keepNext/>
              <w:spacing w:after="20" w:line="240" w:lineRule="auto"/>
              <w:jc w:val="center"/>
            </w:pPr>
            <w:r>
              <w:rPr>
                <w:sz w:val="17"/>
              </w:rPr>
              <w:t>Sentinel-1</w:t>
            </w:r>
          </w:p>
        </w:tc>
        <w:tc>
          <w:tcPr>
            <w:tcW w:type="dxa" w:w="2494"/>
          </w:tcPr>
          <w:p>
            <w:pPr>
              <w:keepNext/>
              <w:spacing w:after="20" w:line="240" w:lineRule="auto"/>
              <w:jc w:val="center"/>
            </w:pPr>
            <w:r>
              <w:rPr>
                <w:sz w:val="17"/>
              </w:rPr>
              <w:t xml:space="preserve">Algoritma DL </w:t>
            </w:r>
            <w:r>
              <w:rPr>
                <w:i/>
                <w:sz w:val="17"/>
              </w:rPr>
              <w:t>self-evolving</w:t>
            </w:r>
          </w:p>
        </w:tc>
        <w:tc>
          <w:tcPr>
            <w:tcW w:type="dxa" w:w="2608"/>
          </w:tcPr>
          <w:p>
            <w:pPr>
              <w:keepNext/>
              <w:spacing w:after="20" w:line="240" w:lineRule="auto"/>
              <w:jc w:val="center"/>
            </w:pPr>
            <w:r>
              <w:rPr>
                <w:sz w:val="17"/>
              </w:rPr>
              <w:t>F1 0,8423 → 0,8896 (21 siklus)</w:t>
            </w:r>
          </w:p>
        </w:tc>
      </w:tr>
      <w:tr>
        <w:trPr>
          <w:cantSplit/>
        </w:trPr>
        <w:tc>
          <w:tcPr>
            <w:tcW w:type="dxa" w:w="1928"/>
          </w:tcPr>
          <w:p>
            <w:pPr>
              <w:keepNext/>
              <w:spacing w:after="20" w:line="240" w:lineRule="auto"/>
              <w:jc w:val="left"/>
            </w:pPr>
            <w:r>
              <w:rPr>
                <w:sz w:val="17"/>
              </w:rPr>
              <w:t>Liao dkk., 2023 [8]</w:t>
            </w:r>
          </w:p>
        </w:tc>
        <w:tc>
          <w:tcPr>
            <w:tcW w:type="dxa" w:w="2041"/>
          </w:tcPr>
          <w:p>
            <w:pPr>
              <w:keepNext/>
              <w:spacing w:after="20" w:line="240" w:lineRule="auto"/>
              <w:jc w:val="center"/>
            </w:pPr>
            <w:r>
              <w:rPr>
                <w:sz w:val="17"/>
              </w:rPr>
              <w:t>35 citra Sentinel-1 PolSAR</w:t>
            </w:r>
          </w:p>
        </w:tc>
        <w:tc>
          <w:tcPr>
            <w:tcW w:type="dxa" w:w="2494"/>
          </w:tcPr>
          <w:p>
            <w:pPr>
              <w:keepNext/>
              <w:spacing w:after="20" w:line="240" w:lineRule="auto"/>
              <w:jc w:val="center"/>
            </w:pPr>
            <w:r>
              <w:rPr>
                <w:sz w:val="17"/>
              </w:rPr>
              <w:t>DeepLabv3+ + fitur polarimetrik</w:t>
            </w:r>
          </w:p>
        </w:tc>
        <w:tc>
          <w:tcPr>
            <w:tcW w:type="dxa" w:w="2608"/>
          </w:tcPr>
          <w:p>
            <w:pPr>
              <w:keepNext/>
              <w:spacing w:after="20" w:line="240" w:lineRule="auto"/>
              <w:jc w:val="center"/>
            </w:pPr>
            <w:r>
              <w:rPr>
                <w:sz w:val="17"/>
              </w:rPr>
              <w:t>OA 0,9812; MIoU 0,9599</w:t>
            </w:r>
          </w:p>
        </w:tc>
      </w:tr>
      <w:tr>
        <w:trPr>
          <w:cantSplit/>
        </w:trPr>
        <w:tc>
          <w:tcPr>
            <w:tcW w:type="dxa" w:w="1928"/>
          </w:tcPr>
          <w:p>
            <w:pPr>
              <w:keepNext/>
              <w:spacing w:after="20" w:line="240" w:lineRule="auto"/>
              <w:jc w:val="left"/>
            </w:pPr>
            <w:r>
              <w:rPr>
                <w:sz w:val="17"/>
              </w:rPr>
              <w:t>Das dkk., 2024 [9]</w:t>
            </w:r>
          </w:p>
        </w:tc>
        <w:tc>
          <w:tcPr>
            <w:tcW w:type="dxa" w:w="2041"/>
          </w:tcPr>
          <w:p>
            <w:pPr>
              <w:keepNext/>
              <w:spacing w:after="20" w:line="240" w:lineRule="auto"/>
              <w:jc w:val="center"/>
            </w:pPr>
            <w:r>
              <w:rPr>
                <w:sz w:val="17"/>
              </w:rPr>
              <w:t>SAR, 5 kelas</w:t>
            </w:r>
          </w:p>
        </w:tc>
        <w:tc>
          <w:tcPr>
            <w:tcW w:type="dxa" w:w="2494"/>
          </w:tcPr>
          <w:p>
            <w:pPr>
              <w:keepNext/>
              <w:spacing w:after="20" w:line="240" w:lineRule="auto"/>
              <w:jc w:val="center"/>
            </w:pPr>
            <w:r>
              <w:rPr>
                <w:sz w:val="17"/>
              </w:rPr>
              <w:t>U-Net multi-backbone (EfficientNet-B3)</w:t>
            </w:r>
          </w:p>
        </w:tc>
        <w:tc>
          <w:tcPr>
            <w:tcW w:type="dxa" w:w="2608"/>
          </w:tcPr>
          <w:p>
            <w:pPr>
              <w:keepNext/>
              <w:spacing w:after="20" w:line="240" w:lineRule="auto"/>
              <w:jc w:val="center"/>
            </w:pPr>
            <w:r>
              <w:rPr>
                <w:sz w:val="17"/>
              </w:rPr>
              <w:t>mIoU 76,53%; IoU minyak 62,08%</w:t>
            </w:r>
          </w:p>
        </w:tc>
      </w:tr>
      <w:tr>
        <w:trPr>
          <w:cantSplit/>
        </w:trPr>
        <w:tc>
          <w:tcPr>
            <w:tcW w:type="dxa" w:w="1928"/>
            <w:tcBorders>
              <w:bottom w:val="single" w:sz="10" w:color="000000" w:space="0"/>
            </w:tcBorders>
          </w:tcPr>
          <w:p>
            <w:pPr>
              <w:spacing w:after="20" w:line="240" w:lineRule="auto"/>
              <w:jc w:val="left"/>
            </w:pPr>
            <w:r>
              <w:rPr>
                <w:sz w:val="17"/>
              </w:rPr>
              <w:t>Petalas dkk., 2025 [10]</w:t>
            </w:r>
          </w:p>
        </w:tc>
        <w:tc>
          <w:tcPr>
            <w:tcW w:type="dxa" w:w="2041"/>
            <w:tcBorders>
              <w:bottom w:val="single" w:sz="10" w:color="000000" w:space="0"/>
            </w:tcBorders>
          </w:tcPr>
          <w:p>
            <w:pPr>
              <w:spacing w:after="20" w:line="240" w:lineRule="auto"/>
              <w:jc w:val="center"/>
            </w:pPr>
            <w:r>
              <w:rPr>
                <w:sz w:val="17"/>
              </w:rPr>
              <w:t>Sentinel-1, Laut Aegea</w:t>
            </w:r>
          </w:p>
        </w:tc>
        <w:tc>
          <w:tcPr>
            <w:tcW w:type="dxa" w:w="2494"/>
            <w:tcBorders>
              <w:bottom w:val="single" w:sz="10" w:color="000000" w:space="0"/>
            </w:tcBorders>
          </w:tcPr>
          <w:p>
            <w:pPr>
              <w:spacing w:after="20" w:line="240" w:lineRule="auto"/>
              <w:jc w:val="center"/>
            </w:pPr>
            <w:r>
              <w:rPr>
                <w:sz w:val="17"/>
              </w:rPr>
              <w:t>U-Net operasional + model dispersi</w:t>
            </w:r>
          </w:p>
        </w:tc>
        <w:tc>
          <w:tcPr>
            <w:tcW w:type="dxa" w:w="2608"/>
            <w:tcBorders>
              <w:bottom w:val="single" w:sz="10" w:color="000000" w:space="0"/>
            </w:tcBorders>
          </w:tcPr>
          <w:p>
            <w:pPr>
              <w:spacing w:after="20" w:line="240" w:lineRule="auto"/>
              <w:jc w:val="center"/>
            </w:pPr>
            <w:r>
              <w:rPr>
                <w:sz w:val="17"/>
              </w:rPr>
              <w:t>IoU kelas minyak 0,30</w:t>
            </w:r>
          </w:p>
        </w:tc>
      </w:tr>
    </w:tbl>
    <w:p>
      <w:pPr>
        <w:spacing w:after="40"/>
      </w:pPr>
    </w:p>
    <w:p>
      <w:pPr>
        <w:pStyle w:val="Heading1"/>
      </w:pPr>
      <w:r>
        <w:t>2. Metodologi</w:t>
      </w:r>
    </w:p>
    <w:p>
      <w:pPr>
        <w:pStyle w:val="Heading2"/>
      </w:pPr>
      <w:r>
        <w:t>2.1 Dataset, audit, dan split</w:t>
      </w:r>
    </w:p>
    <w:p>
      <w:pPr>
        <w:ind w:firstLine="425"/>
        <w:jc w:val="both"/>
      </w:pPr>
      <w:r>
        <w:t xml:space="preserve">Dataset </w:t>
      </w:r>
      <w:r>
        <w:rPr>
          <w:i/>
        </w:rPr>
        <w:t>Deep-SAR Oil Spill</w:t>
      </w:r>
      <w:r>
        <w:t xml:space="preserve"> (SOS) [3] diunduh dari Kaggle melalui kagglehub [13] (lisensi CC BY 4.0). SOS berisi 8.070 pasangan citra–mask PNG 256×256 dari ALOS PALSAR (Teluk Meksiko; 3.101 latih / 776 uji) dan Sentinel-1A VV (Teluk Persia; 3.354 latih / 839 uji). Audit menemukan: semua pasangan cocok tanpa NaN/Inf; ketiga kanal RGB identik sehingga model memakai 1 kanal; label latih memiliki 2,2–2,5% piksel bernilai antara sehingga dibinerkan dengan aturan ≥128; tidak ada duplikat eksak, dan pemeriksaan </w:t>
      </w:r>
      <w:r>
        <w:rPr>
          <w:i/>
        </w:rPr>
        <w:t>near-duplicate</w:t>
      </w:r>
      <w:r>
        <w:t xml:space="preserve"> dengan </w:t>
      </w:r>
      <w:r>
        <w:rPr>
          <w:i/>
        </w:rPr>
        <w:t>average hash</w:t>
      </w:r>
      <w:r>
        <w:t xml:space="preserve"> terhadap 8 rotasi/flip hanya menemukan 9 citra uji yang mirip citra latih (dampaknya diuji di Subbab 3.1).</w:t>
      </w:r>
    </w:p>
    <w:p>
      <w:pPr>
        <w:ind w:firstLine="425"/>
        <w:jc w:val="both"/>
      </w:pPr>
      <w:r>
        <w:t xml:space="preserve">Eksperimen memakai </w:t>
      </w:r>
      <w:r>
        <w:rPr>
          <w:b/>
        </w:rPr>
        <w:t>Sentinel-1</w:t>
      </w:r>
      <w:r>
        <w:t xml:space="preserve"> (sampel terbanyak, label ambigu lebih sedikit, data terbuka). Data latih dibagi 2.850 latih dan 504 validasi (</w:t>
      </w:r>
      <w:r>
        <w:rPr>
          <w:i/>
        </w:rPr>
        <w:t>seed</w:t>
      </w:r>
      <w:r>
        <w:t xml:space="preserve"> 42) dengan mengelompokkan komponen </w:t>
      </w:r>
      <w:r>
        <w:rPr>
          <w:i/>
        </w:rPr>
        <w:t>near-duplicate</w:t>
      </w:r>
      <w:r>
        <w:t xml:space="preserve"> agar tidak terpisah; set uji 839 citra hanya dipakai untuk evaluasi akhir. Citra dinormalisasi </w:t>
      </w:r>
      <w:r>
        <w:rPr>
          <w:i/>
        </w:rPr>
        <w:t>z-score</w:t>
      </w:r>
      <w:r>
        <w:t xml:space="preserve"> x' = (x/255 − 0,3834)/0,2020 dengan statistik dari data latih. Augmentasi (8 rotasi/flip identik untuk citra dan mask, jitter kecerahan ±10%) hanya pada data latih.</w:t>
      </w:r>
    </w:p>
    <w:p>
      <w:pPr>
        <w:keepNext/>
        <w:spacing w:after="0"/>
        <w:jc w:val="center"/>
      </w:pPr>
      <w:r>
        <w:drawing>
          <wp:inline xmlns:a="http://schemas.openxmlformats.org/drawingml/2006/main" xmlns:pic="http://schemas.openxmlformats.org/drawingml/2006/picture">
            <wp:extent cx="5400000" cy="1828125"/>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5400000" cy="1828125"/>
                    </a:xfrm>
                    <a:prstGeom prst="rect"/>
                  </pic:spPr>
                </pic:pic>
              </a:graphicData>
            </a:graphic>
          </wp:inline>
        </w:drawing>
      </w:r>
    </w:p>
    <w:p>
      <w:pPr>
        <w:spacing w:after="160" w:before="60"/>
        <w:jc w:val="center"/>
      </w:pPr>
      <w:r>
        <w:rPr>
          <w:b/>
          <w:sz w:val="19"/>
        </w:rPr>
        <w:t>Gambar 1.</w:t>
      </w:r>
      <w:r>
        <w:rPr>
          <w:sz w:val="19"/>
        </w:rPr>
        <w:t xml:space="preserve"> Alur sistem, dari data hingga aplikasi web.</w:t>
      </w:r>
    </w:p>
    <w:p>
      <w:pPr>
        <w:pStyle w:val="Heading2"/>
      </w:pPr>
      <w:r>
        <w:t>2.2 Model Machine Learning dan Deep Learning</w:t>
      </w:r>
    </w:p>
    <w:p>
      <w:pPr>
        <w:pStyle w:val="ListBullet"/>
        <w:spacing w:after="40"/>
        <w:ind w:left="510"/>
        <w:jc w:val="both"/>
      </w:pPr>
      <w:r>
        <w:rPr>
          <w:b/>
        </w:rPr>
        <w:t>Random Forest</w:t>
      </w:r>
      <w:r>
        <w:t xml:space="preserve"> [15] dan </w:t>
      </w:r>
      <w:r>
        <w:rPr>
          <w:b/>
        </w:rPr>
        <w:t>LightGBM</w:t>
      </w:r>
      <w:r>
        <w:t xml:space="preserve"> [16] mengklasifikasi setiap piksel dari 13 fitur buatan tangan: intensitas; rata-rata lokal 5/11/21/41 piksel; simpangan baku lokal 5/11/21 (tekstur); gradien Sobel (tepi); kontras rata-rata 5 vs 41; selisih terhadap rata-rata citra; serta minimum dan maksimum lokal 11 piksel. Fitur ditulis sebagai modul PyTorch agar identik di notebook dan browser. Model dilatih pada 300 piksel acak per citra latih (855.000 baris) dengan ukuran dibatasi agar ringan di web: RF 20 pohon kedalaman 12, LightGBM 100 pohon 31 daun.</w:t>
      </w:r>
    </w:p>
    <w:p>
      <w:pPr>
        <w:pStyle w:val="ListBullet"/>
        <w:spacing w:after="40"/>
        <w:ind w:left="510"/>
        <w:jc w:val="both"/>
      </w:pPr>
      <w:r>
        <w:rPr>
          <w:b/>
        </w:rPr>
        <w:t>U-Net Lite</w:t>
      </w:r>
      <w:r>
        <w:t xml:space="preserve"> adalah U-Net [11] 4 level dengan kanal 16–256 (1,94 juta parameter) yang dilatih dari nol. </w:t>
      </w:r>
      <w:r>
        <w:rPr>
          <w:b/>
        </w:rPr>
        <w:t>DeepLabV3+</w:t>
      </w:r>
      <w:r>
        <w:t xml:space="preserve"> [17] memakai </w:t>
      </w:r>
      <w:r>
        <w:rPr>
          <w:i/>
        </w:rPr>
        <w:t>encoder</w:t>
      </w:r>
      <w:r>
        <w:t xml:space="preserve"> MobileNetV2 [18] pralatih ImageNet (4,38 juta parameter; bobot kanal pertama dijumlahkan menjadi 1 kanal). Keduanya dilatih dengan resep yang sama: loss 0,5·BCE + 0,5·Dice, AdamW (lr 10⁻³, </w:t>
      </w:r>
      <w:r>
        <w:rPr>
          <w:i/>
        </w:rPr>
        <w:t>weight decay</w:t>
      </w:r>
      <w:r>
        <w:t xml:space="preserve"> 10⁻⁴), jadwal </w:t>
      </w:r>
      <w:r>
        <w:rPr>
          <w:i/>
        </w:rPr>
        <w:t>cosine</w:t>
      </w:r>
      <w:r>
        <w:t xml:space="preserve"> 40 epoch, </w:t>
      </w:r>
      <w:r>
        <w:rPr>
          <w:i/>
        </w:rPr>
        <w:t>batch</w:t>
      </w:r>
      <w:r>
        <w:t xml:space="preserve"> 16, dan </w:t>
      </w:r>
      <w:r>
        <w:rPr>
          <w:i/>
        </w:rPr>
        <w:t>mixed precision</w:t>
      </w:r>
      <w:r>
        <w:t xml:space="preserve"> pada GPU Tesla T4 (Google Colab). Checkpoint terbaik dipilih dari Dice validasi.</w:t>
      </w:r>
    </w:p>
    <w:p>
      <w:pPr>
        <w:ind w:firstLine="425"/>
        <w:jc w:val="both"/>
      </w:pPr>
      <w:r>
        <w:t xml:space="preserve">Threshold setiap model dipilih melalui </w:t>
      </w:r>
      <w:r>
        <w:rPr>
          <w:i/>
        </w:rPr>
        <w:t>sweep</w:t>
      </w:r>
      <w:r>
        <w:t xml:space="preserve"> 0,20–0,80 pada data </w:t>
      </w:r>
      <w:r>
        <w:rPr>
          <w:b/>
        </w:rPr>
        <w:t>validasi</w:t>
      </w:r>
      <w:r>
        <w:t xml:space="preserve">. Metrik utama adalah Dice (F1 piksel), IoU, precision, recall, dan PR-AUC dengan agregasi global (TP/FP/FN/TN dijumlahkan dari semua piksel uji). Baseline </w:t>
      </w:r>
      <w:r>
        <w:rPr>
          <w:i/>
        </w:rPr>
        <w:t>dark-spot thresholding</w:t>
      </w:r>
      <w:r>
        <w:t xml:space="preserve"> (blur 7×7, intensitas &lt; 70; ambang dipilih pada data latih) disertakan, dan generalisasi lintas sensor diuji pada 776 citra PALSAR.</w:t>
      </w:r>
    </w:p>
    <w:p>
      <w:pPr>
        <w:pStyle w:val="Heading2"/>
      </w:pPr>
      <w:r>
        <w:t>2.3 Edge AI, poligon, dan simulasi respons</w:t>
      </w:r>
    </w:p>
    <w:p>
      <w:pPr>
        <w:ind w:firstLine="425"/>
        <w:jc w:val="both"/>
      </w:pPr>
      <w:r>
        <w:t xml:space="preserve">Model DL diekspor ke ONNX lalu dikuantisasi INT8 statis (QDQ per-kanal) [12] dengan kalibrasi 200 citra latih; varian web adalah varian terkecil yang penurunan Dice validasinya ≤ 0,005. Model ML diekspor sebagai satu graf ONNX (graf fitur + </w:t>
      </w:r>
      <w:r>
        <w:rPr>
          <w:i/>
        </w:rPr>
        <w:t>ensemble</w:t>
      </w:r>
      <w:r>
        <w:t xml:space="preserve"> pohon). Aplikasi web statis di Vercel menjalankan kelima model dengan onnxruntime-web [14] (WebAssembly multi-thread), sehingga citra pengguna tidak pernah dikirim ke server. Setelah inferensi, mask dipecah menjadi komponen terhubung, batas luar tiap slick ditelusuri lalu disederhanakan dengan Douglas–Peucker, sehingga diperoleh luas, keliling, dan poligon GeoJSON per slick.</w:t>
      </w:r>
    </w:p>
    <w:p>
      <w:pPr>
        <w:ind w:firstLine="425"/>
        <w:jc w:val="both"/>
      </w:pPr>
      <w:r>
        <w:t>Simulasi skenario (</w:t>
      </w:r>
      <w:r>
        <w:rPr>
          <w:i/>
        </w:rPr>
        <w:t>what-if</w:t>
      </w:r>
      <w:r>
        <w:t xml:space="preserve">) memproyeksikan poligon ke depan. </w:t>
      </w:r>
      <w:r>
        <w:rPr>
          <w:b/>
        </w:rPr>
        <w:t>Drift</w:t>
      </w:r>
      <w:r>
        <w:t xml:space="preserve">: kecepatan slick = 3% kecepatan angin + 100% arus permukaan, aturan praktis yang juga dipakai model trajektori NOAA GNOME [19]. </w:t>
      </w:r>
      <w:r>
        <w:rPr>
          <w:b/>
        </w:rPr>
        <w:t>Penyebaran</w:t>
      </w:r>
      <w:r>
        <w:t xml:space="preserve">: persamaan Fay [20] rezim gravitasi-viskos A ∝ ∛(Δ·g·V²/√ν)·√t, dengan volume V = luas × ketebalan menurut kode penampakan Bonn Agreement [21], ditambah difusi turbulen ΔA = 8πK·t dengan K dari hukum skala Okubo [22] (K = 0,0103 × L pangkat 1,15, dalam cm²/s, L = diameter slick dalam cm). </w:t>
      </w:r>
      <w:r>
        <w:rPr>
          <w:b/>
        </w:rPr>
        <w:t>Kebutuhan oil boom</w:t>
      </w:r>
      <w:r>
        <w:t xml:space="preserve"> = 1,3 × keliling </w:t>
      </w:r>
      <w:r>
        <w:rPr>
          <w:i/>
        </w:rPr>
        <w:t>convex hull</w:t>
      </w:r>
      <w:r>
        <w:t xml:space="preserve"> slick saat tim tiba, dengan peringatan bila kecepatan relatif &gt; 0,7 knot karena boom penahan mulai bocor [23].</w:t>
      </w:r>
    </w:p>
    <w:p>
      <w:pPr>
        <w:pStyle w:val="Heading1"/>
      </w:pPr>
      <w:r>
        <w:t>3. Hasil dan Pembahasan</w:t>
      </w:r>
    </w:p>
    <w:p>
      <w:pPr>
        <w:pStyle w:val="Heading2"/>
      </w:pPr>
      <w:r>
        <w:t>3.1 Perbandingan model pada set uji</w:t>
      </w:r>
    </w:p>
    <w:p>
      <w:pPr>
        <w:keepNext/>
        <w:spacing w:after="60" w:before="120"/>
        <w:jc w:val="center"/>
      </w:pPr>
      <w:r>
        <w:rPr>
          <w:b/>
          <w:sz w:val="19"/>
        </w:rPr>
        <w:t>Tabel 2.</w:t>
      </w:r>
      <w:r>
        <w:rPr>
          <w:sz w:val="19"/>
        </w:rPr>
        <w:t xml:space="preserve"> Hasil pada set uji Sentinel-1 (839 citra, agregasi global) dan uji lintas sensor PALSAR (776 citra).</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rPr>
        <w:tc>
          <w:tcPr>
            <w:tcW w:type="dxa" w:w="2608"/>
            <w:shd w:val="clear" w:color="auto" w:fill="E7EEF7"/>
            <w:tcBorders>
              <w:top w:val="single" w:sz="10" w:color="000000" w:space="0"/>
              <w:bottom w:val="single" w:sz="6" w:color="000000" w:space="0"/>
            </w:tcBorders>
          </w:tcPr>
          <w:p>
            <w:pPr>
              <w:keepNext/>
              <w:spacing w:after="20" w:line="240" w:lineRule="auto"/>
              <w:jc w:val="left"/>
            </w:pPr>
            <w:r>
              <w:rPr>
                <w:b/>
                <w:sz w:val="17"/>
              </w:rPr>
              <w:t>Model</w:t>
            </w:r>
          </w:p>
        </w:tc>
        <w:tc>
          <w:tcPr>
            <w:tcW w:type="dxa" w:w="567"/>
            <w:shd w:val="clear" w:color="auto" w:fill="E7EEF7"/>
            <w:tcBorders>
              <w:top w:val="single" w:sz="10" w:color="000000" w:space="0"/>
              <w:bottom w:val="single" w:sz="6" w:color="000000" w:space="0"/>
            </w:tcBorders>
          </w:tcPr>
          <w:p>
            <w:pPr>
              <w:keepNext/>
              <w:spacing w:after="20" w:line="240" w:lineRule="auto"/>
              <w:jc w:val="center"/>
            </w:pPr>
            <w:r>
              <w:rPr>
                <w:b/>
                <w:sz w:val="17"/>
              </w:rPr>
              <w:t>Thr</w:t>
            </w:r>
          </w:p>
        </w:tc>
        <w:tc>
          <w:tcPr>
            <w:tcW w:type="dxa" w:w="907"/>
            <w:shd w:val="clear" w:color="auto" w:fill="E7EEF7"/>
            <w:tcBorders>
              <w:top w:val="single" w:sz="10" w:color="000000" w:space="0"/>
              <w:bottom w:val="single" w:sz="6" w:color="000000" w:space="0"/>
            </w:tcBorders>
          </w:tcPr>
          <w:p>
            <w:pPr>
              <w:keepNext/>
              <w:spacing w:after="20" w:line="240" w:lineRule="auto"/>
              <w:jc w:val="center"/>
            </w:pPr>
            <w:r>
              <w:rPr>
                <w:b/>
                <w:sz w:val="17"/>
              </w:rPr>
              <w:t>Dice/F1</w:t>
            </w:r>
          </w:p>
        </w:tc>
        <w:tc>
          <w:tcPr>
            <w:tcW w:type="dxa" w:w="794"/>
            <w:shd w:val="clear" w:color="auto" w:fill="E7EEF7"/>
            <w:tcBorders>
              <w:top w:val="single" w:sz="10" w:color="000000" w:space="0"/>
              <w:bottom w:val="single" w:sz="6" w:color="000000" w:space="0"/>
            </w:tcBorders>
          </w:tcPr>
          <w:p>
            <w:pPr>
              <w:keepNext/>
              <w:spacing w:after="20" w:line="240" w:lineRule="auto"/>
              <w:jc w:val="center"/>
            </w:pPr>
            <w:r>
              <w:rPr>
                <w:b/>
                <w:sz w:val="17"/>
              </w:rPr>
              <w:t>IoU</w:t>
            </w:r>
          </w:p>
        </w:tc>
        <w:tc>
          <w:tcPr>
            <w:tcW w:type="dxa" w:w="907"/>
            <w:shd w:val="clear" w:color="auto" w:fill="E7EEF7"/>
            <w:tcBorders>
              <w:top w:val="single" w:sz="10" w:color="000000" w:space="0"/>
              <w:bottom w:val="single" w:sz="6" w:color="000000" w:space="0"/>
            </w:tcBorders>
          </w:tcPr>
          <w:p>
            <w:pPr>
              <w:keepNext/>
              <w:spacing w:after="20" w:line="240" w:lineRule="auto"/>
              <w:jc w:val="center"/>
            </w:pPr>
            <w:r>
              <w:rPr>
                <w:b/>
                <w:sz w:val="17"/>
              </w:rPr>
              <w:t>Precision</w:t>
            </w:r>
          </w:p>
        </w:tc>
        <w:tc>
          <w:tcPr>
            <w:tcW w:type="dxa" w:w="850"/>
            <w:shd w:val="clear" w:color="auto" w:fill="E7EEF7"/>
            <w:tcBorders>
              <w:top w:val="single" w:sz="10" w:color="000000" w:space="0"/>
              <w:bottom w:val="single" w:sz="6" w:color="000000" w:space="0"/>
            </w:tcBorders>
          </w:tcPr>
          <w:p>
            <w:pPr>
              <w:keepNext/>
              <w:spacing w:after="20" w:line="240" w:lineRule="auto"/>
              <w:jc w:val="center"/>
            </w:pPr>
            <w:r>
              <w:rPr>
                <w:b/>
                <w:sz w:val="17"/>
              </w:rPr>
              <w:t>Recall</w:t>
            </w:r>
          </w:p>
        </w:tc>
        <w:tc>
          <w:tcPr>
            <w:tcW w:type="dxa" w:w="850"/>
            <w:shd w:val="clear" w:color="auto" w:fill="E7EEF7"/>
            <w:tcBorders>
              <w:top w:val="single" w:sz="10" w:color="000000" w:space="0"/>
              <w:bottom w:val="single" w:sz="6" w:color="000000" w:space="0"/>
            </w:tcBorders>
          </w:tcPr>
          <w:p>
            <w:pPr>
              <w:keepNext/>
              <w:spacing w:after="20" w:line="240" w:lineRule="auto"/>
              <w:jc w:val="center"/>
            </w:pPr>
            <w:r>
              <w:rPr>
                <w:b/>
                <w:sz w:val="17"/>
              </w:rPr>
              <w:t>PR-AUC</w:t>
            </w:r>
          </w:p>
        </w:tc>
        <w:tc>
          <w:tcPr>
            <w:tcW w:type="dxa" w:w="1020"/>
            <w:shd w:val="clear" w:color="auto" w:fill="E7EEF7"/>
            <w:tcBorders>
              <w:top w:val="single" w:sz="10" w:color="000000" w:space="0"/>
              <w:bottom w:val="single" w:sz="6" w:color="000000" w:space="0"/>
            </w:tcBorders>
          </w:tcPr>
          <w:p>
            <w:pPr>
              <w:keepNext/>
              <w:spacing w:after="20" w:line="240" w:lineRule="auto"/>
              <w:jc w:val="center"/>
            </w:pPr>
            <w:r>
              <w:rPr>
                <w:b/>
                <w:sz w:val="17"/>
              </w:rPr>
              <w:t>Dice PALSAR</w:t>
            </w:r>
          </w:p>
        </w:tc>
      </w:tr>
      <w:tr>
        <w:trPr>
          <w:cantSplit/>
        </w:trPr>
        <w:tc>
          <w:tcPr>
            <w:tcW w:type="dxa" w:w="2608"/>
          </w:tcPr>
          <w:p>
            <w:pPr>
              <w:keepNext/>
              <w:spacing w:after="20" w:line="240" w:lineRule="auto"/>
              <w:jc w:val="left"/>
            </w:pPr>
            <w:r>
              <w:rPr>
                <w:sz w:val="17"/>
              </w:rPr>
              <w:t>Baseline dark-spot</w:t>
            </w:r>
          </w:p>
        </w:tc>
        <w:tc>
          <w:tcPr>
            <w:tcW w:type="dxa" w:w="567"/>
          </w:tcPr>
          <w:p>
            <w:pPr>
              <w:keepNext/>
              <w:spacing w:after="20" w:line="240" w:lineRule="auto"/>
              <w:jc w:val="center"/>
            </w:pPr>
            <w:r>
              <w:rPr>
                <w:sz w:val="17"/>
              </w:rPr>
              <w:t>–</w:t>
            </w:r>
          </w:p>
        </w:tc>
        <w:tc>
          <w:tcPr>
            <w:tcW w:type="dxa" w:w="907"/>
          </w:tcPr>
          <w:p>
            <w:pPr>
              <w:keepNext/>
              <w:spacing w:after="20" w:line="240" w:lineRule="auto"/>
              <w:jc w:val="center"/>
            </w:pPr>
            <w:r>
              <w:rPr>
                <w:sz w:val="17"/>
              </w:rPr>
              <w:t>0,7259</w:t>
            </w:r>
          </w:p>
        </w:tc>
        <w:tc>
          <w:tcPr>
            <w:tcW w:type="dxa" w:w="794"/>
          </w:tcPr>
          <w:p>
            <w:pPr>
              <w:keepNext/>
              <w:spacing w:after="20" w:line="240" w:lineRule="auto"/>
              <w:jc w:val="center"/>
            </w:pPr>
            <w:r>
              <w:rPr>
                <w:sz w:val="17"/>
              </w:rPr>
              <w:t>0,5698</w:t>
            </w:r>
          </w:p>
        </w:tc>
        <w:tc>
          <w:tcPr>
            <w:tcW w:type="dxa" w:w="907"/>
          </w:tcPr>
          <w:p>
            <w:pPr>
              <w:keepNext/>
              <w:spacing w:after="20" w:line="240" w:lineRule="auto"/>
              <w:jc w:val="center"/>
            </w:pPr>
            <w:r>
              <w:rPr>
                <w:sz w:val="17"/>
              </w:rPr>
              <w:t>0,6669</w:t>
            </w:r>
          </w:p>
        </w:tc>
        <w:tc>
          <w:tcPr>
            <w:tcW w:type="dxa" w:w="850"/>
          </w:tcPr>
          <w:p>
            <w:pPr>
              <w:keepNext/>
              <w:spacing w:after="20" w:line="240" w:lineRule="auto"/>
              <w:jc w:val="center"/>
            </w:pPr>
            <w:r>
              <w:rPr>
                <w:sz w:val="17"/>
              </w:rPr>
              <w:t>0,7964</w:t>
            </w:r>
          </w:p>
        </w:tc>
        <w:tc>
          <w:tcPr>
            <w:tcW w:type="dxa" w:w="850"/>
          </w:tcPr>
          <w:p>
            <w:pPr>
              <w:keepNext/>
              <w:spacing w:after="20" w:line="240" w:lineRule="auto"/>
              <w:jc w:val="center"/>
            </w:pPr>
            <w:r>
              <w:rPr>
                <w:sz w:val="17"/>
              </w:rPr>
              <w:t>–</w:t>
            </w:r>
          </w:p>
        </w:tc>
        <w:tc>
          <w:tcPr>
            <w:tcW w:type="dxa" w:w="1020"/>
          </w:tcPr>
          <w:p>
            <w:pPr>
              <w:keepNext/>
              <w:spacing w:after="20" w:line="240" w:lineRule="auto"/>
              <w:jc w:val="center"/>
            </w:pPr>
            <w:r>
              <w:rPr>
                <w:sz w:val="17"/>
              </w:rPr>
              <w:t>0,6410</w:t>
            </w:r>
          </w:p>
        </w:tc>
      </w:tr>
      <w:tr>
        <w:trPr>
          <w:cantSplit/>
        </w:trPr>
        <w:tc>
          <w:tcPr>
            <w:tcW w:type="dxa" w:w="2608"/>
          </w:tcPr>
          <w:p>
            <w:pPr>
              <w:keepNext/>
              <w:spacing w:after="20" w:line="240" w:lineRule="auto"/>
              <w:jc w:val="left"/>
            </w:pPr>
            <w:r>
              <w:rPr>
                <w:sz w:val="17"/>
              </w:rPr>
              <w:t>ML: Random Forest</w:t>
            </w:r>
          </w:p>
        </w:tc>
        <w:tc>
          <w:tcPr>
            <w:tcW w:type="dxa" w:w="567"/>
          </w:tcPr>
          <w:p>
            <w:pPr>
              <w:keepNext/>
              <w:spacing w:after="20" w:line="240" w:lineRule="auto"/>
              <w:jc w:val="center"/>
            </w:pPr>
            <w:r>
              <w:rPr>
                <w:sz w:val="17"/>
              </w:rPr>
              <w:t>0,40</w:t>
            </w:r>
          </w:p>
        </w:tc>
        <w:tc>
          <w:tcPr>
            <w:tcW w:type="dxa" w:w="907"/>
          </w:tcPr>
          <w:p>
            <w:pPr>
              <w:keepNext/>
              <w:spacing w:after="20" w:line="240" w:lineRule="auto"/>
              <w:jc w:val="center"/>
            </w:pPr>
            <w:r>
              <w:rPr>
                <w:sz w:val="17"/>
              </w:rPr>
              <w:t>0,8036</w:t>
            </w:r>
          </w:p>
        </w:tc>
        <w:tc>
          <w:tcPr>
            <w:tcW w:type="dxa" w:w="794"/>
          </w:tcPr>
          <w:p>
            <w:pPr>
              <w:keepNext/>
              <w:spacing w:after="20" w:line="240" w:lineRule="auto"/>
              <w:jc w:val="center"/>
            </w:pPr>
            <w:r>
              <w:rPr>
                <w:sz w:val="17"/>
              </w:rPr>
              <w:t>0,6717</w:t>
            </w:r>
          </w:p>
        </w:tc>
        <w:tc>
          <w:tcPr>
            <w:tcW w:type="dxa" w:w="907"/>
          </w:tcPr>
          <w:p>
            <w:pPr>
              <w:keepNext/>
              <w:spacing w:after="20" w:line="240" w:lineRule="auto"/>
              <w:jc w:val="center"/>
            </w:pPr>
            <w:r>
              <w:rPr>
                <w:sz w:val="17"/>
              </w:rPr>
              <w:t>0,7721</w:t>
            </w:r>
          </w:p>
        </w:tc>
        <w:tc>
          <w:tcPr>
            <w:tcW w:type="dxa" w:w="850"/>
          </w:tcPr>
          <w:p>
            <w:pPr>
              <w:keepNext/>
              <w:spacing w:after="20" w:line="240" w:lineRule="auto"/>
              <w:jc w:val="center"/>
            </w:pPr>
            <w:r>
              <w:rPr>
                <w:sz w:val="17"/>
              </w:rPr>
              <w:t>0,8377</w:t>
            </w:r>
          </w:p>
        </w:tc>
        <w:tc>
          <w:tcPr>
            <w:tcW w:type="dxa" w:w="850"/>
          </w:tcPr>
          <w:p>
            <w:pPr>
              <w:keepNext/>
              <w:spacing w:after="20" w:line="240" w:lineRule="auto"/>
              <w:jc w:val="center"/>
            </w:pPr>
            <w:r>
              <w:rPr>
                <w:sz w:val="17"/>
              </w:rPr>
              <w:t>0,8981</w:t>
            </w:r>
          </w:p>
        </w:tc>
        <w:tc>
          <w:tcPr>
            <w:tcW w:type="dxa" w:w="1020"/>
          </w:tcPr>
          <w:p>
            <w:pPr>
              <w:keepNext/>
              <w:spacing w:after="20" w:line="240" w:lineRule="auto"/>
              <w:jc w:val="center"/>
            </w:pPr>
            <w:r>
              <w:rPr>
                <w:sz w:val="17"/>
              </w:rPr>
              <w:t>0,7506</w:t>
            </w:r>
          </w:p>
        </w:tc>
      </w:tr>
      <w:tr>
        <w:trPr>
          <w:cantSplit/>
        </w:trPr>
        <w:tc>
          <w:tcPr>
            <w:tcW w:type="dxa" w:w="2608"/>
          </w:tcPr>
          <w:p>
            <w:pPr>
              <w:keepNext/>
              <w:spacing w:after="20" w:line="240" w:lineRule="auto"/>
              <w:jc w:val="left"/>
            </w:pPr>
            <w:r>
              <w:rPr>
                <w:sz w:val="17"/>
              </w:rPr>
              <w:t>ML: LightGBM</w:t>
            </w:r>
          </w:p>
        </w:tc>
        <w:tc>
          <w:tcPr>
            <w:tcW w:type="dxa" w:w="567"/>
          </w:tcPr>
          <w:p>
            <w:pPr>
              <w:keepNext/>
              <w:spacing w:after="20" w:line="240" w:lineRule="auto"/>
              <w:jc w:val="center"/>
            </w:pPr>
            <w:r>
              <w:rPr>
                <w:sz w:val="17"/>
              </w:rPr>
              <w:t>0,35</w:t>
            </w:r>
          </w:p>
        </w:tc>
        <w:tc>
          <w:tcPr>
            <w:tcW w:type="dxa" w:w="907"/>
          </w:tcPr>
          <w:p>
            <w:pPr>
              <w:keepNext/>
              <w:spacing w:after="20" w:line="240" w:lineRule="auto"/>
              <w:jc w:val="center"/>
            </w:pPr>
            <w:r>
              <w:rPr>
                <w:sz w:val="17"/>
              </w:rPr>
              <w:t>0,8056</w:t>
            </w:r>
          </w:p>
        </w:tc>
        <w:tc>
          <w:tcPr>
            <w:tcW w:type="dxa" w:w="794"/>
          </w:tcPr>
          <w:p>
            <w:pPr>
              <w:keepNext/>
              <w:spacing w:after="20" w:line="240" w:lineRule="auto"/>
              <w:jc w:val="center"/>
            </w:pPr>
            <w:r>
              <w:rPr>
                <w:sz w:val="17"/>
              </w:rPr>
              <w:t>0,6745</w:t>
            </w:r>
          </w:p>
        </w:tc>
        <w:tc>
          <w:tcPr>
            <w:tcW w:type="dxa" w:w="907"/>
          </w:tcPr>
          <w:p>
            <w:pPr>
              <w:keepNext/>
              <w:spacing w:after="20" w:line="240" w:lineRule="auto"/>
              <w:jc w:val="center"/>
            </w:pPr>
            <w:r>
              <w:rPr>
                <w:sz w:val="17"/>
              </w:rPr>
              <w:t>0,7568</w:t>
            </w:r>
          </w:p>
        </w:tc>
        <w:tc>
          <w:tcPr>
            <w:tcW w:type="dxa" w:w="850"/>
          </w:tcPr>
          <w:p>
            <w:pPr>
              <w:keepNext/>
              <w:spacing w:after="20" w:line="240" w:lineRule="auto"/>
              <w:jc w:val="center"/>
            </w:pPr>
            <w:r>
              <w:rPr>
                <w:sz w:val="17"/>
              </w:rPr>
              <w:t>0,8612</w:t>
            </w:r>
          </w:p>
        </w:tc>
        <w:tc>
          <w:tcPr>
            <w:tcW w:type="dxa" w:w="850"/>
          </w:tcPr>
          <w:p>
            <w:pPr>
              <w:keepNext/>
              <w:spacing w:after="20" w:line="240" w:lineRule="auto"/>
              <w:jc w:val="center"/>
            </w:pPr>
            <w:r>
              <w:rPr>
                <w:sz w:val="17"/>
              </w:rPr>
              <w:t>0,9020</w:t>
            </w:r>
          </w:p>
        </w:tc>
        <w:tc>
          <w:tcPr>
            <w:tcW w:type="dxa" w:w="1020"/>
          </w:tcPr>
          <w:p>
            <w:pPr>
              <w:keepNext/>
              <w:spacing w:after="20" w:line="240" w:lineRule="auto"/>
              <w:jc w:val="center"/>
            </w:pPr>
            <w:r>
              <w:rPr>
                <w:sz w:val="17"/>
              </w:rPr>
              <w:t>0,7490</w:t>
            </w:r>
          </w:p>
        </w:tc>
      </w:tr>
      <w:tr>
        <w:trPr>
          <w:cantSplit/>
        </w:trPr>
        <w:tc>
          <w:tcPr>
            <w:tcW w:type="dxa" w:w="2608"/>
          </w:tcPr>
          <w:p>
            <w:pPr>
              <w:keepNext/>
              <w:spacing w:after="20" w:line="240" w:lineRule="auto"/>
              <w:jc w:val="left"/>
            </w:pPr>
            <w:r>
              <w:rPr>
                <w:sz w:val="17"/>
              </w:rPr>
              <w:t>DL: U-Net Lite</w:t>
            </w:r>
          </w:p>
        </w:tc>
        <w:tc>
          <w:tcPr>
            <w:tcW w:type="dxa" w:w="567"/>
          </w:tcPr>
          <w:p>
            <w:pPr>
              <w:keepNext/>
              <w:spacing w:after="20" w:line="240" w:lineRule="auto"/>
              <w:jc w:val="center"/>
            </w:pPr>
            <w:r>
              <w:rPr>
                <w:sz w:val="17"/>
              </w:rPr>
              <w:t>0,45</w:t>
            </w:r>
          </w:p>
        </w:tc>
        <w:tc>
          <w:tcPr>
            <w:tcW w:type="dxa" w:w="907"/>
          </w:tcPr>
          <w:p>
            <w:pPr>
              <w:keepNext/>
              <w:spacing w:after="20" w:line="240" w:lineRule="auto"/>
              <w:jc w:val="center"/>
            </w:pPr>
            <w:r>
              <w:rPr>
                <w:sz w:val="17"/>
              </w:rPr>
              <w:t>0,8547</w:t>
            </w:r>
          </w:p>
        </w:tc>
        <w:tc>
          <w:tcPr>
            <w:tcW w:type="dxa" w:w="794"/>
          </w:tcPr>
          <w:p>
            <w:pPr>
              <w:keepNext/>
              <w:spacing w:after="20" w:line="240" w:lineRule="auto"/>
              <w:jc w:val="center"/>
            </w:pPr>
            <w:r>
              <w:rPr>
                <w:sz w:val="17"/>
              </w:rPr>
              <w:t>0,7462</w:t>
            </w:r>
          </w:p>
        </w:tc>
        <w:tc>
          <w:tcPr>
            <w:tcW w:type="dxa" w:w="907"/>
          </w:tcPr>
          <w:p>
            <w:pPr>
              <w:keepNext/>
              <w:spacing w:after="20" w:line="240" w:lineRule="auto"/>
              <w:jc w:val="center"/>
            </w:pPr>
            <w:r>
              <w:rPr>
                <w:sz w:val="17"/>
              </w:rPr>
              <w:t>0,8058</w:t>
            </w:r>
          </w:p>
        </w:tc>
        <w:tc>
          <w:tcPr>
            <w:tcW w:type="dxa" w:w="850"/>
          </w:tcPr>
          <w:p>
            <w:pPr>
              <w:keepNext/>
              <w:spacing w:after="20" w:line="240" w:lineRule="auto"/>
              <w:jc w:val="center"/>
            </w:pPr>
            <w:r>
              <w:rPr>
                <w:b/>
                <w:sz w:val="17"/>
              </w:rPr>
              <w:t>0,9099</w:t>
            </w:r>
          </w:p>
        </w:tc>
        <w:tc>
          <w:tcPr>
            <w:tcW w:type="dxa" w:w="850"/>
          </w:tcPr>
          <w:p>
            <w:pPr>
              <w:keepNext/>
              <w:spacing w:after="20" w:line="240" w:lineRule="auto"/>
              <w:jc w:val="center"/>
            </w:pPr>
            <w:r>
              <w:rPr>
                <w:sz w:val="17"/>
              </w:rPr>
              <w:t>0,9361</w:t>
            </w:r>
          </w:p>
        </w:tc>
        <w:tc>
          <w:tcPr>
            <w:tcW w:type="dxa" w:w="1020"/>
          </w:tcPr>
          <w:p>
            <w:pPr>
              <w:keepNext/>
              <w:spacing w:after="20" w:line="240" w:lineRule="auto"/>
              <w:jc w:val="center"/>
            </w:pPr>
            <w:r>
              <w:rPr>
                <w:sz w:val="17"/>
              </w:rPr>
              <w:t>0,7774</w:t>
            </w:r>
          </w:p>
        </w:tc>
      </w:tr>
      <w:tr>
        <w:trPr>
          <w:cantSplit/>
        </w:trPr>
        <w:tc>
          <w:tcPr>
            <w:tcW w:type="dxa" w:w="2608"/>
            <w:tcBorders>
              <w:bottom w:val="single" w:sz="10" w:color="000000" w:space="0"/>
            </w:tcBorders>
            <w:shd w:val="clear" w:color="auto" w:fill="F2F7EC"/>
          </w:tcPr>
          <w:p>
            <w:pPr>
              <w:spacing w:after="20" w:line="240" w:lineRule="auto"/>
              <w:jc w:val="left"/>
            </w:pPr>
            <w:r>
              <w:rPr>
                <w:b/>
                <w:sz w:val="17"/>
              </w:rPr>
              <w:t>DL: DeepLabV3+ MobileNetV2</w:t>
            </w:r>
          </w:p>
        </w:tc>
        <w:tc>
          <w:tcPr>
            <w:tcW w:type="dxa" w:w="567"/>
            <w:tcBorders>
              <w:bottom w:val="single" w:sz="10" w:color="000000" w:space="0"/>
            </w:tcBorders>
            <w:shd w:val="clear" w:color="auto" w:fill="F2F7EC"/>
          </w:tcPr>
          <w:p>
            <w:pPr>
              <w:spacing w:after="20" w:line="240" w:lineRule="auto"/>
              <w:jc w:val="center"/>
            </w:pPr>
            <w:r>
              <w:rPr>
                <w:b/>
                <w:sz w:val="17"/>
              </w:rPr>
              <w:t>0,50</w:t>
            </w:r>
          </w:p>
        </w:tc>
        <w:tc>
          <w:tcPr>
            <w:tcW w:type="dxa" w:w="907"/>
            <w:tcBorders>
              <w:bottom w:val="single" w:sz="10" w:color="000000" w:space="0"/>
            </w:tcBorders>
            <w:shd w:val="clear" w:color="auto" w:fill="F2F7EC"/>
          </w:tcPr>
          <w:p>
            <w:pPr>
              <w:spacing w:after="20" w:line="240" w:lineRule="auto"/>
              <w:jc w:val="center"/>
            </w:pPr>
            <w:r>
              <w:rPr>
                <w:b/>
                <w:sz w:val="17"/>
              </w:rPr>
              <w:t>0,8667</w:t>
            </w:r>
          </w:p>
        </w:tc>
        <w:tc>
          <w:tcPr>
            <w:tcW w:type="dxa" w:w="794"/>
            <w:tcBorders>
              <w:bottom w:val="single" w:sz="10" w:color="000000" w:space="0"/>
            </w:tcBorders>
            <w:shd w:val="clear" w:color="auto" w:fill="F2F7EC"/>
          </w:tcPr>
          <w:p>
            <w:pPr>
              <w:spacing w:after="20" w:line="240" w:lineRule="auto"/>
              <w:jc w:val="center"/>
            </w:pPr>
            <w:r>
              <w:rPr>
                <w:b/>
                <w:sz w:val="17"/>
              </w:rPr>
              <w:t>0,7648</w:t>
            </w:r>
          </w:p>
        </w:tc>
        <w:tc>
          <w:tcPr>
            <w:tcW w:type="dxa" w:w="907"/>
            <w:tcBorders>
              <w:bottom w:val="single" w:sz="10" w:color="000000" w:space="0"/>
            </w:tcBorders>
            <w:shd w:val="clear" w:color="auto" w:fill="F2F7EC"/>
          </w:tcPr>
          <w:p>
            <w:pPr>
              <w:spacing w:after="20" w:line="240" w:lineRule="auto"/>
              <w:jc w:val="center"/>
            </w:pPr>
            <w:r>
              <w:rPr>
                <w:b/>
                <w:sz w:val="17"/>
              </w:rPr>
              <w:t>0,8344</w:t>
            </w:r>
          </w:p>
        </w:tc>
        <w:tc>
          <w:tcPr>
            <w:tcW w:type="dxa" w:w="850"/>
            <w:tcBorders>
              <w:bottom w:val="single" w:sz="10" w:color="000000" w:space="0"/>
            </w:tcBorders>
            <w:shd w:val="clear" w:color="auto" w:fill="F2F7EC"/>
          </w:tcPr>
          <w:p>
            <w:pPr>
              <w:spacing w:after="20" w:line="240" w:lineRule="auto"/>
              <w:jc w:val="center"/>
            </w:pPr>
            <w:r>
              <w:rPr>
                <w:b/>
                <w:sz w:val="17"/>
              </w:rPr>
              <w:t>0,9016</w:t>
            </w:r>
          </w:p>
        </w:tc>
        <w:tc>
          <w:tcPr>
            <w:tcW w:type="dxa" w:w="850"/>
            <w:tcBorders>
              <w:bottom w:val="single" w:sz="10" w:color="000000" w:space="0"/>
            </w:tcBorders>
            <w:shd w:val="clear" w:color="auto" w:fill="F2F7EC"/>
          </w:tcPr>
          <w:p>
            <w:pPr>
              <w:spacing w:after="20" w:line="240" w:lineRule="auto"/>
              <w:jc w:val="center"/>
            </w:pPr>
            <w:r>
              <w:rPr>
                <w:b/>
                <w:sz w:val="17"/>
              </w:rPr>
              <w:t>0,9479</w:t>
            </w:r>
          </w:p>
        </w:tc>
        <w:tc>
          <w:tcPr>
            <w:tcW w:type="dxa" w:w="1020"/>
            <w:tcBorders>
              <w:bottom w:val="single" w:sz="10" w:color="000000" w:space="0"/>
            </w:tcBorders>
            <w:shd w:val="clear" w:color="auto" w:fill="F2F7EC"/>
          </w:tcPr>
          <w:p>
            <w:pPr>
              <w:spacing w:after="20" w:line="240" w:lineRule="auto"/>
              <w:jc w:val="center"/>
            </w:pPr>
            <w:r>
              <w:rPr>
                <w:b/>
                <w:sz w:val="17"/>
              </w:rPr>
              <w:t>0,7975</w:t>
            </w:r>
          </w:p>
        </w:tc>
      </w:tr>
    </w:tbl>
    <w:p>
      <w:pPr>
        <w:spacing w:after="160"/>
      </w:pPr>
      <w:r>
        <w:rPr>
          <w:sz w:val="17"/>
        </w:rPr>
        <w:t>Thr = threshold yang dipilih pada data validasi. Baseline mask kosong mencapai akurasi piksel 65,3% tanpa mendeteksi minyak sama sekali, sehingga akurasi tidak dipakai sebagai metrik utama. Tanpa 9 citra near-duplicate, Dice U-Net Lite hanya turun 0,0008.</w:t>
      </w:r>
    </w:p>
    <w:p>
      <w:pPr>
        <w:ind w:firstLine="425"/>
        <w:jc w:val="both"/>
      </w:pPr>
      <w:r>
        <w:t xml:space="preserve">Kedua model DL mengungguli model ML sekitar 5–6 poin Dice dan 7–9 poin IoU, dan semua model jauh di atas baseline (Tabel 2, Gambar 2). Selisih terbesar ada pada </w:t>
      </w:r>
      <w:r>
        <w:rPr>
          <w:b/>
        </w:rPr>
        <w:t>precision</w:t>
      </w:r>
      <w:r>
        <w:t xml:space="preserve">: fitur lokal model ML menandai hampir semua area gelap, termasuk tepi slick dan bercak </w:t>
      </w:r>
      <w:r>
        <w:rPr>
          <w:i/>
        </w:rPr>
        <w:t>look-alike</w:t>
      </w:r>
      <w:r>
        <w:t xml:space="preserve">, sedangkan DL memanfaatkan konteks spasial yang lebih luas. Model ML tetap 8 poin di atas baseline dengan ukuran yang sangat kecil. </w:t>
      </w:r>
      <w:r>
        <w:rPr>
          <w:i/>
        </w:rPr>
        <w:t>Feature importance</w:t>
      </w:r>
      <w:r>
        <w:t xml:space="preserve"> menunjukkan fitur terpenting adalah minimum lokal 11 piksel, rata-rata lokal 11 piksel, dan selisih terhadap rata-rata citra, yaitu ukuran kegelapan relatif yang memang menjadi ciri slick pada SAR [1].</w:t>
      </w:r>
    </w:p>
    <w:p>
      <w:pPr>
        <w:ind w:firstLine="425"/>
        <w:jc w:val="both"/>
      </w:pPr>
      <w:r>
        <w:t xml:space="preserve">DeepLabV3+ pralatih unggul atas U-Net Lite pada Dice (+1,2 poin), precision (+2,9 poin), dan generalisasi lintas sensor (+2,0 poin), sedangkan U-Net Lite sedikit lebih tinggi recall-nya. Hal ini menunjukkan manfaat </w:t>
      </w:r>
      <w:r>
        <w:rPr>
          <w:i/>
        </w:rPr>
        <w:t>transfer learning</w:t>
      </w:r>
      <w:r>
        <w:t xml:space="preserve"> meski citra SAR berbeda domain dengan ImageNet. Recall semua model DL ≈ 0,90–0,91; untuk peringatan dini HSSE sifat ini lebih aman karena tumpahan yang terlewat lebih mahal dampaknya daripada alarm palsu yang dapat diverifikasi analis.</w:t>
      </w:r>
    </w:p>
    <w:p>
      <w:pPr>
        <w:keepNext/>
        <w:spacing w:after="0"/>
        <w:jc w:val="center"/>
      </w:pPr>
      <w:r>
        <w:drawing>
          <wp:inline xmlns:a="http://schemas.openxmlformats.org/drawingml/2006/main" xmlns:pic="http://schemas.openxmlformats.org/drawingml/2006/picture">
            <wp:extent cx="5580000" cy="3488449"/>
            <wp:docPr id="3" name="Picture 3"/>
            <wp:cNvGraphicFramePr>
              <a:graphicFrameLocks noChangeAspect="1"/>
            </wp:cNvGraphicFramePr>
            <a:graphic>
              <a:graphicData uri="http://schemas.openxmlformats.org/drawingml/2006/picture">
                <pic:pic>
                  <pic:nvPicPr>
                    <pic:cNvPr id="0" name="model_predictions_side_by_side.png"/>
                    <pic:cNvPicPr/>
                  </pic:nvPicPr>
                  <pic:blipFill>
                    <a:blip r:embed="rId13"/>
                    <a:stretch>
                      <a:fillRect/>
                    </a:stretch>
                  </pic:blipFill>
                  <pic:spPr>
                    <a:xfrm>
                      <a:off x="0" y="0"/>
                      <a:ext cx="5580000" cy="3488449"/>
                    </a:xfrm>
                    <a:prstGeom prst="rect"/>
                  </pic:spPr>
                </pic:pic>
              </a:graphicData>
            </a:graphic>
          </wp:inline>
        </w:drawing>
      </w:r>
    </w:p>
    <w:p>
      <w:pPr>
        <w:spacing w:after="160" w:before="60"/>
        <w:jc w:val="center"/>
      </w:pPr>
      <w:r>
        <w:rPr>
          <w:b/>
          <w:sz w:val="19"/>
        </w:rPr>
        <w:t>Gambar 2.</w:t>
      </w:r>
      <w:r>
        <w:rPr>
          <w:sz w:val="19"/>
        </w:rPr>
        <w:t xml:space="preserve"> Prediksi kelima model pada citra uji mudah, tipikal, sulit, dan tanpa minyak (merah = minyak).</w:t>
      </w:r>
    </w:p>
    <w:p>
      <w:pPr>
        <w:pStyle w:val="Heading2"/>
      </w:pPr>
      <w:r>
        <w:t>3.2 Perbandingan dengan tolok ukur dataset SOS</w:t>
      </w:r>
    </w:p>
    <w:p>
      <w:pPr>
        <w:keepNext/>
        <w:spacing w:after="60" w:before="120"/>
        <w:jc w:val="center"/>
      </w:pPr>
      <w:r>
        <w:rPr>
          <w:b/>
          <w:sz w:val="19"/>
        </w:rPr>
        <w:t>Tabel 3.</w:t>
      </w:r>
      <w:r>
        <w:rPr>
          <w:sz w:val="19"/>
        </w:rPr>
        <w:t xml:space="preserve"> Perbandingan pada subset uji Sentinel-1 dataset SOS.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835"/>
            <w:shd w:val="clear" w:color="auto" w:fill="E7EEF7"/>
            <w:tcBorders>
              <w:top w:val="single" w:sz="10" w:color="000000" w:space="0"/>
              <w:bottom w:val="single" w:sz="6" w:color="000000" w:space="0"/>
            </w:tcBorders>
          </w:tcPr>
          <w:p>
            <w:pPr>
              <w:keepNext/>
              <w:spacing w:after="20" w:line="240" w:lineRule="auto"/>
              <w:jc w:val="left"/>
            </w:pPr>
            <w:r>
              <w:rPr>
                <w:b/>
                <w:sz w:val="17"/>
              </w:rPr>
              <w:t>Model</w:t>
            </w:r>
          </w:p>
        </w:tc>
        <w:tc>
          <w:tcPr>
            <w:tcW w:type="dxa" w:w="1020"/>
            <w:shd w:val="clear" w:color="auto" w:fill="E7EEF7"/>
            <w:tcBorders>
              <w:top w:val="single" w:sz="10" w:color="000000" w:space="0"/>
              <w:bottom w:val="single" w:sz="6" w:color="000000" w:space="0"/>
            </w:tcBorders>
          </w:tcPr>
          <w:p>
            <w:pPr>
              <w:keepNext/>
              <w:spacing w:after="20" w:line="240" w:lineRule="auto"/>
              <w:jc w:val="center"/>
            </w:pPr>
            <w:r>
              <w:rPr>
                <w:b/>
                <w:sz w:val="17"/>
              </w:rPr>
              <w:t>mIoU (%)</w:t>
            </w:r>
          </w:p>
        </w:tc>
        <w:tc>
          <w:tcPr>
            <w:tcW w:type="dxa" w:w="907"/>
            <w:shd w:val="clear" w:color="auto" w:fill="E7EEF7"/>
            <w:tcBorders>
              <w:top w:val="single" w:sz="10" w:color="000000" w:space="0"/>
              <w:bottom w:val="single" w:sz="6" w:color="000000" w:space="0"/>
            </w:tcBorders>
          </w:tcPr>
          <w:p>
            <w:pPr>
              <w:keepNext/>
              <w:spacing w:after="20" w:line="240" w:lineRule="auto"/>
              <w:jc w:val="center"/>
            </w:pPr>
            <w:r>
              <w:rPr>
                <w:b/>
                <w:sz w:val="17"/>
              </w:rPr>
              <w:t>F1 (%)</w:t>
            </w:r>
          </w:p>
        </w:tc>
        <w:tc>
          <w:tcPr>
            <w:tcW w:type="dxa" w:w="1020"/>
            <w:shd w:val="clear" w:color="auto" w:fill="E7EEF7"/>
            <w:tcBorders>
              <w:top w:val="single" w:sz="10" w:color="000000" w:space="0"/>
              <w:bottom w:val="single" w:sz="6" w:color="000000" w:space="0"/>
            </w:tcBorders>
          </w:tcPr>
          <w:p>
            <w:pPr>
              <w:keepNext/>
              <w:spacing w:after="20" w:line="240" w:lineRule="auto"/>
              <w:jc w:val="center"/>
            </w:pPr>
            <w:r>
              <w:rPr>
                <w:b/>
                <w:sz w:val="17"/>
              </w:rPr>
              <w:t>Recall (%)</w:t>
            </w:r>
          </w:p>
        </w:tc>
        <w:tc>
          <w:tcPr>
            <w:tcW w:type="dxa" w:w="1134"/>
            <w:shd w:val="clear" w:color="auto" w:fill="E7EEF7"/>
            <w:tcBorders>
              <w:top w:val="single" w:sz="10" w:color="000000" w:space="0"/>
              <w:bottom w:val="single" w:sz="6" w:color="000000" w:space="0"/>
            </w:tcBorders>
          </w:tcPr>
          <w:p>
            <w:pPr>
              <w:keepNext/>
              <w:spacing w:after="20" w:line="240" w:lineRule="auto"/>
              <w:jc w:val="center"/>
            </w:pPr>
            <w:r>
              <w:rPr>
                <w:b/>
                <w:sz w:val="17"/>
              </w:rPr>
              <w:t>Precision (%)</w:t>
            </w:r>
          </w:p>
        </w:tc>
        <w:tc>
          <w:tcPr>
            <w:tcW w:type="dxa" w:w="1474"/>
            <w:shd w:val="clear" w:color="auto" w:fill="E7EEF7"/>
            <w:tcBorders>
              <w:top w:val="single" w:sz="10" w:color="000000" w:space="0"/>
              <w:bottom w:val="single" w:sz="6" w:color="000000" w:space="0"/>
            </w:tcBorders>
          </w:tcPr>
          <w:p>
            <w:pPr>
              <w:keepNext/>
              <w:spacing w:after="20" w:line="240" w:lineRule="auto"/>
              <w:jc w:val="center"/>
            </w:pPr>
            <w:r>
              <w:rPr>
                <w:b/>
                <w:sz w:val="17"/>
              </w:rPr>
              <w:t>Ukuran model</w:t>
            </w:r>
          </w:p>
        </w:tc>
      </w:tr>
      <w:tr>
        <w:trPr>
          <w:cantSplit/>
        </w:trPr>
        <w:tc>
          <w:tcPr>
            <w:tcW w:type="dxa" w:w="2835"/>
          </w:tcPr>
          <w:p>
            <w:pPr>
              <w:keepNext/>
              <w:spacing w:after="20" w:line="240" w:lineRule="auto"/>
              <w:jc w:val="left"/>
            </w:pPr>
            <w:r>
              <w:rPr>
                <w:sz w:val="17"/>
              </w:rPr>
              <w:t>U-Net [3]</w:t>
            </w:r>
          </w:p>
        </w:tc>
        <w:tc>
          <w:tcPr>
            <w:tcW w:type="dxa" w:w="1020"/>
          </w:tcPr>
          <w:p>
            <w:pPr>
              <w:keepNext/>
              <w:spacing w:after="20" w:line="240" w:lineRule="auto"/>
              <w:jc w:val="center"/>
            </w:pPr>
            <w:r>
              <w:rPr>
                <w:sz w:val="17"/>
              </w:rPr>
              <w:t>81,46</w:t>
            </w:r>
          </w:p>
        </w:tc>
        <w:tc>
          <w:tcPr>
            <w:tcW w:type="dxa" w:w="907"/>
          </w:tcPr>
          <w:p>
            <w:pPr>
              <w:keepNext/>
              <w:spacing w:after="20" w:line="240" w:lineRule="auto"/>
              <w:jc w:val="center"/>
            </w:pPr>
            <w:r>
              <w:rPr>
                <w:sz w:val="17"/>
              </w:rPr>
              <w:t>86,10</w:t>
            </w:r>
          </w:p>
        </w:tc>
        <w:tc>
          <w:tcPr>
            <w:tcW w:type="dxa" w:w="1020"/>
          </w:tcPr>
          <w:p>
            <w:pPr>
              <w:keepNext/>
              <w:spacing w:after="20" w:line="240" w:lineRule="auto"/>
              <w:jc w:val="center"/>
            </w:pPr>
            <w:r>
              <w:rPr>
                <w:sz w:val="17"/>
              </w:rPr>
              <w:t>81,22</w:t>
            </w:r>
          </w:p>
        </w:tc>
        <w:tc>
          <w:tcPr>
            <w:tcW w:type="dxa" w:w="1134"/>
          </w:tcPr>
          <w:p>
            <w:pPr>
              <w:keepNext/>
              <w:spacing w:after="20" w:line="240" w:lineRule="auto"/>
              <w:jc w:val="center"/>
            </w:pPr>
            <w:r>
              <w:rPr>
                <w:sz w:val="17"/>
              </w:rPr>
              <w:t>85,61</w:t>
            </w:r>
          </w:p>
        </w:tc>
        <w:tc>
          <w:tcPr>
            <w:tcW w:type="dxa" w:w="1474"/>
          </w:tcPr>
          <w:p>
            <w:pPr>
              <w:keepNext/>
              <w:spacing w:after="20" w:line="240" w:lineRule="auto"/>
              <w:jc w:val="center"/>
            </w:pPr>
            <w:r>
              <w:rPr>
                <w:sz w:val="17"/>
              </w:rPr>
              <w:t>tidak dilaporkan</w:t>
            </w:r>
          </w:p>
        </w:tc>
      </w:tr>
      <w:tr>
        <w:trPr>
          <w:cantSplit/>
        </w:trPr>
        <w:tc>
          <w:tcPr>
            <w:tcW w:type="dxa" w:w="2835"/>
          </w:tcPr>
          <w:p>
            <w:pPr>
              <w:keepNext/>
              <w:spacing w:after="20" w:line="240" w:lineRule="auto"/>
              <w:jc w:val="left"/>
            </w:pPr>
            <w:r>
              <w:rPr>
                <w:sz w:val="17"/>
              </w:rPr>
              <w:t>DeepLabv3 [3]</w:t>
            </w:r>
          </w:p>
        </w:tc>
        <w:tc>
          <w:tcPr>
            <w:tcW w:type="dxa" w:w="1020"/>
          </w:tcPr>
          <w:p>
            <w:pPr>
              <w:keepNext/>
              <w:spacing w:after="20" w:line="240" w:lineRule="auto"/>
              <w:jc w:val="center"/>
            </w:pPr>
            <w:r>
              <w:rPr>
                <w:sz w:val="17"/>
              </w:rPr>
              <w:t>82,94</w:t>
            </w:r>
          </w:p>
        </w:tc>
        <w:tc>
          <w:tcPr>
            <w:tcW w:type="dxa" w:w="907"/>
          </w:tcPr>
          <w:p>
            <w:pPr>
              <w:keepNext/>
              <w:spacing w:after="20" w:line="240" w:lineRule="auto"/>
              <w:jc w:val="center"/>
            </w:pPr>
            <w:r>
              <w:rPr>
                <w:sz w:val="17"/>
              </w:rPr>
              <w:t>87,70</w:t>
            </w:r>
          </w:p>
        </w:tc>
        <w:tc>
          <w:tcPr>
            <w:tcW w:type="dxa" w:w="1020"/>
          </w:tcPr>
          <w:p>
            <w:pPr>
              <w:keepNext/>
              <w:spacing w:after="20" w:line="240" w:lineRule="auto"/>
              <w:jc w:val="center"/>
            </w:pPr>
            <w:r>
              <w:rPr>
                <w:sz w:val="17"/>
              </w:rPr>
              <w:t>84,76</w:t>
            </w:r>
          </w:p>
        </w:tc>
        <w:tc>
          <w:tcPr>
            <w:tcW w:type="dxa" w:w="1134"/>
          </w:tcPr>
          <w:p>
            <w:pPr>
              <w:keepNext/>
              <w:spacing w:after="20" w:line="240" w:lineRule="auto"/>
              <w:jc w:val="center"/>
            </w:pPr>
            <w:r>
              <w:rPr>
                <w:sz w:val="17"/>
              </w:rPr>
              <w:t>88,08</w:t>
            </w:r>
          </w:p>
        </w:tc>
        <w:tc>
          <w:tcPr>
            <w:tcW w:type="dxa" w:w="1474"/>
          </w:tcPr>
          <w:p>
            <w:pPr>
              <w:keepNext/>
              <w:spacing w:after="20" w:line="240" w:lineRule="auto"/>
              <w:jc w:val="center"/>
            </w:pPr>
            <w:r>
              <w:rPr>
                <w:sz w:val="17"/>
              </w:rPr>
              <w:t>tidak dilaporkan</w:t>
            </w:r>
          </w:p>
        </w:tc>
      </w:tr>
      <w:tr>
        <w:trPr>
          <w:cantSplit/>
        </w:trPr>
        <w:tc>
          <w:tcPr>
            <w:tcW w:type="dxa" w:w="2835"/>
          </w:tcPr>
          <w:p>
            <w:pPr>
              <w:keepNext/>
              <w:spacing w:after="20" w:line="240" w:lineRule="auto"/>
              <w:jc w:val="left"/>
            </w:pPr>
            <w:r>
              <w:rPr>
                <w:sz w:val="17"/>
              </w:rPr>
              <w:t>CBD-Net [3]</w:t>
            </w:r>
          </w:p>
        </w:tc>
        <w:tc>
          <w:tcPr>
            <w:tcW w:type="dxa" w:w="1020"/>
          </w:tcPr>
          <w:p>
            <w:pPr>
              <w:keepNext/>
              <w:spacing w:after="20" w:line="240" w:lineRule="auto"/>
              <w:jc w:val="center"/>
            </w:pPr>
            <w:r>
              <w:rPr>
                <w:sz w:val="17"/>
              </w:rPr>
              <w:t>83,42</w:t>
            </w:r>
          </w:p>
        </w:tc>
        <w:tc>
          <w:tcPr>
            <w:tcW w:type="dxa" w:w="907"/>
          </w:tcPr>
          <w:p>
            <w:pPr>
              <w:keepNext/>
              <w:spacing w:after="20" w:line="240" w:lineRule="auto"/>
              <w:jc w:val="center"/>
            </w:pPr>
            <w:r>
              <w:rPr>
                <w:sz w:val="17"/>
              </w:rPr>
              <w:t>87,87</w:t>
            </w:r>
          </w:p>
        </w:tc>
        <w:tc>
          <w:tcPr>
            <w:tcW w:type="dxa" w:w="1020"/>
          </w:tcPr>
          <w:p>
            <w:pPr>
              <w:keepNext/>
              <w:spacing w:after="20" w:line="240" w:lineRule="auto"/>
              <w:jc w:val="center"/>
            </w:pPr>
            <w:r>
              <w:rPr>
                <w:sz w:val="17"/>
              </w:rPr>
              <w:t>87,32</w:t>
            </w:r>
          </w:p>
        </w:tc>
        <w:tc>
          <w:tcPr>
            <w:tcW w:type="dxa" w:w="1134"/>
          </w:tcPr>
          <w:p>
            <w:pPr>
              <w:keepNext/>
              <w:spacing w:after="20" w:line="240" w:lineRule="auto"/>
              <w:jc w:val="center"/>
            </w:pPr>
            <w:r>
              <w:rPr>
                <w:sz w:val="17"/>
              </w:rPr>
              <w:t>91,20</w:t>
            </w:r>
          </w:p>
        </w:tc>
        <w:tc>
          <w:tcPr>
            <w:tcW w:type="dxa" w:w="1474"/>
          </w:tcPr>
          <w:p>
            <w:pPr>
              <w:keepNext/>
              <w:spacing w:after="20" w:line="240" w:lineRule="auto"/>
              <w:jc w:val="center"/>
            </w:pPr>
            <w:r>
              <w:rPr>
                <w:sz w:val="17"/>
              </w:rPr>
              <w:t>tidak dilaporkan</w:t>
            </w:r>
          </w:p>
        </w:tc>
      </w:tr>
      <w:tr>
        <w:trPr>
          <w:cantSplit/>
        </w:trPr>
        <w:tc>
          <w:tcPr>
            <w:tcW w:type="dxa" w:w="2835"/>
          </w:tcPr>
          <w:p>
            <w:pPr>
              <w:keepNext/>
              <w:spacing w:after="20" w:line="240" w:lineRule="auto"/>
              <w:jc w:val="left"/>
            </w:pPr>
            <w:r>
              <w:rPr>
                <w:sz w:val="17"/>
              </w:rPr>
              <w:t>LightGBM (ours)</w:t>
            </w:r>
          </w:p>
        </w:tc>
        <w:tc>
          <w:tcPr>
            <w:tcW w:type="dxa" w:w="1020"/>
          </w:tcPr>
          <w:p>
            <w:pPr>
              <w:keepNext/>
              <w:spacing w:after="20" w:line="240" w:lineRule="auto"/>
              <w:jc w:val="center"/>
            </w:pPr>
            <w:r>
              <w:rPr>
                <w:sz w:val="17"/>
              </w:rPr>
              <w:t>73,43</w:t>
            </w:r>
          </w:p>
        </w:tc>
        <w:tc>
          <w:tcPr>
            <w:tcW w:type="dxa" w:w="907"/>
          </w:tcPr>
          <w:p>
            <w:pPr>
              <w:keepNext/>
              <w:spacing w:after="20" w:line="240" w:lineRule="auto"/>
              <w:jc w:val="center"/>
            </w:pPr>
            <w:r>
              <w:rPr>
                <w:sz w:val="17"/>
              </w:rPr>
              <w:t>80,56</w:t>
            </w:r>
          </w:p>
        </w:tc>
        <w:tc>
          <w:tcPr>
            <w:tcW w:type="dxa" w:w="1020"/>
          </w:tcPr>
          <w:p>
            <w:pPr>
              <w:keepNext/>
              <w:spacing w:after="20" w:line="240" w:lineRule="auto"/>
              <w:jc w:val="center"/>
            </w:pPr>
            <w:r>
              <w:rPr>
                <w:sz w:val="17"/>
              </w:rPr>
              <w:t>86,12</w:t>
            </w:r>
          </w:p>
        </w:tc>
        <w:tc>
          <w:tcPr>
            <w:tcW w:type="dxa" w:w="1134"/>
          </w:tcPr>
          <w:p>
            <w:pPr>
              <w:keepNext/>
              <w:spacing w:after="20" w:line="240" w:lineRule="auto"/>
              <w:jc w:val="center"/>
            </w:pPr>
            <w:r>
              <w:rPr>
                <w:sz w:val="17"/>
              </w:rPr>
              <w:t>75,68</w:t>
            </w:r>
          </w:p>
        </w:tc>
        <w:tc>
          <w:tcPr>
            <w:tcW w:type="dxa" w:w="1474"/>
          </w:tcPr>
          <w:p>
            <w:pPr>
              <w:keepNext/>
              <w:spacing w:after="20" w:line="240" w:lineRule="auto"/>
              <w:jc w:val="center"/>
            </w:pPr>
            <w:r>
              <w:rPr>
                <w:sz w:val="17"/>
              </w:rPr>
              <w:t>0,24 MB</w:t>
            </w:r>
          </w:p>
        </w:tc>
      </w:tr>
      <w:tr>
        <w:trPr>
          <w:cantSplit/>
        </w:trPr>
        <w:tc>
          <w:tcPr>
            <w:tcW w:type="dxa" w:w="2835"/>
          </w:tcPr>
          <w:p>
            <w:pPr>
              <w:keepNext/>
              <w:spacing w:after="20" w:line="240" w:lineRule="auto"/>
              <w:jc w:val="left"/>
            </w:pPr>
            <w:r>
              <w:rPr>
                <w:sz w:val="17"/>
              </w:rPr>
              <w:t>U-Net Lite (ours, INT8)</w:t>
            </w:r>
          </w:p>
        </w:tc>
        <w:tc>
          <w:tcPr>
            <w:tcW w:type="dxa" w:w="1020"/>
          </w:tcPr>
          <w:p>
            <w:pPr>
              <w:keepNext/>
              <w:spacing w:after="20" w:line="240" w:lineRule="auto"/>
              <w:jc w:val="center"/>
            </w:pPr>
            <w:r>
              <w:rPr>
                <w:sz w:val="17"/>
              </w:rPr>
              <w:t>79,46</w:t>
            </w:r>
          </w:p>
        </w:tc>
        <w:tc>
          <w:tcPr>
            <w:tcW w:type="dxa" w:w="907"/>
          </w:tcPr>
          <w:p>
            <w:pPr>
              <w:keepNext/>
              <w:spacing w:after="20" w:line="240" w:lineRule="auto"/>
              <w:jc w:val="center"/>
            </w:pPr>
            <w:r>
              <w:rPr>
                <w:sz w:val="17"/>
              </w:rPr>
              <w:t>85,45</w:t>
            </w:r>
          </w:p>
        </w:tc>
        <w:tc>
          <w:tcPr>
            <w:tcW w:type="dxa" w:w="1020"/>
          </w:tcPr>
          <w:p>
            <w:pPr>
              <w:keepNext/>
              <w:spacing w:after="20" w:line="240" w:lineRule="auto"/>
              <w:jc w:val="center"/>
            </w:pPr>
            <w:r>
              <w:rPr>
                <w:sz w:val="17"/>
              </w:rPr>
              <w:t>90,90</w:t>
            </w:r>
          </w:p>
        </w:tc>
        <w:tc>
          <w:tcPr>
            <w:tcW w:type="dxa" w:w="1134"/>
          </w:tcPr>
          <w:p>
            <w:pPr>
              <w:keepNext/>
              <w:spacing w:after="20" w:line="240" w:lineRule="auto"/>
              <w:jc w:val="center"/>
            </w:pPr>
            <w:r>
              <w:rPr>
                <w:sz w:val="17"/>
              </w:rPr>
              <w:t>80,62</w:t>
            </w:r>
          </w:p>
        </w:tc>
        <w:tc>
          <w:tcPr>
            <w:tcW w:type="dxa" w:w="1474"/>
          </w:tcPr>
          <w:p>
            <w:pPr>
              <w:keepNext/>
              <w:spacing w:after="20" w:line="240" w:lineRule="auto"/>
              <w:jc w:val="center"/>
            </w:pPr>
            <w:r>
              <w:rPr>
                <w:sz w:val="17"/>
              </w:rPr>
              <w:t>2,01 MB</w:t>
            </w:r>
          </w:p>
        </w:tc>
      </w:tr>
      <w:tr>
        <w:trPr>
          <w:cantSplit/>
        </w:trPr>
        <w:tc>
          <w:tcPr>
            <w:tcW w:type="dxa" w:w="2835"/>
            <w:tcBorders>
              <w:bottom w:val="single" w:sz="10" w:color="000000" w:space="0"/>
            </w:tcBorders>
            <w:shd w:val="clear" w:color="auto" w:fill="F2F7EC"/>
          </w:tcPr>
          <w:p>
            <w:pPr>
              <w:spacing w:after="20" w:line="240" w:lineRule="auto"/>
              <w:jc w:val="left"/>
            </w:pPr>
            <w:r>
              <w:rPr>
                <w:b/>
                <w:sz w:val="17"/>
              </w:rPr>
              <w:t>DeepLabV3+ MobileNetV2 (ours, INT8)</w:t>
            </w:r>
          </w:p>
        </w:tc>
        <w:tc>
          <w:tcPr>
            <w:tcW w:type="dxa" w:w="1020"/>
            <w:tcBorders>
              <w:bottom w:val="single" w:sz="10" w:color="000000" w:space="0"/>
            </w:tcBorders>
            <w:shd w:val="clear" w:color="auto" w:fill="F2F7EC"/>
          </w:tcPr>
          <w:p>
            <w:pPr>
              <w:spacing w:after="20" w:line="240" w:lineRule="auto"/>
              <w:jc w:val="center"/>
            </w:pPr>
            <w:r>
              <w:rPr>
                <w:b/>
                <w:sz w:val="17"/>
              </w:rPr>
              <w:t>81,23</w:t>
            </w:r>
          </w:p>
        </w:tc>
        <w:tc>
          <w:tcPr>
            <w:tcW w:type="dxa" w:w="907"/>
            <w:tcBorders>
              <w:bottom w:val="single" w:sz="10" w:color="000000" w:space="0"/>
            </w:tcBorders>
            <w:shd w:val="clear" w:color="auto" w:fill="F2F7EC"/>
          </w:tcPr>
          <w:p>
            <w:pPr>
              <w:spacing w:after="20" w:line="240" w:lineRule="auto"/>
              <w:jc w:val="center"/>
            </w:pPr>
            <w:r>
              <w:rPr>
                <w:b/>
                <w:sz w:val="17"/>
              </w:rPr>
              <w:t>86,73</w:t>
            </w:r>
          </w:p>
        </w:tc>
        <w:tc>
          <w:tcPr>
            <w:tcW w:type="dxa" w:w="1020"/>
            <w:tcBorders>
              <w:bottom w:val="single" w:sz="10" w:color="000000" w:space="0"/>
            </w:tcBorders>
            <w:shd w:val="clear" w:color="auto" w:fill="F2F7EC"/>
          </w:tcPr>
          <w:p>
            <w:pPr>
              <w:spacing w:after="20" w:line="240" w:lineRule="auto"/>
              <w:jc w:val="center"/>
            </w:pPr>
            <w:r>
              <w:rPr>
                <w:b/>
                <w:sz w:val="17"/>
              </w:rPr>
              <w:t>90,16</w:t>
            </w:r>
          </w:p>
        </w:tc>
        <w:tc>
          <w:tcPr>
            <w:tcW w:type="dxa" w:w="1134"/>
            <w:tcBorders>
              <w:bottom w:val="single" w:sz="10" w:color="000000" w:space="0"/>
            </w:tcBorders>
            <w:shd w:val="clear" w:color="auto" w:fill="F2F7EC"/>
          </w:tcPr>
          <w:p>
            <w:pPr>
              <w:spacing w:after="20" w:line="240" w:lineRule="auto"/>
              <w:jc w:val="center"/>
            </w:pPr>
            <w:r>
              <w:rPr>
                <w:b/>
                <w:sz w:val="17"/>
              </w:rPr>
              <w:t>83,44</w:t>
            </w:r>
          </w:p>
        </w:tc>
        <w:tc>
          <w:tcPr>
            <w:tcW w:type="dxa" w:w="1474"/>
            <w:tcBorders>
              <w:bottom w:val="single" w:sz="10" w:color="000000" w:space="0"/>
            </w:tcBorders>
            <w:shd w:val="clear" w:color="auto" w:fill="F2F7EC"/>
          </w:tcPr>
          <w:p>
            <w:pPr>
              <w:spacing w:after="20" w:line="240" w:lineRule="auto"/>
              <w:jc w:val="center"/>
            </w:pPr>
            <w:r>
              <w:rPr>
                <w:b/>
                <w:sz w:val="17"/>
              </w:rPr>
              <w:t>4,84 MB</w:t>
            </w:r>
          </w:p>
        </w:tc>
      </w:tr>
    </w:tbl>
    <w:p>
      <w:pPr>
        <w:spacing w:after="160"/>
      </w:pPr>
      <w:r>
        <w:rPr>
          <w:sz w:val="17"/>
        </w:rPr>
        <w:t>Nilai [3] dikutip dari Tabel III paper tersebut (threshold 0,5; cara agregasi tidak dirinci). mIoU kami = rata-rata IoU minyak dan IoU latar; recall/precision DeepLabV3+ dari model PyTorch, F1 dari varian INT8. Perbedaan protokol membuat perbandingan ini indikatif.</w:t>
      </w:r>
    </w:p>
    <w:p>
      <w:pPr>
        <w:ind w:firstLine="425"/>
        <w:jc w:val="both"/>
      </w:pPr>
      <w:r>
        <w:t>DeepLabV3+ mempersempit selisih F1 dengan CBD-Net [3] dari 2,4 poin (U-Net Lite) menjadi 1,1 poin, dengan model INT8 4,84 MB yang berjalan di browser. Recall model DL kami (90–91%) adalah yang tertinggi pada Tabel 3.</w:t>
      </w:r>
    </w:p>
    <w:p>
      <w:pPr>
        <w:pStyle w:val="Heading2"/>
      </w:pPr>
      <w:r>
        <w:t>3.3 Efisiensi komputasi (Green/Edge AI)</w:t>
      </w:r>
    </w:p>
    <w:p>
      <w:pPr>
        <w:keepNext/>
        <w:spacing w:after="60" w:before="120"/>
        <w:jc w:val="center"/>
      </w:pPr>
      <w:r>
        <w:rPr>
          <w:b/>
          <w:sz w:val="19"/>
        </w:rPr>
        <w:t>Tabel 4.</w:t>
      </w:r>
      <w:r>
        <w:rPr>
          <w:sz w:val="19"/>
        </w:rPr>
        <w:t xml:space="preserve"> Ukuran, kesetaraan ONNX, dan latensi model yang dipakai di web.</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381"/>
            <w:shd w:val="clear" w:color="auto" w:fill="E7EEF7"/>
            <w:tcBorders>
              <w:top w:val="single" w:sz="10" w:color="000000" w:space="0"/>
              <w:bottom w:val="single" w:sz="6" w:color="000000" w:space="0"/>
            </w:tcBorders>
          </w:tcPr>
          <w:p>
            <w:pPr>
              <w:keepNext/>
              <w:spacing w:after="20" w:line="240" w:lineRule="auto"/>
              <w:jc w:val="left"/>
            </w:pPr>
            <w:r>
              <w:rPr>
                <w:b/>
                <w:sz w:val="17"/>
              </w:rPr>
              <w:t>Model (varian web)</w:t>
            </w:r>
          </w:p>
        </w:tc>
        <w:tc>
          <w:tcPr>
            <w:tcW w:type="dxa" w:w="964"/>
            <w:shd w:val="clear" w:color="auto" w:fill="E7EEF7"/>
            <w:tcBorders>
              <w:top w:val="single" w:sz="10" w:color="000000" w:space="0"/>
              <w:bottom w:val="single" w:sz="6" w:color="000000" w:space="0"/>
            </w:tcBorders>
          </w:tcPr>
          <w:p>
            <w:pPr>
              <w:keepNext/>
              <w:spacing w:after="20" w:line="240" w:lineRule="auto"/>
              <w:jc w:val="center"/>
            </w:pPr>
            <w:r>
              <w:rPr>
                <w:b/>
                <w:sz w:val="17"/>
              </w:rPr>
              <w:t>Ukuran</w:t>
            </w:r>
          </w:p>
        </w:tc>
        <w:tc>
          <w:tcPr>
            <w:tcW w:type="dxa" w:w="1134"/>
            <w:shd w:val="clear" w:color="auto" w:fill="E7EEF7"/>
            <w:tcBorders>
              <w:top w:val="single" w:sz="10" w:color="000000" w:space="0"/>
              <w:bottom w:val="single" w:sz="6" w:color="000000" w:space="0"/>
            </w:tcBorders>
          </w:tcPr>
          <w:p>
            <w:pPr>
              <w:keepNext/>
              <w:spacing w:after="20" w:line="240" w:lineRule="auto"/>
              <w:jc w:val="center"/>
            </w:pPr>
            <w:r>
              <w:rPr>
                <w:b/>
                <w:sz w:val="17"/>
              </w:rPr>
              <w:t>Dice uji ONNX</w:t>
            </w:r>
          </w:p>
        </w:tc>
        <w:tc>
          <w:tcPr>
            <w:tcW w:type="dxa" w:w="2041"/>
            <w:shd w:val="clear" w:color="auto" w:fill="E7EEF7"/>
            <w:tcBorders>
              <w:top w:val="single" w:sz="10" w:color="000000" w:space="0"/>
              <w:bottom w:val="single" w:sz="6" w:color="000000" w:space="0"/>
            </w:tcBorders>
          </w:tcPr>
          <w:p>
            <w:pPr>
              <w:keepNext/>
              <w:spacing w:after="20" w:line="240" w:lineRule="auto"/>
              <w:jc w:val="center"/>
            </w:pPr>
            <w:r>
              <w:rPr>
                <w:b/>
                <w:sz w:val="17"/>
              </w:rPr>
              <w:t>Kesetaraan dengan notebook</w:t>
            </w:r>
          </w:p>
        </w:tc>
        <w:tc>
          <w:tcPr>
            <w:tcW w:type="dxa" w:w="1077"/>
            <w:shd w:val="clear" w:color="auto" w:fill="E7EEF7"/>
            <w:tcBorders>
              <w:top w:val="single" w:sz="10" w:color="000000" w:space="0"/>
              <w:bottom w:val="single" w:sz="6" w:color="000000" w:space="0"/>
            </w:tcBorders>
          </w:tcPr>
          <w:p>
            <w:pPr>
              <w:keepNext/>
              <w:spacing w:after="20" w:line="240" w:lineRule="auto"/>
              <w:jc w:val="center"/>
            </w:pPr>
            <w:r>
              <w:rPr>
                <w:b/>
                <w:sz w:val="17"/>
              </w:rPr>
              <w:t>Latensi CPU*</w:t>
            </w:r>
          </w:p>
        </w:tc>
        <w:tc>
          <w:tcPr>
            <w:tcW w:type="dxa" w:w="1304"/>
            <w:shd w:val="clear" w:color="auto" w:fill="E7EEF7"/>
            <w:tcBorders>
              <w:top w:val="single" w:sz="10" w:color="000000" w:space="0"/>
              <w:bottom w:val="single" w:sz="6" w:color="000000" w:space="0"/>
            </w:tcBorders>
          </w:tcPr>
          <w:p>
            <w:pPr>
              <w:keepNext/>
              <w:spacing w:after="20" w:line="240" w:lineRule="auto"/>
              <w:jc w:val="center"/>
            </w:pPr>
            <w:r>
              <w:rPr>
                <w:b/>
                <w:sz w:val="17"/>
              </w:rPr>
              <w:t>Latensi browser**</w:t>
            </w:r>
          </w:p>
        </w:tc>
      </w:tr>
      <w:tr>
        <w:trPr>
          <w:cantSplit/>
        </w:trPr>
        <w:tc>
          <w:tcPr>
            <w:tcW w:type="dxa" w:w="2381"/>
          </w:tcPr>
          <w:p>
            <w:pPr>
              <w:keepNext/>
              <w:spacing w:after="20" w:line="240" w:lineRule="auto"/>
              <w:jc w:val="left"/>
            </w:pPr>
            <w:r>
              <w:rPr>
                <w:sz w:val="17"/>
              </w:rPr>
              <w:t>Dark-spot (ONNX)</w:t>
            </w:r>
          </w:p>
        </w:tc>
        <w:tc>
          <w:tcPr>
            <w:tcW w:type="dxa" w:w="964"/>
          </w:tcPr>
          <w:p>
            <w:pPr>
              <w:keepNext/>
              <w:spacing w:after="20" w:line="240" w:lineRule="auto"/>
              <w:jc w:val="center"/>
            </w:pPr>
            <w:r>
              <w:rPr>
                <w:sz w:val="17"/>
              </w:rPr>
              <w:t>&lt;0,1 MB</w:t>
            </w:r>
          </w:p>
        </w:tc>
        <w:tc>
          <w:tcPr>
            <w:tcW w:type="dxa" w:w="1134"/>
          </w:tcPr>
          <w:p>
            <w:pPr>
              <w:keepNext/>
              <w:spacing w:after="20" w:line="240" w:lineRule="auto"/>
              <w:jc w:val="center"/>
            </w:pPr>
            <w:r>
              <w:rPr>
                <w:sz w:val="17"/>
              </w:rPr>
              <w:t>0,7259</w:t>
            </w:r>
          </w:p>
        </w:tc>
        <w:tc>
          <w:tcPr>
            <w:tcW w:type="dxa" w:w="2041"/>
          </w:tcPr>
          <w:p>
            <w:pPr>
              <w:keepNext/>
              <w:spacing w:after="20" w:line="240" w:lineRule="auto"/>
              <w:jc w:val="center"/>
            </w:pPr>
            <w:r>
              <w:rPr>
                <w:sz w:val="17"/>
              </w:rPr>
              <w:t>piksel identik 100%</w:t>
            </w:r>
          </w:p>
        </w:tc>
        <w:tc>
          <w:tcPr>
            <w:tcW w:type="dxa" w:w="1077"/>
          </w:tcPr>
          <w:p>
            <w:pPr>
              <w:keepNext/>
              <w:spacing w:after="20" w:line="240" w:lineRule="auto"/>
              <w:jc w:val="center"/>
            </w:pPr>
            <w:r>
              <w:rPr>
                <w:sz w:val="17"/>
              </w:rPr>
              <w:t>0,3 ms</w:t>
            </w:r>
          </w:p>
        </w:tc>
        <w:tc>
          <w:tcPr>
            <w:tcW w:type="dxa" w:w="1304"/>
          </w:tcPr>
          <w:p>
            <w:pPr>
              <w:keepNext/>
              <w:spacing w:after="20" w:line="240" w:lineRule="auto"/>
              <w:jc w:val="center"/>
            </w:pPr>
            <w:r>
              <w:rPr>
                <w:sz w:val="17"/>
              </w:rPr>
              <w:t>±1 ms</w:t>
            </w:r>
          </w:p>
        </w:tc>
      </w:tr>
      <w:tr>
        <w:trPr>
          <w:cantSplit/>
        </w:trPr>
        <w:tc>
          <w:tcPr>
            <w:tcW w:type="dxa" w:w="2381"/>
          </w:tcPr>
          <w:p>
            <w:pPr>
              <w:keepNext/>
              <w:spacing w:after="20" w:line="240" w:lineRule="auto"/>
              <w:jc w:val="left"/>
            </w:pPr>
            <w:r>
              <w:rPr>
                <w:sz w:val="17"/>
              </w:rPr>
              <w:t>Random Forest (fitur + pohon)</w:t>
            </w:r>
          </w:p>
        </w:tc>
        <w:tc>
          <w:tcPr>
            <w:tcW w:type="dxa" w:w="964"/>
          </w:tcPr>
          <w:p>
            <w:pPr>
              <w:keepNext/>
              <w:spacing w:after="20" w:line="240" w:lineRule="auto"/>
              <w:jc w:val="center"/>
            </w:pPr>
            <w:r>
              <w:rPr>
                <w:sz w:val="17"/>
              </w:rPr>
              <w:t>1,83 MB</w:t>
            </w:r>
          </w:p>
        </w:tc>
        <w:tc>
          <w:tcPr>
            <w:tcW w:type="dxa" w:w="1134"/>
          </w:tcPr>
          <w:p>
            <w:pPr>
              <w:keepNext/>
              <w:spacing w:after="20" w:line="240" w:lineRule="auto"/>
              <w:jc w:val="center"/>
            </w:pPr>
            <w:r>
              <w:rPr>
                <w:sz w:val="17"/>
              </w:rPr>
              <w:t>–</w:t>
            </w:r>
          </w:p>
        </w:tc>
        <w:tc>
          <w:tcPr>
            <w:tcW w:type="dxa" w:w="2041"/>
          </w:tcPr>
          <w:p>
            <w:pPr>
              <w:keepNext/>
              <w:spacing w:after="20" w:line="240" w:lineRule="auto"/>
              <w:jc w:val="center"/>
            </w:pPr>
            <w:r>
              <w:rPr>
                <w:sz w:val="17"/>
              </w:rPr>
              <w:t>mask sama 99,98%†</w:t>
            </w:r>
          </w:p>
        </w:tc>
        <w:tc>
          <w:tcPr>
            <w:tcW w:type="dxa" w:w="1077"/>
          </w:tcPr>
          <w:p>
            <w:pPr>
              <w:keepNext/>
              <w:spacing w:after="20" w:line="240" w:lineRule="auto"/>
              <w:jc w:val="center"/>
            </w:pPr>
            <w:r>
              <w:rPr>
                <w:sz w:val="17"/>
              </w:rPr>
              <w:t>218 ms</w:t>
            </w:r>
          </w:p>
        </w:tc>
        <w:tc>
          <w:tcPr>
            <w:tcW w:type="dxa" w:w="1304"/>
          </w:tcPr>
          <w:p>
            <w:pPr>
              <w:keepNext/>
              <w:spacing w:after="20" w:line="240" w:lineRule="auto"/>
              <w:jc w:val="center"/>
            </w:pPr>
            <w:r>
              <w:rPr>
                <w:sz w:val="17"/>
              </w:rPr>
              <w:t>±270 ms</w:t>
            </w:r>
          </w:p>
        </w:tc>
      </w:tr>
      <w:tr>
        <w:trPr>
          <w:cantSplit/>
        </w:trPr>
        <w:tc>
          <w:tcPr>
            <w:tcW w:type="dxa" w:w="2381"/>
          </w:tcPr>
          <w:p>
            <w:pPr>
              <w:keepNext/>
              <w:spacing w:after="20" w:line="240" w:lineRule="auto"/>
              <w:jc w:val="left"/>
            </w:pPr>
            <w:r>
              <w:rPr>
                <w:sz w:val="17"/>
              </w:rPr>
              <w:t>LightGBM (fitur + pohon)</w:t>
            </w:r>
          </w:p>
        </w:tc>
        <w:tc>
          <w:tcPr>
            <w:tcW w:type="dxa" w:w="964"/>
          </w:tcPr>
          <w:p>
            <w:pPr>
              <w:keepNext/>
              <w:spacing w:after="20" w:line="240" w:lineRule="auto"/>
              <w:jc w:val="center"/>
            </w:pPr>
            <w:r>
              <w:rPr>
                <w:sz w:val="17"/>
              </w:rPr>
              <w:t>0,24 MB</w:t>
            </w:r>
          </w:p>
        </w:tc>
        <w:tc>
          <w:tcPr>
            <w:tcW w:type="dxa" w:w="1134"/>
          </w:tcPr>
          <w:p>
            <w:pPr>
              <w:keepNext/>
              <w:spacing w:after="20" w:line="240" w:lineRule="auto"/>
              <w:jc w:val="center"/>
            </w:pPr>
            <w:r>
              <w:rPr>
                <w:sz w:val="17"/>
              </w:rPr>
              <w:t>–</w:t>
            </w:r>
          </w:p>
        </w:tc>
        <w:tc>
          <w:tcPr>
            <w:tcW w:type="dxa" w:w="2041"/>
          </w:tcPr>
          <w:p>
            <w:pPr>
              <w:keepNext/>
              <w:spacing w:after="20" w:line="240" w:lineRule="auto"/>
              <w:jc w:val="center"/>
            </w:pPr>
            <w:r>
              <w:rPr>
                <w:sz w:val="17"/>
              </w:rPr>
              <w:t>mask sama 99,98%†</w:t>
            </w:r>
          </w:p>
        </w:tc>
        <w:tc>
          <w:tcPr>
            <w:tcW w:type="dxa" w:w="1077"/>
          </w:tcPr>
          <w:p>
            <w:pPr>
              <w:keepNext/>
              <w:spacing w:after="20" w:line="240" w:lineRule="auto"/>
              <w:jc w:val="center"/>
            </w:pPr>
            <w:r>
              <w:rPr>
                <w:sz w:val="17"/>
              </w:rPr>
              <w:t>349 ms</w:t>
            </w:r>
          </w:p>
        </w:tc>
        <w:tc>
          <w:tcPr>
            <w:tcW w:type="dxa" w:w="1304"/>
          </w:tcPr>
          <w:p>
            <w:pPr>
              <w:keepNext/>
              <w:spacing w:after="20" w:line="240" w:lineRule="auto"/>
              <w:jc w:val="center"/>
            </w:pPr>
            <w:r>
              <w:rPr>
                <w:sz w:val="17"/>
              </w:rPr>
              <w:t>±410 ms</w:t>
            </w:r>
          </w:p>
        </w:tc>
      </w:tr>
      <w:tr>
        <w:trPr>
          <w:cantSplit/>
        </w:trPr>
        <w:tc>
          <w:tcPr>
            <w:tcW w:type="dxa" w:w="2381"/>
          </w:tcPr>
          <w:p>
            <w:pPr>
              <w:keepNext/>
              <w:spacing w:after="20" w:line="240" w:lineRule="auto"/>
              <w:jc w:val="left"/>
            </w:pPr>
            <w:r>
              <w:rPr>
                <w:sz w:val="17"/>
              </w:rPr>
              <w:t>U-Net Lite INT8</w:t>
            </w:r>
          </w:p>
        </w:tc>
        <w:tc>
          <w:tcPr>
            <w:tcW w:type="dxa" w:w="964"/>
          </w:tcPr>
          <w:p>
            <w:pPr>
              <w:keepNext/>
              <w:spacing w:after="20" w:line="240" w:lineRule="auto"/>
              <w:jc w:val="center"/>
            </w:pPr>
            <w:r>
              <w:rPr>
                <w:sz w:val="17"/>
              </w:rPr>
              <w:t>2,01 MB</w:t>
            </w:r>
          </w:p>
        </w:tc>
        <w:tc>
          <w:tcPr>
            <w:tcW w:type="dxa" w:w="1134"/>
          </w:tcPr>
          <w:p>
            <w:pPr>
              <w:keepNext/>
              <w:spacing w:after="20" w:line="240" w:lineRule="auto"/>
              <w:jc w:val="center"/>
            </w:pPr>
            <w:r>
              <w:rPr>
                <w:sz w:val="17"/>
              </w:rPr>
              <w:t>0,8545</w:t>
            </w:r>
          </w:p>
        </w:tc>
        <w:tc>
          <w:tcPr>
            <w:tcW w:type="dxa" w:w="2041"/>
          </w:tcPr>
          <w:p>
            <w:pPr>
              <w:keepNext/>
              <w:spacing w:after="20" w:line="240" w:lineRule="auto"/>
              <w:jc w:val="center"/>
            </w:pPr>
            <w:r>
              <w:rPr>
                <w:sz w:val="17"/>
              </w:rPr>
              <w:t>FP32 7,77 MB: 0,8547</w:t>
            </w:r>
          </w:p>
        </w:tc>
        <w:tc>
          <w:tcPr>
            <w:tcW w:type="dxa" w:w="1077"/>
          </w:tcPr>
          <w:p>
            <w:pPr>
              <w:keepNext/>
              <w:spacing w:after="20" w:line="240" w:lineRule="auto"/>
              <w:jc w:val="center"/>
            </w:pPr>
            <w:r>
              <w:rPr>
                <w:sz w:val="17"/>
              </w:rPr>
              <w:t>50 ms</w:t>
            </w:r>
          </w:p>
        </w:tc>
        <w:tc>
          <w:tcPr>
            <w:tcW w:type="dxa" w:w="1304"/>
          </w:tcPr>
          <w:p>
            <w:pPr>
              <w:keepNext/>
              <w:spacing w:after="20" w:line="240" w:lineRule="auto"/>
              <w:jc w:val="center"/>
            </w:pPr>
            <w:r>
              <w:rPr>
                <w:sz w:val="17"/>
              </w:rPr>
              <w:t>105–122 ms</w:t>
            </w:r>
          </w:p>
        </w:tc>
      </w:tr>
      <w:tr>
        <w:trPr>
          <w:cantSplit/>
        </w:trPr>
        <w:tc>
          <w:tcPr>
            <w:tcW w:type="dxa" w:w="2381"/>
            <w:tcBorders>
              <w:bottom w:val="single" w:sz="10" w:color="000000" w:space="0"/>
            </w:tcBorders>
            <w:shd w:val="clear" w:color="auto" w:fill="F2F7EC"/>
          </w:tcPr>
          <w:p>
            <w:pPr>
              <w:spacing w:after="20" w:line="240" w:lineRule="auto"/>
              <w:jc w:val="left"/>
            </w:pPr>
            <w:r>
              <w:rPr>
                <w:b/>
                <w:sz w:val="17"/>
              </w:rPr>
              <w:t>DeepLabV3+ INT8</w:t>
            </w:r>
          </w:p>
        </w:tc>
        <w:tc>
          <w:tcPr>
            <w:tcW w:type="dxa" w:w="964"/>
            <w:tcBorders>
              <w:bottom w:val="single" w:sz="10" w:color="000000" w:space="0"/>
            </w:tcBorders>
            <w:shd w:val="clear" w:color="auto" w:fill="F2F7EC"/>
          </w:tcPr>
          <w:p>
            <w:pPr>
              <w:spacing w:after="20" w:line="240" w:lineRule="auto"/>
              <w:jc w:val="center"/>
            </w:pPr>
            <w:r>
              <w:rPr>
                <w:b/>
                <w:sz w:val="17"/>
              </w:rPr>
              <w:t>4,84 MB</w:t>
            </w:r>
          </w:p>
        </w:tc>
        <w:tc>
          <w:tcPr>
            <w:tcW w:type="dxa" w:w="1134"/>
            <w:tcBorders>
              <w:bottom w:val="single" w:sz="10" w:color="000000" w:space="0"/>
            </w:tcBorders>
            <w:shd w:val="clear" w:color="auto" w:fill="F2F7EC"/>
          </w:tcPr>
          <w:p>
            <w:pPr>
              <w:spacing w:after="20" w:line="240" w:lineRule="auto"/>
              <w:jc w:val="center"/>
            </w:pPr>
            <w:r>
              <w:rPr>
                <w:b/>
                <w:sz w:val="17"/>
              </w:rPr>
              <w:t>0,8673</w:t>
            </w:r>
          </w:p>
        </w:tc>
        <w:tc>
          <w:tcPr>
            <w:tcW w:type="dxa" w:w="2041"/>
            <w:tcBorders>
              <w:bottom w:val="single" w:sz="10" w:color="000000" w:space="0"/>
            </w:tcBorders>
            <w:shd w:val="clear" w:color="auto" w:fill="F2F7EC"/>
          </w:tcPr>
          <w:p>
            <w:pPr>
              <w:spacing w:after="20" w:line="240" w:lineRule="auto"/>
              <w:jc w:val="center"/>
            </w:pPr>
            <w:r>
              <w:rPr>
                <w:b/>
                <w:sz w:val="17"/>
              </w:rPr>
              <w:t>FP32 17,5 MB: 0,8667</w:t>
            </w:r>
          </w:p>
        </w:tc>
        <w:tc>
          <w:tcPr>
            <w:tcW w:type="dxa" w:w="1077"/>
            <w:tcBorders>
              <w:bottom w:val="single" w:sz="10" w:color="000000" w:space="0"/>
            </w:tcBorders>
            <w:shd w:val="clear" w:color="auto" w:fill="F2F7EC"/>
          </w:tcPr>
          <w:p>
            <w:pPr>
              <w:spacing w:after="20" w:line="240" w:lineRule="auto"/>
              <w:jc w:val="center"/>
            </w:pPr>
            <w:r>
              <w:rPr>
                <w:b/>
                <w:sz w:val="17"/>
              </w:rPr>
              <w:t>26 ms</w:t>
            </w:r>
          </w:p>
        </w:tc>
        <w:tc>
          <w:tcPr>
            <w:tcW w:type="dxa" w:w="1304"/>
            <w:tcBorders>
              <w:bottom w:val="single" w:sz="10" w:color="000000" w:space="0"/>
            </w:tcBorders>
            <w:shd w:val="clear" w:color="auto" w:fill="F2F7EC"/>
          </w:tcPr>
          <w:p>
            <w:pPr>
              <w:spacing w:after="20" w:line="240" w:lineRule="auto"/>
              <w:jc w:val="center"/>
            </w:pPr>
            <w:r>
              <w:rPr>
                <w:b/>
                <w:sz w:val="17"/>
              </w:rPr>
              <w:t>±130 ms</w:t>
            </w:r>
          </w:p>
        </w:tc>
      </w:tr>
    </w:tbl>
    <w:p>
      <w:pPr>
        <w:spacing w:after="160"/>
      </w:pPr>
      <w:r>
        <w:rPr>
          <w:i/>
          <w:sz w:val="17"/>
        </w:rPr>
        <w:t xml:space="preserve">onnxruntime CPU Colab (2 vCPU), 1 thread, batch 1, median 20 run. </w:t>
      </w:r>
      <w:r>
        <w:rPr>
          <w:i/>
          <w:sz w:val="17"/>
        </w:rPr>
        <w:t>Chrome di laptop uji, onnxruntime-web WASM multi-thread (COOP/COEP), median 3 run setelah warm-up. †Diuji pada 100 citra uji acak karena inferensi pohon di CPU lambat</w:t>
      </w:r>
    </w:p>
    <w:p>
      <w:pPr>
        <w:ind w:firstLine="425"/>
        <w:jc w:val="both"/>
      </w:pPr>
      <w:r>
        <w:t xml:space="preserve">Kuantisasi INT8 memperkecil DeepLabV3+ 3,6 kali tanpa penurunan Dice, dan justru tercepat di CPU karena MobileNetV2 memakai konvolusi </w:t>
      </w:r>
      <w:r>
        <w:rPr>
          <w:i/>
        </w:rPr>
        <w:t>depthwise</w:t>
      </w:r>
      <w:r>
        <w:t>. Model ML berukuran paling kecil, tetapi paling lambat karena setiap piksel (65.536 per citra) harus melewati semua pohon. Semua model jauh di bawah target panduan (20–30 MB).</w:t>
      </w:r>
    </w:p>
    <w:p>
      <w:pPr>
        <w:pStyle w:val="Heading2"/>
      </w:pPr>
      <w:r>
        <w:t>3.4 Analisis error</w:t>
      </w:r>
    </w:p>
    <w:p>
      <w:pPr>
        <w:ind w:firstLine="425"/>
        <w:jc w:val="both"/>
      </w:pPr>
      <w:r>
        <w:t xml:space="preserve">Dice per citra U-Net Lite memiliki median 0,797 (persentil-10 0,517; persentil-90 0,965). Kesalahan utama semua model adalah: (1) tumpahan sangat kecil dan garis gelap tipis yang tidak dilabeli (kemungkinan </w:t>
      </w:r>
      <w:r>
        <w:rPr>
          <w:i/>
        </w:rPr>
        <w:t>look-alike</w:t>
      </w:r>
      <w:r>
        <w:t xml:space="preserve"> atau label terlewat); (2) batas slick, karena label berupa poligon kasar sedangkan prediksi lebih halus dan sedikit melebar; dan (3) pada model ML, bercak gelap kecil di area laut (Gambar 2). Performa per citra juga bervariasi: pada beberapa citra sulit, model ML dapat lebih baik daripada DL, sehingga aplikasi web menyediakan mode "bandingkan semua model" untuk analis. Pada PALSAR, semua model turun 5–9 poin, sehingga </w:t>
      </w:r>
      <w:r>
        <w:rPr>
          <w:i/>
        </w:rPr>
        <w:t>fine-tuning</w:t>
      </w:r>
      <w:r>
        <w:t xml:space="preserve"> diperlukan sebelum dipakai pada sensor atau wilayah lain.</w:t>
      </w:r>
    </w:p>
    <w:p>
      <w:pPr>
        <w:pStyle w:val="Heading1"/>
      </w:pPr>
      <w:r>
        <w:t>4. Dampak Operasional, Efisiensi Biaya, dan Manajemen Risiko</w:t>
      </w:r>
    </w:p>
    <w:p>
      <w:pPr>
        <w:keepNext/>
        <w:spacing w:after="0"/>
        <w:jc w:val="center"/>
      </w:pPr>
      <w:r>
        <w:drawing>
          <wp:inline xmlns:a="http://schemas.openxmlformats.org/drawingml/2006/main" xmlns:pic="http://schemas.openxmlformats.org/drawingml/2006/picture">
            <wp:extent cx="5220000" cy="2526297"/>
            <wp:docPr id="4" name="Picture 4"/>
            <wp:cNvGraphicFramePr>
              <a:graphicFrameLocks noChangeAspect="1"/>
            </wp:cNvGraphicFramePr>
            <a:graphic>
              <a:graphicData uri="http://schemas.openxmlformats.org/drawingml/2006/picture">
                <pic:pic>
                  <pic:nvPicPr>
                    <pic:cNvPr id="0" name="web_v2_demo.jpg"/>
                    <pic:cNvPicPr/>
                  </pic:nvPicPr>
                  <pic:blipFill>
                    <a:blip r:embed="rId14"/>
                    <a:stretch>
                      <a:fillRect/>
                    </a:stretch>
                  </pic:blipFill>
                  <pic:spPr>
                    <a:xfrm>
                      <a:off x="0" y="0"/>
                      <a:ext cx="5220000" cy="2526297"/>
                    </a:xfrm>
                    <a:prstGeom prst="rect"/>
                  </pic:spPr>
                </pic:pic>
              </a:graphicData>
            </a:graphic>
          </wp:inline>
        </w:drawing>
      </w:r>
    </w:p>
    <w:p>
      <w:pPr>
        <w:spacing w:after="160" w:before="60"/>
        <w:jc w:val="center"/>
      </w:pPr>
      <w:r>
        <w:rPr>
          <w:b/>
          <w:sz w:val="19"/>
        </w:rPr>
        <w:t>Gambar 3.</w:t>
      </w:r>
      <w:r>
        <w:rPr>
          <w:sz w:val="19"/>
        </w:rPr>
        <w:t xml:space="preserve"> Aplikasi web: pilihan 5 model, area terdeteksi dengan poligon bernomor per slick, citra asli, dan peta probabilitas.</w:t>
      </w:r>
    </w:p>
    <w:p>
      <w:pPr>
        <w:ind w:firstLine="425"/>
        <w:jc w:val="both"/>
      </w:pPr>
      <w:r>
        <w:t xml:space="preserve">Solusi ini menyasar </w:t>
      </w:r>
      <w:r>
        <w:rPr>
          <w:b/>
        </w:rPr>
        <w:t>Pilar HSSE</w:t>
      </w:r>
      <w:r>
        <w:t xml:space="preserve"> dan </w:t>
      </w:r>
      <w:r>
        <w:rPr>
          <w:b/>
        </w:rPr>
        <w:t>efisiensi biaya</w:t>
      </w:r>
      <w:r>
        <w:t xml:space="preserve">. Skenario penggunaannya adalah </w:t>
      </w:r>
      <w:r>
        <w:rPr>
          <w:i/>
        </w:rPr>
        <w:t>screening</w:t>
      </w:r>
      <w:r>
        <w:t xml:space="preserve"> citra Sentinel-1 di sekitar anjungan, jalur pipa, dan terminal. Keluarannya (Gambar 3): poligon setiap slick dengan luas (km²) dan keliling, GeoJSON untuk GIS, dan simulasi respons (Gambar 4). Sebagai contoh, pada citra uji tipikal dengan resolusi 10 m/piksel, DeepLabV3+ mendeteksi 1,145 km² minyak. Dengan skenario angin 8 m/s dari timur laut, arus 0,3 m/s ke timur, dan ketebalan </w:t>
      </w:r>
      <w:r>
        <w:rPr>
          <w:i/>
        </w:rPr>
        <w:t>rainbow</w:t>
      </w:r>
      <w:r>
        <w:t xml:space="preserve"> 5 µm, slick bergerak 0,21 m/s ke tenggara, melebar ±0,10 km²/jam, dan saat tim tiba 3 jam kemudian telah bergeser 2,3 km dengan luas ±1,45 km². Kebutuhan </w:t>
      </w:r>
      <w:r>
        <w:rPr>
          <w:i/>
        </w:rPr>
        <w:t>oil boom</w:t>
      </w:r>
      <w:r>
        <w:t xml:space="preserve"> untuk mengurung seluruh slick sekitar 16,4 km.</w:t>
      </w:r>
    </w:p>
    <w:p>
      <w:pPr>
        <w:keepNext/>
        <w:spacing w:after="0"/>
        <w:jc w:val="center"/>
      </w:pPr>
      <w:r>
        <w:drawing>
          <wp:inline xmlns:a="http://schemas.openxmlformats.org/drawingml/2006/main" xmlns:pic="http://schemas.openxmlformats.org/drawingml/2006/picture">
            <wp:extent cx="4320000" cy="2592000"/>
            <wp:docPr id="5" name="Picture 5"/>
            <wp:cNvGraphicFramePr>
              <a:graphicFrameLocks noChangeAspect="1"/>
            </wp:cNvGraphicFramePr>
            <a:graphic>
              <a:graphicData uri="http://schemas.openxmlformats.org/drawingml/2006/picture">
                <pic:pic>
                  <pic:nvPicPr>
                    <pic:cNvPr id="0" name="web_v2_sim.jpg"/>
                    <pic:cNvPicPr/>
                  </pic:nvPicPr>
                  <pic:blipFill>
                    <a:blip r:embed="rId15"/>
                    <a:stretch>
                      <a:fillRect/>
                    </a:stretch>
                  </pic:blipFill>
                  <pic:spPr>
                    <a:xfrm>
                      <a:off x="0" y="0"/>
                      <a:ext cx="4320000" cy="2592000"/>
                    </a:xfrm>
                    <a:prstGeom prst="rect"/>
                  </pic:spPr>
                </pic:pic>
              </a:graphicData>
            </a:graphic>
          </wp:inline>
        </w:drawing>
      </w:r>
    </w:p>
    <w:p>
      <w:pPr>
        <w:spacing w:after="160" w:before="60"/>
        <w:jc w:val="center"/>
      </w:pPr>
      <w:r>
        <w:rPr>
          <w:b/>
          <w:sz w:val="19"/>
        </w:rPr>
        <w:t>Gambar 4.</w:t>
      </w:r>
      <w:r>
        <w:rPr>
          <w:sz w:val="19"/>
        </w:rPr>
        <w:t xml:space="preserve"> Simulasi drift &amp; penyebaran: posisi slick +6 jam (warna pelangi), jejak waktu (garis putus), dan oil boom saat tim tiba (pelampung oranye).</w:t>
      </w:r>
    </w:p>
    <w:p>
      <w:pPr>
        <w:ind w:firstLine="425"/>
        <w:jc w:val="both"/>
      </w:pPr>
      <w:r>
        <w:rPr>
          <w:b/>
        </w:rPr>
        <w:t>Efisiensi biaya.</w:t>
      </w:r>
      <w:r>
        <w:t xml:space="preserve"> Kalkulator di web membandingkan patroli pencarian konvensional dengan CV + verifikasi analis. Dengan asumsi ilustratif (12 sortie/bulan × 4 jam × Rp45 juta/jam; 10 citra/bulan × 0,5 jam analis × Rp150 ribu/jam; 25% sortie tetap dibutuhkan untuk konfirmasi), biaya pemantauan turun dari Rp2,16 miliar menjadi Rp0,54 miliar per bulan (−75%). Citra Sentinel-1 tersedia gratis melalui Copernicus dan inferensi berjalan di browser sehingga biaya komputasinya praktis nol. Angka ini bergantung pada asumsi dan harus diganti dengan data kontrak perusahaan sebelum diklaim.</w:t>
      </w:r>
    </w:p>
    <w:p>
      <w:pPr>
        <w:keepNext/>
        <w:spacing w:after="60" w:before="120"/>
        <w:jc w:val="center"/>
      </w:pPr>
      <w:r>
        <w:rPr>
          <w:b/>
          <w:sz w:val="19"/>
        </w:rPr>
        <w:t>Tabel 5.</w:t>
      </w:r>
      <w:r>
        <w:rPr>
          <w:sz w:val="19"/>
        </w:rPr>
        <w:t xml:space="preserve"> Register risiko HSSE kegiatan pemantauan (L = kemungkinan, S = keparahan, skala 1–5).</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4876"/>
            <w:shd w:val="clear" w:color="auto" w:fill="E7EEF7"/>
            <w:tcBorders>
              <w:top w:val="single" w:sz="10" w:color="000000" w:space="0"/>
              <w:bottom w:val="single" w:sz="6" w:color="000000" w:space="0"/>
            </w:tcBorders>
          </w:tcPr>
          <w:p>
            <w:pPr>
              <w:keepNext/>
              <w:spacing w:after="20" w:line="240" w:lineRule="auto"/>
              <w:jc w:val="left"/>
            </w:pPr>
            <w:r>
              <w:rPr>
                <w:b/>
                <w:sz w:val="17"/>
              </w:rPr>
              <w:t>Bahaya</w:t>
            </w:r>
          </w:p>
        </w:tc>
        <w:tc>
          <w:tcPr>
            <w:tcW w:type="dxa" w:w="454"/>
            <w:shd w:val="clear" w:color="auto" w:fill="E7EEF7"/>
            <w:tcBorders>
              <w:top w:val="single" w:sz="10" w:color="000000" w:space="0"/>
              <w:bottom w:val="single" w:sz="6" w:color="000000" w:space="0"/>
            </w:tcBorders>
          </w:tcPr>
          <w:p>
            <w:pPr>
              <w:keepNext/>
              <w:spacing w:after="20" w:line="240" w:lineRule="auto"/>
              <w:jc w:val="center"/>
            </w:pPr>
            <w:r>
              <w:rPr>
                <w:b/>
                <w:sz w:val="17"/>
              </w:rPr>
              <w:t>S</w:t>
            </w:r>
          </w:p>
        </w:tc>
        <w:tc>
          <w:tcPr>
            <w:tcW w:type="dxa" w:w="1701"/>
            <w:shd w:val="clear" w:color="auto" w:fill="E7EEF7"/>
            <w:tcBorders>
              <w:top w:val="single" w:sz="10" w:color="000000" w:space="0"/>
              <w:bottom w:val="single" w:sz="6" w:color="000000" w:space="0"/>
            </w:tcBorders>
          </w:tcPr>
          <w:p>
            <w:pPr>
              <w:keepNext/>
              <w:spacing w:after="20" w:line="240" w:lineRule="auto"/>
              <w:jc w:val="center"/>
            </w:pPr>
            <w:r>
              <w:rPr>
                <w:b/>
                <w:sz w:val="17"/>
              </w:rPr>
              <w:t>Sebelum (L×S)</w:t>
            </w:r>
          </w:p>
        </w:tc>
        <w:tc>
          <w:tcPr>
            <w:tcW w:type="dxa" w:w="1928"/>
            <w:shd w:val="clear" w:color="auto" w:fill="E7EEF7"/>
            <w:tcBorders>
              <w:top w:val="single" w:sz="10" w:color="000000" w:space="0"/>
              <w:bottom w:val="single" w:sz="6" w:color="000000" w:space="0"/>
            </w:tcBorders>
          </w:tcPr>
          <w:p>
            <w:pPr>
              <w:keepNext/>
              <w:spacing w:after="20" w:line="240" w:lineRule="auto"/>
              <w:jc w:val="center"/>
            </w:pPr>
            <w:r>
              <w:rPr>
                <w:b/>
                <w:sz w:val="17"/>
              </w:rPr>
              <w:t>Sesudah CV (L×S)</w:t>
            </w:r>
          </w:p>
        </w:tc>
      </w:tr>
      <w:tr>
        <w:trPr>
          <w:cantSplit/>
        </w:trPr>
        <w:tc>
          <w:tcPr>
            <w:tcW w:type="dxa" w:w="4876"/>
          </w:tcPr>
          <w:p>
            <w:pPr>
              <w:keepNext/>
              <w:spacing w:after="20" w:line="240" w:lineRule="auto"/>
              <w:jc w:val="left"/>
            </w:pPr>
            <w:r>
              <w:rPr>
                <w:sz w:val="17"/>
              </w:rPr>
              <w:t>Paparan uap hidrokarbon (VOC, H₂S) saat inspeksi jarak dekat</w:t>
            </w:r>
          </w:p>
        </w:tc>
        <w:tc>
          <w:tcPr>
            <w:tcW w:type="dxa" w:w="454"/>
          </w:tcPr>
          <w:p>
            <w:pPr>
              <w:keepNext/>
              <w:spacing w:after="20" w:line="240" w:lineRule="auto"/>
              <w:jc w:val="center"/>
            </w:pPr>
            <w:r>
              <w:rPr>
                <w:sz w:val="17"/>
              </w:rPr>
              <w:t>4</w:t>
            </w:r>
          </w:p>
        </w:tc>
        <w:tc>
          <w:tcPr>
            <w:tcW w:type="dxa" w:w="1701"/>
          </w:tcPr>
          <w:p>
            <w:pPr>
              <w:keepNext/>
              <w:spacing w:after="20" w:line="240" w:lineRule="auto"/>
              <w:jc w:val="center"/>
            </w:pPr>
            <w:r>
              <w:rPr>
                <w:sz w:val="17"/>
              </w:rPr>
              <w:t>3×4 = 12</w:t>
            </w:r>
          </w:p>
        </w:tc>
        <w:tc>
          <w:tcPr>
            <w:tcW w:type="dxa" w:w="1928"/>
          </w:tcPr>
          <w:p>
            <w:pPr>
              <w:keepNext/>
              <w:spacing w:after="20" w:line="240" w:lineRule="auto"/>
              <w:jc w:val="center"/>
            </w:pPr>
            <w:r>
              <w:rPr>
                <w:sz w:val="17"/>
              </w:rPr>
              <w:t>1×4 = 4</w:t>
            </w:r>
          </w:p>
        </w:tc>
      </w:tr>
      <w:tr>
        <w:trPr>
          <w:cantSplit/>
        </w:trPr>
        <w:tc>
          <w:tcPr>
            <w:tcW w:type="dxa" w:w="4876"/>
          </w:tcPr>
          <w:p>
            <w:pPr>
              <w:keepNext/>
              <w:spacing w:after="20" w:line="240" w:lineRule="auto"/>
              <w:jc w:val="left"/>
            </w:pPr>
            <w:r>
              <w:rPr>
                <w:sz w:val="17"/>
              </w:rPr>
              <w:t>Kecelakaan penerbangan pengintaian</w:t>
            </w:r>
          </w:p>
        </w:tc>
        <w:tc>
          <w:tcPr>
            <w:tcW w:type="dxa" w:w="454"/>
          </w:tcPr>
          <w:p>
            <w:pPr>
              <w:keepNext/>
              <w:spacing w:after="20" w:line="240" w:lineRule="auto"/>
              <w:jc w:val="center"/>
            </w:pPr>
            <w:r>
              <w:rPr>
                <w:sz w:val="17"/>
              </w:rPr>
              <w:t>5</w:t>
            </w:r>
          </w:p>
        </w:tc>
        <w:tc>
          <w:tcPr>
            <w:tcW w:type="dxa" w:w="1701"/>
          </w:tcPr>
          <w:p>
            <w:pPr>
              <w:keepNext/>
              <w:spacing w:after="20" w:line="240" w:lineRule="auto"/>
              <w:jc w:val="center"/>
            </w:pPr>
            <w:r>
              <w:rPr>
                <w:sz w:val="17"/>
              </w:rPr>
              <w:t>2×5 = 10</w:t>
            </w:r>
          </w:p>
        </w:tc>
        <w:tc>
          <w:tcPr>
            <w:tcW w:type="dxa" w:w="1928"/>
          </w:tcPr>
          <w:p>
            <w:pPr>
              <w:keepNext/>
              <w:spacing w:after="20" w:line="240" w:lineRule="auto"/>
              <w:jc w:val="center"/>
            </w:pPr>
            <w:r>
              <w:rPr>
                <w:sz w:val="17"/>
              </w:rPr>
              <w:t>1×5 = 5</w:t>
            </w:r>
          </w:p>
        </w:tc>
      </w:tr>
      <w:tr>
        <w:trPr>
          <w:cantSplit/>
        </w:trPr>
        <w:tc>
          <w:tcPr>
            <w:tcW w:type="dxa" w:w="4876"/>
          </w:tcPr>
          <w:p>
            <w:pPr>
              <w:keepNext/>
              <w:spacing w:after="20" w:line="240" w:lineRule="auto"/>
              <w:jc w:val="left"/>
            </w:pPr>
            <w:r>
              <w:rPr>
                <w:sz w:val="17"/>
              </w:rPr>
              <w:t>Insiden kapal patroli (jatuh ke laut, tabrakan)</w:t>
            </w:r>
          </w:p>
        </w:tc>
        <w:tc>
          <w:tcPr>
            <w:tcW w:type="dxa" w:w="454"/>
          </w:tcPr>
          <w:p>
            <w:pPr>
              <w:keepNext/>
              <w:spacing w:after="20" w:line="240" w:lineRule="auto"/>
              <w:jc w:val="center"/>
            </w:pPr>
            <w:r>
              <w:rPr>
                <w:sz w:val="17"/>
              </w:rPr>
              <w:t>4</w:t>
            </w:r>
          </w:p>
        </w:tc>
        <w:tc>
          <w:tcPr>
            <w:tcW w:type="dxa" w:w="1701"/>
          </w:tcPr>
          <w:p>
            <w:pPr>
              <w:keepNext/>
              <w:spacing w:after="20" w:line="240" w:lineRule="auto"/>
              <w:jc w:val="center"/>
            </w:pPr>
            <w:r>
              <w:rPr>
                <w:sz w:val="17"/>
              </w:rPr>
              <w:t>3×4 = 12</w:t>
            </w:r>
          </w:p>
        </w:tc>
        <w:tc>
          <w:tcPr>
            <w:tcW w:type="dxa" w:w="1928"/>
          </w:tcPr>
          <w:p>
            <w:pPr>
              <w:keepNext/>
              <w:spacing w:after="20" w:line="240" w:lineRule="auto"/>
              <w:jc w:val="center"/>
            </w:pPr>
            <w:r>
              <w:rPr>
                <w:sz w:val="17"/>
              </w:rPr>
              <w:t>1×4 = 4</w:t>
            </w:r>
          </w:p>
        </w:tc>
      </w:tr>
      <w:tr>
        <w:trPr>
          <w:cantSplit/>
        </w:trPr>
        <w:tc>
          <w:tcPr>
            <w:tcW w:type="dxa" w:w="4876"/>
          </w:tcPr>
          <w:p>
            <w:pPr>
              <w:keepNext/>
              <w:spacing w:after="20" w:line="240" w:lineRule="auto"/>
              <w:jc w:val="left"/>
            </w:pPr>
            <w:r>
              <w:rPr>
                <w:sz w:val="17"/>
              </w:rPr>
              <w:t>Kebakaran/ledakan di dekat minyak segar</w:t>
            </w:r>
          </w:p>
        </w:tc>
        <w:tc>
          <w:tcPr>
            <w:tcW w:type="dxa" w:w="454"/>
          </w:tcPr>
          <w:p>
            <w:pPr>
              <w:keepNext/>
              <w:spacing w:after="20" w:line="240" w:lineRule="auto"/>
              <w:jc w:val="center"/>
            </w:pPr>
            <w:r>
              <w:rPr>
                <w:sz w:val="17"/>
              </w:rPr>
              <w:t>5</w:t>
            </w:r>
          </w:p>
        </w:tc>
        <w:tc>
          <w:tcPr>
            <w:tcW w:type="dxa" w:w="1701"/>
          </w:tcPr>
          <w:p>
            <w:pPr>
              <w:keepNext/>
              <w:spacing w:after="20" w:line="240" w:lineRule="auto"/>
              <w:jc w:val="center"/>
            </w:pPr>
            <w:r>
              <w:rPr>
                <w:sz w:val="17"/>
              </w:rPr>
              <w:t>2×5 = 10</w:t>
            </w:r>
          </w:p>
        </w:tc>
        <w:tc>
          <w:tcPr>
            <w:tcW w:type="dxa" w:w="1928"/>
          </w:tcPr>
          <w:p>
            <w:pPr>
              <w:keepNext/>
              <w:spacing w:after="20" w:line="240" w:lineRule="auto"/>
              <w:jc w:val="center"/>
            </w:pPr>
            <w:r>
              <w:rPr>
                <w:sz w:val="17"/>
              </w:rPr>
              <w:t>1×5 = 5</w:t>
            </w:r>
          </w:p>
        </w:tc>
      </w:tr>
      <w:tr>
        <w:trPr>
          <w:cantSplit/>
        </w:trPr>
        <w:tc>
          <w:tcPr>
            <w:tcW w:type="dxa" w:w="4876"/>
          </w:tcPr>
          <w:p>
            <w:pPr>
              <w:keepNext/>
              <w:spacing w:after="20" w:line="240" w:lineRule="auto"/>
              <w:jc w:val="left"/>
            </w:pPr>
            <w:r>
              <w:rPr>
                <w:sz w:val="17"/>
              </w:rPr>
              <w:t>Kelelahan kru akibat patroli panjang &amp; malam</w:t>
            </w:r>
          </w:p>
        </w:tc>
        <w:tc>
          <w:tcPr>
            <w:tcW w:type="dxa" w:w="454"/>
          </w:tcPr>
          <w:p>
            <w:pPr>
              <w:keepNext/>
              <w:spacing w:after="20" w:line="240" w:lineRule="auto"/>
              <w:jc w:val="center"/>
            </w:pPr>
            <w:r>
              <w:rPr>
                <w:sz w:val="17"/>
              </w:rPr>
              <w:t>3</w:t>
            </w:r>
          </w:p>
        </w:tc>
        <w:tc>
          <w:tcPr>
            <w:tcW w:type="dxa" w:w="1701"/>
          </w:tcPr>
          <w:p>
            <w:pPr>
              <w:keepNext/>
              <w:spacing w:after="20" w:line="240" w:lineRule="auto"/>
              <w:jc w:val="center"/>
            </w:pPr>
            <w:r>
              <w:rPr>
                <w:sz w:val="17"/>
              </w:rPr>
              <w:t>4×3 = 12</w:t>
            </w:r>
          </w:p>
        </w:tc>
        <w:tc>
          <w:tcPr>
            <w:tcW w:type="dxa" w:w="1928"/>
          </w:tcPr>
          <w:p>
            <w:pPr>
              <w:keepNext/>
              <w:spacing w:after="20" w:line="240" w:lineRule="auto"/>
              <w:jc w:val="center"/>
            </w:pPr>
            <w:r>
              <w:rPr>
                <w:sz w:val="17"/>
              </w:rPr>
              <w:t>2×3 = 6</w:t>
            </w:r>
          </w:p>
        </w:tc>
      </w:tr>
      <w:tr>
        <w:trPr>
          <w:cantSplit/>
        </w:trPr>
        <w:tc>
          <w:tcPr>
            <w:tcW w:type="dxa" w:w="4876"/>
          </w:tcPr>
          <w:p>
            <w:pPr>
              <w:keepNext/>
              <w:spacing w:after="20" w:line="240" w:lineRule="auto"/>
              <w:jc w:val="left"/>
            </w:pPr>
            <w:r>
              <w:rPr>
                <w:sz w:val="17"/>
              </w:rPr>
              <w:t>Tumpahan terlambat diketahui (malam/berawan)</w:t>
            </w:r>
          </w:p>
        </w:tc>
        <w:tc>
          <w:tcPr>
            <w:tcW w:type="dxa" w:w="454"/>
          </w:tcPr>
          <w:p>
            <w:pPr>
              <w:keepNext/>
              <w:spacing w:after="20" w:line="240" w:lineRule="auto"/>
              <w:jc w:val="center"/>
            </w:pPr>
            <w:r>
              <w:rPr>
                <w:sz w:val="17"/>
              </w:rPr>
              <w:t>4</w:t>
            </w:r>
          </w:p>
        </w:tc>
        <w:tc>
          <w:tcPr>
            <w:tcW w:type="dxa" w:w="1701"/>
          </w:tcPr>
          <w:p>
            <w:pPr>
              <w:keepNext/>
              <w:spacing w:after="20" w:line="240" w:lineRule="auto"/>
              <w:jc w:val="center"/>
            </w:pPr>
            <w:r>
              <w:rPr>
                <w:sz w:val="17"/>
              </w:rPr>
              <w:t>3×4 = 12</w:t>
            </w:r>
          </w:p>
        </w:tc>
        <w:tc>
          <w:tcPr>
            <w:tcW w:type="dxa" w:w="1928"/>
          </w:tcPr>
          <w:p>
            <w:pPr>
              <w:keepNext/>
              <w:spacing w:after="20" w:line="240" w:lineRule="auto"/>
              <w:jc w:val="center"/>
            </w:pPr>
            <w:r>
              <w:rPr>
                <w:sz w:val="17"/>
              </w:rPr>
              <w:t>2×4 = 8</w:t>
            </w:r>
          </w:p>
        </w:tc>
      </w:tr>
      <w:tr>
        <w:trPr>
          <w:cantSplit/>
        </w:trPr>
        <w:tc>
          <w:tcPr>
            <w:tcW w:type="dxa" w:w="4876"/>
          </w:tcPr>
          <w:p>
            <w:pPr>
              <w:keepNext/>
              <w:spacing w:after="20" w:line="240" w:lineRule="auto"/>
              <w:jc w:val="left"/>
            </w:pPr>
            <w:r>
              <w:rPr>
                <w:i/>
                <w:sz w:val="17"/>
              </w:rPr>
              <w:t>Risiko baru:</w:t>
            </w:r>
            <w:r>
              <w:rPr>
                <w:sz w:val="17"/>
              </w:rPr>
              <w:t xml:space="preserve"> salah deteksi / slick terlewat</w:t>
            </w:r>
          </w:p>
        </w:tc>
        <w:tc>
          <w:tcPr>
            <w:tcW w:type="dxa" w:w="454"/>
          </w:tcPr>
          <w:p>
            <w:pPr>
              <w:keepNext/>
              <w:spacing w:after="20" w:line="240" w:lineRule="auto"/>
              <w:jc w:val="center"/>
            </w:pPr>
            <w:r>
              <w:rPr>
                <w:sz w:val="17"/>
              </w:rPr>
              <w:t>3</w:t>
            </w:r>
          </w:p>
        </w:tc>
        <w:tc>
          <w:tcPr>
            <w:tcW w:type="dxa" w:w="1701"/>
          </w:tcPr>
          <w:p>
            <w:pPr>
              <w:keepNext/>
              <w:spacing w:after="20" w:line="240" w:lineRule="auto"/>
              <w:jc w:val="center"/>
            </w:pPr>
            <w:r>
              <w:rPr>
                <w:sz w:val="17"/>
              </w:rPr>
              <w:t>–</w:t>
            </w:r>
          </w:p>
        </w:tc>
        <w:tc>
          <w:tcPr>
            <w:tcW w:type="dxa" w:w="1928"/>
          </w:tcPr>
          <w:p>
            <w:pPr>
              <w:keepNext/>
              <w:spacing w:after="20" w:line="240" w:lineRule="auto"/>
              <w:jc w:val="center"/>
            </w:pPr>
            <w:r>
              <w:rPr>
                <w:sz w:val="17"/>
              </w:rPr>
              <w:t>3×3 = 9</w:t>
            </w:r>
          </w:p>
        </w:tc>
      </w:tr>
      <w:tr>
        <w:trPr>
          <w:cantSplit/>
        </w:trPr>
        <w:tc>
          <w:tcPr>
            <w:tcW w:type="dxa" w:w="4876"/>
            <w:tcBorders>
              <w:bottom w:val="single" w:sz="10" w:color="000000" w:space="0"/>
            </w:tcBorders>
          </w:tcPr>
          <w:p>
            <w:pPr>
              <w:spacing w:after="20" w:line="240" w:lineRule="auto"/>
              <w:jc w:val="left"/>
            </w:pPr>
            <w:r>
              <w:rPr>
                <w:b/>
                <w:sz w:val="17"/>
              </w:rPr>
              <w:t>Total skor risiko</w:t>
            </w:r>
          </w:p>
        </w:tc>
        <w:tc>
          <w:tcPr>
            <w:tcW w:type="dxa" w:w="454"/>
            <w:tcBorders>
              <w:bottom w:val="single" w:sz="10" w:color="000000" w:space="0"/>
            </w:tcBorders>
          </w:tcPr>
          <w:p>
            <w:pPr>
              <w:spacing w:after="20" w:line="240" w:lineRule="auto"/>
              <w:jc w:val="center"/>
            </w:pPr>
          </w:p>
        </w:tc>
        <w:tc>
          <w:tcPr>
            <w:tcW w:type="dxa" w:w="1701"/>
            <w:tcBorders>
              <w:bottom w:val="single" w:sz="10" w:color="000000" w:space="0"/>
            </w:tcBorders>
          </w:tcPr>
          <w:p>
            <w:pPr>
              <w:spacing w:after="20" w:line="240" w:lineRule="auto"/>
              <w:jc w:val="center"/>
            </w:pPr>
            <w:r>
              <w:rPr>
                <w:b/>
                <w:sz w:val="17"/>
              </w:rPr>
              <w:t>68</w:t>
            </w:r>
          </w:p>
        </w:tc>
        <w:tc>
          <w:tcPr>
            <w:tcW w:type="dxa" w:w="1928"/>
            <w:tcBorders>
              <w:bottom w:val="single" w:sz="10" w:color="000000" w:space="0"/>
            </w:tcBorders>
          </w:tcPr>
          <w:p>
            <w:pPr>
              <w:spacing w:after="20" w:line="240" w:lineRule="auto"/>
              <w:jc w:val="center"/>
            </w:pPr>
            <w:r>
              <w:rPr>
                <w:b/>
                <w:sz w:val="17"/>
              </w:rPr>
              <w:t>41 (−40%)</w:t>
            </w:r>
          </w:p>
        </w:tc>
      </w:tr>
    </w:tbl>
    <w:p>
      <w:pPr>
        <w:spacing w:after="40"/>
      </w:pPr>
    </w:p>
    <w:p>
      <w:pPr>
        <w:ind w:firstLine="425"/>
        <w:jc w:val="both"/>
      </w:pPr>
      <w:r>
        <w:rPr>
          <w:b/>
        </w:rPr>
        <w:t>Manajemen risiko.</w:t>
      </w:r>
      <w:r>
        <w:t xml:space="preserve"> Pengurangan sortie pencarian menurunkan jam paparan personel di lapangan dari 192 menjadi 48 jam per bulan (−75%), sehingga kemungkinan (L) bahaya berbasis paparan turun dua tingkat, sedangkan keparahan (S) tetap karena konsekuensinya sama bila kejadian terjadi (Tabel 5). Pada hierarki pengendalian, pemindahan pencarian slick dari lapangan ke analisis citra termasuk </w:t>
      </w:r>
      <w:r>
        <w:rPr>
          <w:b/>
        </w:rPr>
        <w:t>eliminasi paparan</w:t>
      </w:r>
      <w:r>
        <w:t>. CV tidak menggantikan tim lapangan sepenuhnya: verifikasi, pengambilan sampel, dan pemasangan boom tetap dilakukan manusia, dan risiko baru berupa salah deteksi dikendalikan dengan verifikasi analis untuk setiap alarm.</w:t>
      </w:r>
    </w:p>
    <w:p>
      <w:pPr>
        <w:ind w:firstLine="425"/>
        <w:jc w:val="both"/>
      </w:pPr>
      <w:r>
        <w:rPr>
          <w:b/>
        </w:rPr>
        <w:t>Batasan.</w:t>
      </w:r>
      <w:r>
        <w:t xml:space="preserve"> Dataset SOS tidak memiliki koordinat dan waktu akuisisi sehingga simulasi tidak dapat divalidasi terhadap kejadian nyata; simulasi juga tidak memodelkan penguapan, emulsifikasi, garis pantai, maupun angin/arus yang berubah. Simulasi diposisikan sebagai gambaran awal yang diperbarui dengan data cuaca/oseanografi dan citra berikutnya, seperti pada sistem operasional Petalas dkk. [10].</w:t>
      </w:r>
    </w:p>
    <w:p>
      <w:pPr>
        <w:pStyle w:val="Heading1"/>
      </w:pPr>
      <w:r>
        <w:t>5. Kesimpulan dan Saran</w:t>
      </w:r>
    </w:p>
    <w:p>
      <w:pPr>
        <w:ind w:firstLine="425"/>
        <w:jc w:val="both"/>
      </w:pPr>
      <w:r>
        <w:t>Pada protokol yang sama, model DL mengungguli model ML untuk segmentasi tumpahan minyak Sentinel-1: DeepLabV3+ MobileNetV2 pralatih mencapai Dice 0,867 dan IoU 0,765 (1,1 poin F1 di bawah CBD-Net), U-Net Lite 0,855, sedangkan Random Forest dan LightGBM sekitar 0,805 dengan ukuran model jauh lebih kecil. Kelima model berjalan di browser, dan aplikasi web melengkapi deteksi dengan poligon per slick, simulasi arah dan laju penyebaran, estimasi kebutuhan oil boom, serta analisis biaya dan risiko HSSE.</w:t>
      </w:r>
    </w:p>
    <w:p>
      <w:pPr>
        <w:ind w:firstLine="425"/>
        <w:jc w:val="both"/>
      </w:pPr>
      <w:r>
        <w:t xml:space="preserve">Saran pengembangan: (1) menambah kelas </w:t>
      </w:r>
      <w:r>
        <w:rPr>
          <w:i/>
        </w:rPr>
        <w:t>look-alike</w:t>
      </w:r>
      <w:r>
        <w:t xml:space="preserve"> dan data multi-sensor; (2) memproses citra Sentinel-1 penuh dengan </w:t>
      </w:r>
      <w:r>
        <w:rPr>
          <w:i/>
        </w:rPr>
        <w:t>tiling</w:t>
      </w:r>
      <w:r>
        <w:t xml:space="preserve"> dan georeferensi sehingga poligon memiliki koordinat nyata; (3) menghubungkan simulasi dengan data angin dan arus operasional (misalnya Copernicus Marine) serta memvalidasinya dengan citra berurutan; (4) melakukan uji beberapa </w:t>
      </w:r>
      <w:r>
        <w:rPr>
          <w:i/>
        </w:rPr>
        <w:t>seed</w:t>
      </w:r>
      <w:r>
        <w:t xml:space="preserve"> untuk mengukur variasi hasil; dan (5) validasi pilot di perairan Indonesia bersama tim HSSE untuk mengganti asumsi biaya dengan data nyata.</w:t>
      </w:r>
    </w:p>
    <w:p>
      <w:pPr>
        <w:pStyle w:val="Heading1"/>
      </w:pPr>
      <w:r>
        <w:t>Daftar Pustaka</w:t>
      </w:r>
    </w:p>
    <w:p>
      <w:pPr>
        <w:spacing w:after="40"/>
        <w:ind w:left="510" w:hanging="510"/>
        <w:jc w:val="both"/>
      </w:pPr>
      <w:r>
        <w:rPr>
          <w:sz w:val="19"/>
        </w:rPr>
        <w:t>[1]</w:t>
        <w:tab/>
      </w:r>
      <w:r>
        <w:rPr>
          <w:sz w:val="19"/>
        </w:rPr>
        <w:t xml:space="preserve">M. Fingas and C. Brown, "A review of oil spill remote sensing," </w:t>
      </w:r>
      <w:r>
        <w:rPr>
          <w:i/>
          <w:sz w:val="19"/>
        </w:rPr>
        <w:t>Sensors</w:t>
      </w:r>
      <w:r>
        <w:rPr>
          <w:sz w:val="19"/>
        </w:rPr>
        <w:t>, vol. 18, no. 1, p. 91, 2018, doi: 10.3390/s18010091.</w:t>
      </w:r>
    </w:p>
    <w:p>
      <w:pPr>
        <w:spacing w:after="40"/>
        <w:ind w:left="510" w:hanging="510"/>
        <w:jc w:val="both"/>
      </w:pPr>
      <w:r>
        <w:rPr>
          <w:sz w:val="19"/>
        </w:rPr>
        <w:t>[2]</w:t>
        <w:tab/>
      </w:r>
      <w:r>
        <w:rPr>
          <w:sz w:val="19"/>
        </w:rPr>
        <w:t xml:space="preserve">R. Al-Ruzouq </w:t>
      </w:r>
      <w:r>
        <w:rPr>
          <w:i/>
          <w:sz w:val="19"/>
        </w:rPr>
        <w:t>et al.</w:t>
      </w:r>
      <w:r>
        <w:rPr>
          <w:sz w:val="19"/>
        </w:rPr>
        <w:t xml:space="preserve">, "Sensors, features, and machine learning for oil spill detection and monitoring: A review," </w:t>
      </w:r>
      <w:r>
        <w:rPr>
          <w:i/>
          <w:sz w:val="19"/>
        </w:rPr>
        <w:t>Remote Sensing</w:t>
      </w:r>
      <w:r>
        <w:rPr>
          <w:sz w:val="19"/>
        </w:rPr>
        <w:t>, vol. 12, no. 20, p. 3338, 2020, doi: 10.3390/rs12203338.</w:t>
      </w:r>
    </w:p>
    <w:p>
      <w:pPr>
        <w:spacing w:after="40"/>
        <w:ind w:left="510" w:hanging="510"/>
        <w:jc w:val="both"/>
      </w:pPr>
      <w:r>
        <w:rPr>
          <w:sz w:val="19"/>
        </w:rPr>
        <w:t>[3]</w:t>
        <w:tab/>
      </w:r>
      <w:r>
        <w:rPr>
          <w:sz w:val="19"/>
        </w:rPr>
        <w:t xml:space="preserve">Q. Zhu </w:t>
      </w:r>
      <w:r>
        <w:rPr>
          <w:i/>
          <w:sz w:val="19"/>
        </w:rPr>
        <w:t>et al.</w:t>
      </w:r>
      <w:r>
        <w:rPr>
          <w:sz w:val="19"/>
        </w:rPr>
        <w:t xml:space="preserve">, "Oil spill contextual and boundary-supervised detection network based on marine SAR images," </w:t>
      </w:r>
      <w:r>
        <w:rPr>
          <w:i/>
          <w:sz w:val="19"/>
        </w:rPr>
        <w:t>IEEE Trans. Geosci. Remote Sens.</w:t>
      </w:r>
      <w:r>
        <w:rPr>
          <w:sz w:val="19"/>
        </w:rPr>
        <w:t>, vol. 60, pp. 1–10, 2022, doi: 10.1109/TGRS.2021.3115492.</w:t>
      </w:r>
    </w:p>
    <w:p>
      <w:pPr>
        <w:spacing w:after="40"/>
        <w:ind w:left="510" w:hanging="510"/>
        <w:jc w:val="both"/>
      </w:pPr>
      <w:r>
        <w:rPr>
          <w:sz w:val="19"/>
        </w:rPr>
        <w:t>[4]</w:t>
        <w:tab/>
      </w:r>
      <w:r>
        <w:rPr>
          <w:sz w:val="19"/>
        </w:rPr>
        <w:t xml:space="preserve">M. Krestenitis </w:t>
      </w:r>
      <w:r>
        <w:rPr>
          <w:i/>
          <w:sz w:val="19"/>
        </w:rPr>
        <w:t>et al.</w:t>
      </w:r>
      <w:r>
        <w:rPr>
          <w:sz w:val="19"/>
        </w:rPr>
        <w:t xml:space="preserve">, "Oil spill identification from satellite images using deep neural networks," </w:t>
      </w:r>
      <w:r>
        <w:rPr>
          <w:i/>
          <w:sz w:val="19"/>
        </w:rPr>
        <w:t>Remote Sensing</w:t>
      </w:r>
      <w:r>
        <w:rPr>
          <w:sz w:val="19"/>
        </w:rPr>
        <w:t>, vol. 11, no. 15, p. 1762, 2019, doi: 10.3390/rs11151762.</w:t>
      </w:r>
    </w:p>
    <w:p>
      <w:pPr>
        <w:spacing w:after="40"/>
        <w:ind w:left="510" w:hanging="510"/>
        <w:jc w:val="both"/>
      </w:pPr>
      <w:r>
        <w:rPr>
          <w:sz w:val="19"/>
        </w:rPr>
        <w:t>[5]</w:t>
        <w:tab/>
      </w:r>
      <w:r>
        <w:rPr>
          <w:sz w:val="19"/>
        </w:rPr>
        <w:t xml:space="preserve">M. Shaban </w:t>
      </w:r>
      <w:r>
        <w:rPr>
          <w:i/>
          <w:sz w:val="19"/>
        </w:rPr>
        <w:t>et al.</w:t>
      </w:r>
      <w:r>
        <w:rPr>
          <w:sz w:val="19"/>
        </w:rPr>
        <w:t xml:space="preserve">, "A deep-learning framework for the detection of oil spills from SAR data," </w:t>
      </w:r>
      <w:r>
        <w:rPr>
          <w:i/>
          <w:sz w:val="19"/>
        </w:rPr>
        <w:t>Sensors</w:t>
      </w:r>
      <w:r>
        <w:rPr>
          <w:sz w:val="19"/>
        </w:rPr>
        <w:t>, vol. 21, no. 7, p. 2351, 2021, doi: 10.3390/s21072351.</w:t>
      </w:r>
    </w:p>
    <w:p>
      <w:pPr>
        <w:spacing w:after="40"/>
        <w:ind w:left="510" w:hanging="510"/>
        <w:jc w:val="both"/>
      </w:pPr>
      <w:r>
        <w:rPr>
          <w:sz w:val="19"/>
        </w:rPr>
        <w:t>[6]</w:t>
        <w:tab/>
      </w:r>
      <w:r>
        <w:rPr>
          <w:sz w:val="19"/>
        </w:rPr>
        <w:t xml:space="preserve">R. Hasimoto-Beltran, M. Canul-Ku, G. M. Díaz Méndez, F. J. Ocampo-Torres, and B. Esquivel-Trava, "Ocean oil spill detection from SAR images based on multi-channel deep learning semantic segmentation," </w:t>
      </w:r>
      <w:r>
        <w:rPr>
          <w:i/>
          <w:sz w:val="19"/>
        </w:rPr>
        <w:t>Marine Pollution Bulletin</w:t>
      </w:r>
      <w:r>
        <w:rPr>
          <w:sz w:val="19"/>
        </w:rPr>
        <w:t>, vol. 188, p. 114651, 2023, doi: 10.1016/j.marpolbul.2023.114651.</w:t>
      </w:r>
    </w:p>
    <w:p>
      <w:pPr>
        <w:spacing w:after="40"/>
        <w:ind w:left="510" w:hanging="510"/>
        <w:jc w:val="both"/>
      </w:pPr>
      <w:r>
        <w:rPr>
          <w:sz w:val="19"/>
        </w:rPr>
        <w:t>[7]</w:t>
        <w:tab/>
      </w:r>
      <w:r>
        <w:rPr>
          <w:sz w:val="19"/>
        </w:rPr>
        <w:t xml:space="preserve">C. Li, D. Kim, S. Park, J. Kim, and J. Song, "A self-evolving deep learning algorithm for automatic oil spill detection in Sentinel-1 SAR images," </w:t>
      </w:r>
      <w:r>
        <w:rPr>
          <w:i/>
          <w:sz w:val="19"/>
        </w:rPr>
        <w:t>Remote Sensing of Environment</w:t>
      </w:r>
      <w:r>
        <w:rPr>
          <w:sz w:val="19"/>
        </w:rPr>
        <w:t>, vol. 299, p. 113872, 2023, doi: 10.1016/j.rse.2023.113872.</w:t>
      </w:r>
    </w:p>
    <w:p>
      <w:pPr>
        <w:spacing w:after="40"/>
        <w:ind w:left="510" w:hanging="510"/>
        <w:jc w:val="both"/>
      </w:pPr>
      <w:r>
        <w:rPr>
          <w:sz w:val="19"/>
        </w:rPr>
        <w:t>[8]</w:t>
        <w:tab/>
      </w:r>
      <w:r>
        <w:rPr>
          <w:sz w:val="19"/>
        </w:rPr>
        <w:t xml:space="preserve">L. Liao, Q. Zhao, and W. Song, "Monitoring of oil spill risk in coastal areas based on polarimetric SAR satellite images and deep learning theory," </w:t>
      </w:r>
      <w:r>
        <w:rPr>
          <w:i/>
          <w:sz w:val="19"/>
        </w:rPr>
        <w:t>Sustainability</w:t>
      </w:r>
      <w:r>
        <w:rPr>
          <w:sz w:val="19"/>
        </w:rPr>
        <w:t>, vol. 15, no. 19, p. 14504, 2023, doi: 10.3390/su151914504.</w:t>
      </w:r>
    </w:p>
    <w:p>
      <w:pPr>
        <w:spacing w:after="40"/>
        <w:ind w:left="510" w:hanging="510"/>
        <w:jc w:val="both"/>
      </w:pPr>
      <w:r>
        <w:rPr>
          <w:sz w:val="19"/>
        </w:rPr>
        <w:t>[9]</w:t>
        <w:tab/>
      </w:r>
      <w:r>
        <w:rPr>
          <w:sz w:val="19"/>
        </w:rPr>
        <w:t xml:space="preserve">K. Das, P. Janardhan, and M. R. Singh, "Oil spill detection in SAR images: A U-Net semantic segmentation framework with multiple backbones," in </w:t>
      </w:r>
      <w:r>
        <w:rPr>
          <w:i/>
          <w:sz w:val="19"/>
        </w:rPr>
        <w:t>Water and Environment, Volume 2</w:t>
      </w:r>
      <w:r>
        <w:rPr>
          <w:sz w:val="19"/>
        </w:rPr>
        <w:t>, Lecture Notes in Civil Engineering, vol. 414. Singapore: Springer, 2024, pp. 65–77, doi: 10.1007/978-981-97-7502-6_6.</w:t>
      </w:r>
    </w:p>
    <w:p>
      <w:pPr>
        <w:spacing w:after="40"/>
        <w:ind w:left="510" w:hanging="510"/>
        <w:jc w:val="both"/>
      </w:pPr>
      <w:r>
        <w:rPr>
          <w:sz w:val="19"/>
        </w:rPr>
        <w:t>[10]</w:t>
        <w:tab/>
      </w:r>
      <w:r>
        <w:rPr>
          <w:sz w:val="19"/>
        </w:rPr>
        <w:t xml:space="preserve">S. Petalas, T. Psomouli, N. Kokkos, and G. Sylaios, "Operational oil-spill detection in the framework of digital twin using SAR imagery and deep learning," in </w:t>
      </w:r>
      <w:r>
        <w:rPr>
          <w:i/>
          <w:sz w:val="19"/>
        </w:rPr>
        <w:t>Proc. OCEANS 2025 Brest</w:t>
      </w:r>
      <w:r>
        <w:rPr>
          <w:sz w:val="19"/>
        </w:rPr>
        <w:t>, 2025, pp. 1–6, doi: 10.1109/OCEANS58557.2025.11104698.</w:t>
      </w:r>
    </w:p>
    <w:p>
      <w:pPr>
        <w:spacing w:after="40"/>
        <w:ind w:left="510" w:hanging="510"/>
        <w:jc w:val="both"/>
      </w:pPr>
      <w:r>
        <w:rPr>
          <w:sz w:val="19"/>
        </w:rPr>
        <w:t>[11]</w:t>
        <w:tab/>
      </w:r>
      <w:r>
        <w:rPr>
          <w:sz w:val="19"/>
        </w:rPr>
        <w:t xml:space="preserve">O. Ronneberger, P. Fischer, and T. Brox, "U-Net: Convolutional networks for biomedical image segmentation," in </w:t>
      </w:r>
      <w:r>
        <w:rPr>
          <w:i/>
          <w:sz w:val="19"/>
        </w:rPr>
        <w:t>Proc. MICCAI 2015</w:t>
      </w:r>
      <w:r>
        <w:rPr>
          <w:sz w:val="19"/>
        </w:rPr>
        <w:t>, LNCS, vol. 9351. Cham: Springer, 2015, pp. 234–241, doi: 10.1007/978-3-319-24574-4_28.</w:t>
      </w:r>
    </w:p>
    <w:p>
      <w:pPr>
        <w:spacing w:after="40"/>
        <w:ind w:left="510" w:hanging="510"/>
        <w:jc w:val="both"/>
      </w:pPr>
      <w:r>
        <w:rPr>
          <w:sz w:val="19"/>
        </w:rPr>
        <w:t>[12]</w:t>
        <w:tab/>
      </w:r>
      <w:r>
        <w:rPr>
          <w:sz w:val="19"/>
        </w:rPr>
        <w:t xml:space="preserve">B. Jacob </w:t>
      </w:r>
      <w:r>
        <w:rPr>
          <w:i/>
          <w:sz w:val="19"/>
        </w:rPr>
        <w:t>et al.</w:t>
      </w:r>
      <w:r>
        <w:rPr>
          <w:sz w:val="19"/>
        </w:rPr>
        <w:t xml:space="preserve">, "Quantization and training of neural networks for efficient integer-arithmetic-only inference," in </w:t>
      </w:r>
      <w:r>
        <w:rPr>
          <w:i/>
          <w:sz w:val="19"/>
        </w:rPr>
        <w:t>Proc. IEEE/CVF CVPR</w:t>
      </w:r>
      <w:r>
        <w:rPr>
          <w:sz w:val="19"/>
        </w:rPr>
        <w:t>, 2018, pp. 2704–2713, doi: 10.1109/CVPR.2018.00286.</w:t>
      </w:r>
    </w:p>
    <w:p>
      <w:pPr>
        <w:spacing w:after="40"/>
        <w:ind w:left="510" w:hanging="510"/>
        <w:jc w:val="both"/>
      </w:pPr>
      <w:r>
        <w:rPr>
          <w:sz w:val="19"/>
        </w:rPr>
        <w:t>[13]</w:t>
        <w:tab/>
      </w:r>
      <w:r>
        <w:rPr>
          <w:sz w:val="19"/>
        </w:rPr>
        <w:t>BitsandLayers, "Deep-SAR SOS Oil Spill Detection Dataset," Kaggle, v1, 2026. [Online]. Available: https://www.kaggle.com/datasets/bitsandlayers/sar-oil-spill-segmentation-dataset-sos (diakses 24 Sep. 2026). Lisensi CC BY 4.0.</w:t>
      </w:r>
    </w:p>
    <w:p>
      <w:pPr>
        <w:spacing w:after="40"/>
        <w:ind w:left="510" w:hanging="510"/>
        <w:jc w:val="both"/>
      </w:pPr>
      <w:r>
        <w:rPr>
          <w:sz w:val="19"/>
        </w:rPr>
        <w:t>[14]</w:t>
        <w:tab/>
      </w:r>
      <w:r>
        <w:rPr>
          <w:sz w:val="19"/>
        </w:rPr>
        <w:t>ONNX Runtime developers, "ONNX Runtime (onnxruntime-web) v1.30.0," 2026. [Online]. Available: https://onnxruntime.ai</w:t>
      </w:r>
    </w:p>
    <w:p>
      <w:pPr>
        <w:spacing w:after="40"/>
        <w:ind w:left="510" w:hanging="510"/>
        <w:jc w:val="both"/>
      </w:pPr>
      <w:r>
        <w:rPr>
          <w:sz w:val="19"/>
        </w:rPr>
        <w:t>[15]</w:t>
        <w:tab/>
      </w:r>
      <w:r>
        <w:rPr>
          <w:sz w:val="19"/>
        </w:rPr>
        <w:t xml:space="preserve">L. Breiman, "Random forests," </w:t>
      </w:r>
      <w:r>
        <w:rPr>
          <w:i/>
          <w:sz w:val="19"/>
        </w:rPr>
        <w:t>Machine Learning</w:t>
      </w:r>
      <w:r>
        <w:rPr>
          <w:sz w:val="19"/>
        </w:rPr>
        <w:t>, vol. 45, no. 1, pp. 5–32, 2001, doi: 10.1023/A:1010933404324.</w:t>
      </w:r>
    </w:p>
    <w:p>
      <w:pPr>
        <w:spacing w:after="40"/>
        <w:ind w:left="510" w:hanging="510"/>
        <w:jc w:val="both"/>
      </w:pPr>
      <w:r>
        <w:rPr>
          <w:sz w:val="19"/>
        </w:rPr>
        <w:t>[16]</w:t>
        <w:tab/>
      </w:r>
      <w:r>
        <w:rPr>
          <w:sz w:val="19"/>
        </w:rPr>
        <w:t xml:space="preserve">G. Ke </w:t>
      </w:r>
      <w:r>
        <w:rPr>
          <w:i/>
          <w:sz w:val="19"/>
        </w:rPr>
        <w:t>et al.</w:t>
      </w:r>
      <w:r>
        <w:rPr>
          <w:sz w:val="19"/>
        </w:rPr>
        <w:t xml:space="preserve">, "LightGBM: A highly efficient gradient boosting decision tree," in </w:t>
      </w:r>
      <w:r>
        <w:rPr>
          <w:i/>
          <w:sz w:val="19"/>
        </w:rPr>
        <w:t>Advances in Neural Information Processing Systems 30 (NIPS 2017)</w:t>
      </w:r>
      <w:r>
        <w:rPr>
          <w:sz w:val="19"/>
        </w:rPr>
        <w:t>, 2017, pp. 3146–3154.</w:t>
      </w:r>
    </w:p>
    <w:p>
      <w:pPr>
        <w:spacing w:after="40"/>
        <w:ind w:left="510" w:hanging="510"/>
        <w:jc w:val="both"/>
      </w:pPr>
      <w:r>
        <w:rPr>
          <w:sz w:val="19"/>
        </w:rPr>
        <w:t>[17]</w:t>
        <w:tab/>
      </w:r>
      <w:r>
        <w:rPr>
          <w:sz w:val="19"/>
        </w:rPr>
        <w:t xml:space="preserve">L.-C. Chen, Y. Zhu, G. Papandreou, F. Schroff, and H. Adam, "Encoder-decoder with atrous separable convolution for semantic image segmentation," in </w:t>
      </w:r>
      <w:r>
        <w:rPr>
          <w:i/>
          <w:sz w:val="19"/>
        </w:rPr>
        <w:t>Proc. ECCV 2018</w:t>
      </w:r>
      <w:r>
        <w:rPr>
          <w:sz w:val="19"/>
        </w:rPr>
        <w:t>, LNCS, vol. 11211. Cham: Springer, 2018, pp. 833–851, doi: 10.1007/978-3-030-01234-2_49.</w:t>
      </w:r>
    </w:p>
    <w:p>
      <w:pPr>
        <w:spacing w:after="40"/>
        <w:ind w:left="510" w:hanging="510"/>
        <w:jc w:val="both"/>
      </w:pPr>
      <w:r>
        <w:rPr>
          <w:sz w:val="19"/>
        </w:rPr>
        <w:t>[18]</w:t>
        <w:tab/>
      </w:r>
      <w:r>
        <w:rPr>
          <w:sz w:val="19"/>
        </w:rPr>
        <w:t xml:space="preserve">M. Sandler, A. Howard, M. Zhu, A. Zhmoginov, and L.-C. Chen, "MobileNetV2: Inverted residuals and linear bottlenecks," in </w:t>
      </w:r>
      <w:r>
        <w:rPr>
          <w:i/>
          <w:sz w:val="19"/>
        </w:rPr>
        <w:t>Proc. IEEE/CVF CVPR</w:t>
      </w:r>
      <w:r>
        <w:rPr>
          <w:sz w:val="19"/>
        </w:rPr>
        <w:t>, 2018, pp. 4510–4520, doi: 10.1109/CVPR.2018.00474.</w:t>
      </w:r>
    </w:p>
    <w:p>
      <w:pPr>
        <w:spacing w:after="40"/>
        <w:ind w:left="510" w:hanging="510"/>
        <w:jc w:val="both"/>
      </w:pPr>
      <w:r>
        <w:rPr>
          <w:sz w:val="19"/>
        </w:rPr>
        <w:t>[19]</w:t>
        <w:tab/>
      </w:r>
      <w:r>
        <w:rPr>
          <w:sz w:val="19"/>
        </w:rPr>
        <w:t>NOAA Office of Response and Restoration, "GNOME: General NOAA Operational Modeling Environment," 2024. [Online]. Available: https://response.restoration.noaa.gov/gnome</w:t>
      </w:r>
    </w:p>
    <w:p>
      <w:pPr>
        <w:spacing w:after="40"/>
        <w:ind w:left="510" w:hanging="510"/>
        <w:jc w:val="both"/>
      </w:pPr>
      <w:r>
        <w:rPr>
          <w:sz w:val="19"/>
        </w:rPr>
        <w:t>[20]</w:t>
        <w:tab/>
      </w:r>
      <w:r>
        <w:rPr>
          <w:sz w:val="19"/>
        </w:rPr>
        <w:t xml:space="preserve">J. A. Fay, "Physical processes in the spread of oil on a water surface," in </w:t>
      </w:r>
      <w:r>
        <w:rPr>
          <w:i/>
          <w:sz w:val="19"/>
        </w:rPr>
        <w:t>Proc. Joint Conf. Prevention and Control of Oil Spills</w:t>
      </w:r>
      <w:r>
        <w:rPr>
          <w:sz w:val="19"/>
        </w:rPr>
        <w:t>, Washington, DC: API, 1971, pp. 463–467, doi: 10.7901/2169-3358-1971-1-463.</w:t>
      </w:r>
    </w:p>
    <w:p>
      <w:pPr>
        <w:spacing w:after="40"/>
        <w:ind w:left="510" w:hanging="510"/>
        <w:jc w:val="both"/>
      </w:pPr>
      <w:r>
        <w:rPr>
          <w:sz w:val="19"/>
        </w:rPr>
        <w:t>[21]</w:t>
        <w:tab/>
      </w:r>
      <w:r>
        <w:rPr>
          <w:sz w:val="19"/>
        </w:rPr>
        <w:t>Bonn Agreement, "Bonn Agreement Aerial Operations Handbook: Bonn Agreement Oil Appearance Code," 2016. [Online]. Available: https://www.bonnagreement.org</w:t>
      </w:r>
    </w:p>
    <w:p>
      <w:pPr>
        <w:spacing w:after="40"/>
        <w:ind w:left="510" w:hanging="510"/>
        <w:jc w:val="both"/>
      </w:pPr>
      <w:r>
        <w:rPr>
          <w:sz w:val="19"/>
        </w:rPr>
        <w:t>[22]</w:t>
        <w:tab/>
      </w:r>
      <w:r>
        <w:rPr>
          <w:sz w:val="19"/>
        </w:rPr>
        <w:t xml:space="preserve">A. Okubo, "Oceanic diffusion diagrams," </w:t>
      </w:r>
      <w:r>
        <w:rPr>
          <w:i/>
          <w:sz w:val="19"/>
        </w:rPr>
        <w:t>Deep Sea Research and Oceanographic Abstracts</w:t>
      </w:r>
      <w:r>
        <w:rPr>
          <w:sz w:val="19"/>
        </w:rPr>
        <w:t>, vol. 18, no. 8, pp. 789–802, 1971, doi: 10.1016/0011-7471(71)90046-5.</w:t>
      </w:r>
    </w:p>
    <w:p>
      <w:pPr>
        <w:spacing w:after="40"/>
        <w:ind w:left="510" w:hanging="510"/>
        <w:jc w:val="both"/>
      </w:pPr>
      <w:r>
        <w:rPr>
          <w:sz w:val="19"/>
        </w:rPr>
        <w:t>[23]</w:t>
        <w:tab/>
      </w:r>
      <w:r>
        <w:rPr>
          <w:sz w:val="19"/>
        </w:rPr>
        <w:t>ITOPF, "Use of booms in oil pollution response," Technical Information Paper no. 3, London: ITOPF, 2011. [Online]. Available: https://www.itopf.org</w:t>
      </w:r>
    </w:p>
    <w:p>
      <w:r>
        <w:br w:type="page"/>
      </w:r>
    </w:p>
    <w:p>
      <w:pPr>
        <w:pStyle w:val="Heading1"/>
      </w:pPr>
      <w:r>
        <w:t>Lampiran A. Contribution Statement</w:t>
      </w:r>
    </w:p>
    <w:p>
      <w:pPr>
        <w:jc w:val="both"/>
      </w:pPr>
      <w:r>
        <w:t>Tabel A1 merinci peran, tanggung jawab, dan persentase kontribusi tiap anggota (total 100%). Ketua mendapat porsi lebih besar karena merangkap koordinasi tim dan pemodelan inti.</w:t>
      </w:r>
    </w:p>
    <w:p>
      <w:pPr>
        <w:keepNext/>
        <w:spacing w:after="60" w:before="120"/>
        <w:jc w:val="center"/>
      </w:pPr>
      <w:r>
        <w:rPr>
          <w:b/>
          <w:sz w:val="19"/>
        </w:rPr>
        <w:t>Tabel A1.</w:t>
      </w:r>
      <w:r>
        <w:rPr>
          <w:sz w:val="19"/>
        </w:rPr>
        <w:t xml:space="preserve"> Pembagian peran dan kontribusi anggota Kelompok 1 CAYMAN.</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494"/>
            <w:shd w:val="clear" w:color="auto" w:fill="E7EEF7"/>
            <w:tcBorders>
              <w:top w:val="single" w:sz="10" w:color="000000" w:space="0"/>
              <w:bottom w:val="single" w:sz="6" w:color="000000" w:space="0"/>
            </w:tcBorders>
          </w:tcPr>
          <w:p>
            <w:pPr>
              <w:keepNext/>
              <w:spacing w:after="20" w:line="240" w:lineRule="auto"/>
              <w:jc w:val="left"/>
            </w:pPr>
            <w:r>
              <w:rPr>
                <w:b/>
                <w:sz w:val="17"/>
              </w:rPr>
              <w:t>Nama (NPM)</w:t>
            </w:r>
          </w:p>
        </w:tc>
        <w:tc>
          <w:tcPr>
            <w:tcW w:type="dxa" w:w="1814"/>
            <w:shd w:val="clear" w:color="auto" w:fill="E7EEF7"/>
            <w:tcBorders>
              <w:top w:val="single" w:sz="10" w:color="000000" w:space="0"/>
              <w:bottom w:val="single" w:sz="6" w:color="000000" w:space="0"/>
            </w:tcBorders>
          </w:tcPr>
          <w:p>
            <w:pPr>
              <w:keepNext/>
              <w:spacing w:after="20" w:line="240" w:lineRule="auto"/>
              <w:jc w:val="center"/>
            </w:pPr>
            <w:r>
              <w:rPr>
                <w:b/>
                <w:sz w:val="17"/>
              </w:rPr>
              <w:t>Peran</w:t>
            </w:r>
          </w:p>
        </w:tc>
        <w:tc>
          <w:tcPr>
            <w:tcW w:type="dxa" w:w="3628"/>
            <w:shd w:val="clear" w:color="auto" w:fill="E7EEF7"/>
            <w:tcBorders>
              <w:top w:val="single" w:sz="10" w:color="000000" w:space="0"/>
              <w:bottom w:val="single" w:sz="6" w:color="000000" w:space="0"/>
            </w:tcBorders>
          </w:tcPr>
          <w:p>
            <w:pPr>
              <w:keepNext/>
              <w:spacing w:after="20" w:line="240" w:lineRule="auto"/>
              <w:jc w:val="center"/>
            </w:pPr>
            <w:r>
              <w:rPr>
                <w:b/>
                <w:sz w:val="17"/>
              </w:rPr>
              <w:t>Tanggung jawab</w:t>
            </w:r>
          </w:p>
        </w:tc>
        <w:tc>
          <w:tcPr>
            <w:tcW w:type="dxa" w:w="1020"/>
            <w:shd w:val="clear" w:color="auto" w:fill="E7EEF7"/>
            <w:tcBorders>
              <w:top w:val="single" w:sz="10" w:color="000000" w:space="0"/>
              <w:bottom w:val="single" w:sz="6" w:color="000000" w:space="0"/>
            </w:tcBorders>
          </w:tcPr>
          <w:p>
            <w:pPr>
              <w:keepNext/>
              <w:spacing w:after="20" w:line="240" w:lineRule="auto"/>
              <w:jc w:val="center"/>
            </w:pPr>
            <w:r>
              <w:rPr>
                <w:b/>
                <w:sz w:val="17"/>
              </w:rPr>
              <w:t>Kontribusi</w:t>
            </w:r>
          </w:p>
        </w:tc>
      </w:tr>
      <w:tr>
        <w:trPr>
          <w:cantSplit/>
        </w:trPr>
        <w:tc>
          <w:tcPr>
            <w:tcW w:type="dxa" w:w="2494"/>
          </w:tcPr>
          <w:p>
            <w:pPr>
              <w:keepNext/>
              <w:spacing w:after="20" w:line="240" w:lineRule="auto"/>
              <w:jc w:val="left"/>
            </w:pPr>
            <w:r>
              <w:rPr>
                <w:sz w:val="17"/>
              </w:rPr>
              <w:t>Ade Rizky Darmawan (23083010080), Ketua</w:t>
            </w:r>
          </w:p>
        </w:tc>
        <w:tc>
          <w:tcPr>
            <w:tcW w:type="dxa" w:w="1814"/>
          </w:tcPr>
          <w:p>
            <w:pPr>
              <w:keepNext/>
              <w:spacing w:after="20" w:line="240" w:lineRule="auto"/>
              <w:jc w:val="center"/>
            </w:pPr>
            <w:r>
              <w:rPr>
                <w:sz w:val="17"/>
              </w:rPr>
              <w:t>Model Architect Specialist</w:t>
            </w:r>
          </w:p>
        </w:tc>
        <w:tc>
          <w:tcPr>
            <w:tcW w:type="dxa" w:w="3628"/>
          </w:tcPr>
          <w:p>
            <w:pPr>
              <w:keepNext/>
              <w:spacing w:after="20" w:line="240" w:lineRule="auto"/>
              <w:jc w:val="center"/>
            </w:pPr>
            <w:r>
              <w:rPr>
                <w:sz w:val="17"/>
              </w:rPr>
              <w:t>Koordinasi tim; perancangan arsitektur U-Net Lite, training pipeline di GPU, pemilihan loss dan threshold, evaluasi metrik</w:t>
            </w:r>
          </w:p>
        </w:tc>
        <w:tc>
          <w:tcPr>
            <w:tcW w:type="dxa" w:w="1020"/>
          </w:tcPr>
          <w:p>
            <w:pPr>
              <w:keepNext/>
              <w:spacing w:after="20" w:line="240" w:lineRule="auto"/>
              <w:jc w:val="center"/>
            </w:pPr>
            <w:r>
              <w:rPr>
                <w:sz w:val="17"/>
              </w:rPr>
              <w:t>20%</w:t>
            </w:r>
          </w:p>
        </w:tc>
      </w:tr>
      <w:tr>
        <w:trPr>
          <w:cantSplit/>
        </w:trPr>
        <w:tc>
          <w:tcPr>
            <w:tcW w:type="dxa" w:w="2494"/>
          </w:tcPr>
          <w:p>
            <w:pPr>
              <w:keepNext/>
              <w:spacing w:after="20" w:line="240" w:lineRule="auto"/>
              <w:jc w:val="left"/>
            </w:pPr>
            <w:r>
              <w:rPr>
                <w:sz w:val="17"/>
              </w:rPr>
              <w:t>Arkananta Daniswara Handoyo (23083010059)</w:t>
            </w:r>
          </w:p>
        </w:tc>
        <w:tc>
          <w:tcPr>
            <w:tcW w:type="dxa" w:w="1814"/>
          </w:tcPr>
          <w:p>
            <w:pPr>
              <w:keepNext/>
              <w:spacing w:after="20" w:line="240" w:lineRule="auto"/>
              <w:jc w:val="center"/>
            </w:pPr>
            <w:r>
              <w:rPr>
                <w:sz w:val="17"/>
              </w:rPr>
              <w:t>Data &amp; Pipeline Specialist</w:t>
            </w:r>
          </w:p>
        </w:tc>
        <w:tc>
          <w:tcPr>
            <w:tcW w:type="dxa" w:w="3628"/>
          </w:tcPr>
          <w:p>
            <w:pPr>
              <w:keepNext/>
              <w:spacing w:after="20" w:line="240" w:lineRule="auto"/>
              <w:jc w:val="center"/>
            </w:pPr>
            <w:r>
              <w:rPr>
                <w:sz w:val="17"/>
              </w:rPr>
              <w:t>Akuisisi dataset SOS, audit data (pasangan, label, duplikat), preprocessing, pembagian train/val/test</w:t>
            </w:r>
          </w:p>
        </w:tc>
        <w:tc>
          <w:tcPr>
            <w:tcW w:type="dxa" w:w="1020"/>
          </w:tcPr>
          <w:p>
            <w:pPr>
              <w:keepNext/>
              <w:spacing w:after="20" w:line="240" w:lineRule="auto"/>
              <w:jc w:val="center"/>
            </w:pPr>
            <w:r>
              <w:rPr>
                <w:sz w:val="17"/>
              </w:rPr>
              <w:t>16%</w:t>
            </w:r>
          </w:p>
        </w:tc>
      </w:tr>
      <w:tr>
        <w:trPr>
          <w:cantSplit/>
        </w:trPr>
        <w:tc>
          <w:tcPr>
            <w:tcW w:type="dxa" w:w="2494"/>
          </w:tcPr>
          <w:p>
            <w:pPr>
              <w:keepNext/>
              <w:spacing w:after="20" w:line="240" w:lineRule="auto"/>
              <w:jc w:val="left"/>
            </w:pPr>
            <w:r>
              <w:rPr>
                <w:sz w:val="17"/>
              </w:rPr>
              <w:t>Muhammad Arsyad Alzam (23083010082)</w:t>
            </w:r>
          </w:p>
        </w:tc>
        <w:tc>
          <w:tcPr>
            <w:tcW w:type="dxa" w:w="1814"/>
          </w:tcPr>
          <w:p>
            <w:pPr>
              <w:keepNext/>
              <w:spacing w:after="20" w:line="240" w:lineRule="auto"/>
              <w:jc w:val="center"/>
            </w:pPr>
            <w:r>
              <w:rPr>
                <w:sz w:val="17"/>
              </w:rPr>
              <w:t>Deployment &amp; Edge Specialist</w:t>
            </w:r>
          </w:p>
        </w:tc>
        <w:tc>
          <w:tcPr>
            <w:tcW w:type="dxa" w:w="3628"/>
          </w:tcPr>
          <w:p>
            <w:pPr>
              <w:keepNext/>
              <w:spacing w:after="20" w:line="240" w:lineRule="auto"/>
              <w:jc w:val="center"/>
            </w:pPr>
            <w:r>
              <w:rPr>
                <w:sz w:val="17"/>
              </w:rPr>
              <w:t>Ekspor ONNX, kuantisasi FP16/INT8, benchmark latensi, onnxruntime-web, deployment Vercel, manajemen GitHub</w:t>
            </w:r>
          </w:p>
        </w:tc>
        <w:tc>
          <w:tcPr>
            <w:tcW w:type="dxa" w:w="1020"/>
          </w:tcPr>
          <w:p>
            <w:pPr>
              <w:keepNext/>
              <w:spacing w:after="20" w:line="240" w:lineRule="auto"/>
              <w:jc w:val="center"/>
            </w:pPr>
            <w:r>
              <w:rPr>
                <w:sz w:val="17"/>
              </w:rPr>
              <w:t>16%</w:t>
            </w:r>
          </w:p>
        </w:tc>
      </w:tr>
      <w:tr>
        <w:trPr>
          <w:cantSplit/>
        </w:trPr>
        <w:tc>
          <w:tcPr>
            <w:tcW w:type="dxa" w:w="2494"/>
          </w:tcPr>
          <w:p>
            <w:pPr>
              <w:keepNext/>
              <w:spacing w:after="20" w:line="240" w:lineRule="auto"/>
              <w:jc w:val="left"/>
            </w:pPr>
            <w:r>
              <w:rPr>
                <w:sz w:val="17"/>
              </w:rPr>
              <w:t>Choirul Amin (22083010050)</w:t>
            </w:r>
          </w:p>
        </w:tc>
        <w:tc>
          <w:tcPr>
            <w:tcW w:type="dxa" w:w="1814"/>
          </w:tcPr>
          <w:p>
            <w:pPr>
              <w:keepNext/>
              <w:spacing w:after="20" w:line="240" w:lineRule="auto"/>
              <w:jc w:val="center"/>
            </w:pPr>
            <w:r>
              <w:rPr>
                <w:sz w:val="17"/>
              </w:rPr>
              <w:t>Frontend &amp; UX Specialist</w:t>
            </w:r>
          </w:p>
        </w:tc>
        <w:tc>
          <w:tcPr>
            <w:tcW w:type="dxa" w:w="3628"/>
          </w:tcPr>
          <w:p>
            <w:pPr>
              <w:keepNext/>
              <w:spacing w:after="20" w:line="240" w:lineRule="auto"/>
              <w:jc w:val="center"/>
            </w:pPr>
            <w:r>
              <w:rPr>
                <w:sz w:val="17"/>
              </w:rPr>
              <w:t>Desain dan pengembangan UI web, visualisasi hasil segmentasi, fitur Try Sample Data dan estimasi km², landing page tim</w:t>
            </w:r>
          </w:p>
        </w:tc>
        <w:tc>
          <w:tcPr>
            <w:tcW w:type="dxa" w:w="1020"/>
          </w:tcPr>
          <w:p>
            <w:pPr>
              <w:keepNext/>
              <w:spacing w:after="20" w:line="240" w:lineRule="auto"/>
              <w:jc w:val="center"/>
            </w:pPr>
            <w:r>
              <w:rPr>
                <w:sz w:val="17"/>
              </w:rPr>
              <w:t>16%</w:t>
            </w:r>
          </w:p>
        </w:tc>
      </w:tr>
      <w:tr>
        <w:trPr>
          <w:cantSplit/>
        </w:trPr>
        <w:tc>
          <w:tcPr>
            <w:tcW w:type="dxa" w:w="2494"/>
          </w:tcPr>
          <w:p>
            <w:pPr>
              <w:keepNext/>
              <w:spacing w:after="20" w:line="240" w:lineRule="auto"/>
              <w:jc w:val="left"/>
            </w:pPr>
            <w:r>
              <w:rPr>
                <w:sz w:val="17"/>
              </w:rPr>
              <w:t>Hana Titania Sastrian (23083010056)</w:t>
            </w:r>
          </w:p>
        </w:tc>
        <w:tc>
          <w:tcPr>
            <w:tcW w:type="dxa" w:w="1814"/>
          </w:tcPr>
          <w:p>
            <w:pPr>
              <w:keepNext/>
              <w:spacing w:after="20" w:line="240" w:lineRule="auto"/>
              <w:jc w:val="center"/>
            </w:pPr>
            <w:r>
              <w:rPr>
                <w:sz w:val="17"/>
              </w:rPr>
              <w:t>Lead Technical Writer</w:t>
            </w:r>
          </w:p>
        </w:tc>
        <w:tc>
          <w:tcPr>
            <w:tcW w:type="dxa" w:w="3628"/>
          </w:tcPr>
          <w:p>
            <w:pPr>
              <w:keepNext/>
              <w:spacing w:after="20" w:line="240" w:lineRule="auto"/>
              <w:jc w:val="center"/>
            </w:pPr>
            <w:r>
              <w:rPr>
                <w:sz w:val="17"/>
              </w:rPr>
              <w:t>Penyusunan laporan ilmiah, penelusuran dan pengelolaan referensi, dokumentasi README</w:t>
            </w:r>
          </w:p>
        </w:tc>
        <w:tc>
          <w:tcPr>
            <w:tcW w:type="dxa" w:w="1020"/>
          </w:tcPr>
          <w:p>
            <w:pPr>
              <w:keepNext/>
              <w:spacing w:after="20" w:line="240" w:lineRule="auto"/>
              <w:jc w:val="center"/>
            </w:pPr>
            <w:r>
              <w:rPr>
                <w:sz w:val="17"/>
              </w:rPr>
              <w:t>16%</w:t>
            </w:r>
          </w:p>
        </w:tc>
      </w:tr>
      <w:tr>
        <w:trPr>
          <w:cantSplit/>
        </w:trPr>
        <w:tc>
          <w:tcPr>
            <w:tcW w:type="dxa" w:w="2494"/>
          </w:tcPr>
          <w:p>
            <w:pPr>
              <w:keepNext/>
              <w:spacing w:after="20" w:line="240" w:lineRule="auto"/>
              <w:jc w:val="left"/>
            </w:pPr>
            <w:r>
              <w:rPr>
                <w:sz w:val="17"/>
              </w:rPr>
              <w:t>Zaydan Arief Athallah (23083010063)</w:t>
            </w:r>
          </w:p>
        </w:tc>
        <w:tc>
          <w:tcPr>
            <w:tcW w:type="dxa" w:w="1814"/>
          </w:tcPr>
          <w:p>
            <w:pPr>
              <w:keepNext/>
              <w:spacing w:after="20" w:line="240" w:lineRule="auto"/>
              <w:jc w:val="center"/>
            </w:pPr>
            <w:r>
              <w:rPr>
                <w:sz w:val="17"/>
              </w:rPr>
              <w:t>Research &amp; Business Impact Analyst</w:t>
            </w:r>
          </w:p>
        </w:tc>
        <w:tc>
          <w:tcPr>
            <w:tcW w:type="dxa" w:w="3628"/>
          </w:tcPr>
          <w:p>
            <w:pPr>
              <w:keepNext/>
              <w:spacing w:after="20" w:line="240" w:lineRule="auto"/>
              <w:jc w:val="center"/>
            </w:pPr>
            <w:r>
              <w:rPr>
                <w:sz w:val="17"/>
              </w:rPr>
              <w:t>Kajian state of the art, analisis dampak operasional HSSE dan estimasi bisnis, materi presentasi</w:t>
            </w:r>
          </w:p>
        </w:tc>
        <w:tc>
          <w:tcPr>
            <w:tcW w:type="dxa" w:w="1020"/>
          </w:tcPr>
          <w:p>
            <w:pPr>
              <w:keepNext/>
              <w:spacing w:after="20" w:line="240" w:lineRule="auto"/>
              <w:jc w:val="center"/>
            </w:pPr>
            <w:r>
              <w:rPr>
                <w:sz w:val="17"/>
              </w:rPr>
              <w:t>16%</w:t>
            </w:r>
          </w:p>
        </w:tc>
      </w:tr>
      <w:tr>
        <w:trPr>
          <w:cantSplit/>
        </w:trPr>
        <w:tc>
          <w:tcPr>
            <w:tcW w:type="dxa" w:w="2494"/>
            <w:tcBorders>
              <w:bottom w:val="single" w:sz="10" w:color="000000" w:space="0"/>
            </w:tcBorders>
          </w:tcPr>
          <w:p>
            <w:pPr>
              <w:spacing w:after="20" w:line="240" w:lineRule="auto"/>
              <w:jc w:val="left"/>
            </w:pPr>
            <w:r>
              <w:rPr>
                <w:b/>
                <w:sz w:val="17"/>
              </w:rPr>
              <w:t>Total</w:t>
            </w:r>
          </w:p>
        </w:tc>
        <w:tc>
          <w:tcPr>
            <w:tcW w:type="dxa" w:w="1814"/>
            <w:tcBorders>
              <w:bottom w:val="single" w:sz="10" w:color="000000" w:space="0"/>
            </w:tcBorders>
          </w:tcPr>
          <w:p>
            <w:pPr>
              <w:spacing w:after="20" w:line="240" w:lineRule="auto"/>
              <w:jc w:val="center"/>
            </w:pPr>
          </w:p>
        </w:tc>
        <w:tc>
          <w:tcPr>
            <w:tcW w:type="dxa" w:w="3628"/>
            <w:tcBorders>
              <w:bottom w:val="single" w:sz="10" w:color="000000" w:space="0"/>
            </w:tcBorders>
          </w:tcPr>
          <w:p>
            <w:pPr>
              <w:spacing w:after="20" w:line="240" w:lineRule="auto"/>
              <w:jc w:val="center"/>
            </w:pPr>
          </w:p>
        </w:tc>
        <w:tc>
          <w:tcPr>
            <w:tcW w:type="dxa" w:w="1020"/>
            <w:tcBorders>
              <w:bottom w:val="single" w:sz="10" w:color="000000" w:space="0"/>
            </w:tcBorders>
          </w:tcPr>
          <w:p>
            <w:pPr>
              <w:spacing w:after="20" w:line="240" w:lineRule="auto"/>
              <w:jc w:val="center"/>
            </w:pPr>
            <w:r>
              <w:rPr>
                <w:b/>
                <w:sz w:val="17"/>
              </w:rPr>
              <w:t>100%</w:t>
            </w:r>
          </w:p>
        </w:tc>
      </w:tr>
    </w:tbl>
    <w:p>
      <w:pPr>
        <w:spacing w:after="40"/>
      </w:pPr>
    </w:p>
    <w:p>
      <w:pPr>
        <w:pStyle w:val="Heading1"/>
      </w:pPr>
      <w:r>
        <w:t>Lampiran B. Artefak Proyek</w:t>
      </w:r>
    </w:p>
    <w:p>
      <w:pPr>
        <w:pStyle w:val="ListBullet"/>
        <w:spacing w:after="40"/>
        <w:ind w:left="510"/>
        <w:jc w:val="both"/>
      </w:pPr>
      <w:r>
        <w:t>Repositori GitHub (publik): https://github.com/aderizkydarmawan/cayman-oil-spill-sar, berisi notebook Colab, skrip model/ekspor, hasil audit, metrik (JSON/CSV), model ONNX, dan kode web.</w:t>
      </w:r>
    </w:p>
    <w:p>
      <w:pPr>
        <w:pStyle w:val="ListBullet"/>
        <w:spacing w:after="40"/>
        <w:ind w:left="510"/>
        <w:jc w:val="both"/>
      </w:pPr>
      <w:r>
        <w:t>Aplikasi web: https://cayman-kelompok1.vercel.app, yang memuat demo inferensi 5 model (</w:t>
      </w:r>
      <w:r>
        <w:rPr>
          <w:i/>
        </w:rPr>
        <w:t>Try Sample Data</w:t>
      </w:r>
      <w:r>
        <w:t>), poligon &amp; GeoJSON per slick, simulasi penyebaran &amp; oil boom, kalkulator biaya &amp; risiko HSSE, dan profil tim.</w:t>
      </w:r>
    </w:p>
    <w:p>
      <w:pPr>
        <w:pStyle w:val="ListBullet"/>
        <w:spacing w:after="40"/>
        <w:ind w:left="510"/>
        <w:jc w:val="both"/>
      </w:pPr>
      <w:r>
        <w:t xml:space="preserve">Reproduksi: buka notebooks/Kasus38_SAR_OilSpill_UNetLite.ipynb di Google Colab (runtime T4 GPU) lalu jalankan </w:t>
      </w:r>
      <w:r>
        <w:rPr>
          <w:i/>
        </w:rPr>
        <w:t>Run all</w:t>
      </w:r>
      <w:r>
        <w:t>; perbandingan ML vs DL ada di Bagian B (sel 14–19), hasilnya di outputs/v2/.</w:t>
      </w:r>
    </w:p>
    <w:sectPr w:rsidR="00FC693F" w:rsidRPr="0006063C" w:rsidSect="00034616">
      <w:headerReference w:type="default" r:id="rId10"/>
      <w:footerReference w:type="default" r:id="rId11"/>
      <w:pgSz w:w="11906" w:h="16838"/>
      <w:pgMar w:top="1417" w:right="1417" w:bottom="1417" w:left="141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7"/>
      </w:rPr>
      <w:t>Tugas Besar Deep Learning · Kelompok 1 CAYMAN · Kasus 38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80" w:before="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imes New Roman" w:hAnsi="Times New Roman" w:eastAsia="Times New Roman" w:cs="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imes New Roman" w:hAnsi="Times New Roman" w:eastAsia="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