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line="240" w:lineRule="auto"/>
        <w:jc w:val="center"/>
      </w:pPr>
      <w:r>
        <w:rPr>
          <w:b/>
          <w:i w:val="0"/>
          <w:sz w:val="32"/>
        </w:rPr>
        <w:t>LAPORAN TUGAS BESAR</w:t>
      </w:r>
    </w:p>
    <w:p>
      <w:pPr>
        <w:spacing w:before="0" w:after="360" w:line="240" w:lineRule="auto"/>
        <w:jc w:val="center"/>
      </w:pPr>
      <w:r>
        <w:rPr>
          <w:b/>
          <w:i w:val="0"/>
          <w:sz w:val="28"/>
        </w:rPr>
        <w:t>DEEP LEARNING</w:t>
      </w:r>
    </w:p>
    <w:p>
      <w:pPr>
        <w:spacing w:before="0" w:after="0" w:line="240" w:lineRule="auto"/>
        <w:jc w:val="center"/>
      </w:pPr>
      <w:r>
        <w:rPr>
          <w:b/>
          <w:i w:val="0"/>
          <w:sz w:val="26"/>
        </w:rPr>
        <w:t>Deteksi dan Pemetaan Tumpahan Minyak pada Citra Sentinel-1 SAR</w:t>
      </w:r>
    </w:p>
    <w:p>
      <w:pPr>
        <w:spacing w:before="0" w:after="0" w:line="240" w:lineRule="auto"/>
        <w:jc w:val="center"/>
      </w:pPr>
      <w:r>
        <w:rPr>
          <w:b/>
          <w:i w:val="0"/>
          <w:sz w:val="26"/>
        </w:rPr>
        <w:t>Menggunakan U-Net Ringan Terkuantisasi INT8</w:t>
      </w:r>
    </w:p>
    <w:p>
      <w:pPr>
        <w:spacing w:before="0" w:after="80" w:line="240" w:lineRule="auto"/>
        <w:jc w:val="center"/>
      </w:pPr>
      <w:r>
        <w:rPr>
          <w:b/>
          <w:i w:val="0"/>
          <w:sz w:val="26"/>
        </w:rPr>
        <w:t>untuk Inferensi Edge di Browser</w:t>
      </w:r>
    </w:p>
    <w:p>
      <w:pPr>
        <w:spacing w:before="0" w:after="440" w:line="240" w:lineRule="auto"/>
        <w:jc w:val="center"/>
      </w:pPr>
      <w:r>
        <w:rPr>
          <w:b w:val="0"/>
          <w:i w:val="0"/>
          <w:sz w:val="22"/>
        </w:rPr>
        <w:t>(Kasus 38: Marine Oil Spill Detection and Mapping via Satellite SAR)</w:t>
      </w:r>
    </w:p>
    <w:p>
      <w:pPr>
        <w:spacing w:after="400"/>
        <w:jc w:val="center"/>
      </w:pPr>
      <w:r>
        <w:drawing>
          <wp:inline xmlns:a="http://schemas.openxmlformats.org/drawingml/2006/main" xmlns:pic="http://schemas.openxmlformats.org/drawingml/2006/picture">
            <wp:extent cx="1872000" cy="1834077"/>
            <wp:docPr id="1" name="Picture 1"/>
            <wp:cNvGraphicFramePr>
              <a:graphicFrameLocks noChangeAspect="1"/>
            </wp:cNvGraphicFramePr>
            <a:graphic>
              <a:graphicData uri="http://schemas.openxmlformats.org/drawingml/2006/picture">
                <pic:pic>
                  <pic:nvPicPr>
                    <pic:cNvPr id="0" name="logo_upnvjt.png"/>
                    <pic:cNvPicPr/>
                  </pic:nvPicPr>
                  <pic:blipFill>
                    <a:blip r:embed="rId9"/>
                    <a:stretch>
                      <a:fillRect/>
                    </a:stretch>
                  </pic:blipFill>
                  <pic:spPr>
                    <a:xfrm>
                      <a:off x="0" y="0"/>
                      <a:ext cx="1872000" cy="1834077"/>
                    </a:xfrm>
                    <a:prstGeom prst="rect"/>
                  </pic:spPr>
                </pic:pic>
              </a:graphicData>
            </a:graphic>
          </wp:inline>
        </w:drawing>
      </w:r>
    </w:p>
    <w:p>
      <w:pPr>
        <w:spacing w:before="0" w:after="40" w:line="240" w:lineRule="auto"/>
        <w:jc w:val="center"/>
      </w:pPr>
      <w:r>
        <w:rPr>
          <w:b w:val="0"/>
          <w:i w:val="0"/>
          <w:sz w:val="24"/>
        </w:rPr>
        <w:t>Disusun oleh:</w:t>
      </w:r>
    </w:p>
    <w:p>
      <w:pPr>
        <w:spacing w:before="0" w:after="120" w:line="240" w:lineRule="auto"/>
        <w:jc w:val="center"/>
      </w:pPr>
      <w:r>
        <w:rPr>
          <w:b/>
          <w:i w:val="0"/>
          <w:sz w:val="24"/>
        </w:rPr>
        <w:t>Kelompok 1 — CAYMAN</w:t>
      </w:r>
    </w:p>
    <w:tbl>
      <w:tblPr>
        <w:tblW w:type="auto" w:w="0"/>
        <w:jc w:val="center"/>
        <w:tblLayout w:type="fixed"/>
        <w:tblLook w:firstColumn="1" w:firstRow="1" w:lastColumn="0" w:lastRow="0" w:noHBand="0" w:noVBand="1" w:val="04A0"/>
      </w:tblPr>
      <w:tblGrid>
        <w:gridCol w:w="4536"/>
        <w:gridCol w:w="4536"/>
      </w:tblGrid>
      <w:tr>
        <w:tc>
          <w:tcPr>
            <w:tcW w:type="dxa" w:w="3969"/>
          </w:tcPr>
          <w:p>
            <w:pPr>
              <w:spacing w:after="20" w:line="240" w:lineRule="auto"/>
              <w:jc w:val="left"/>
            </w:pPr>
            <w:r>
              <w:rPr>
                <w:sz w:val="23"/>
              </w:rPr>
              <w:t>Ade Rizky Darmawan (Ketua)</w:t>
            </w:r>
          </w:p>
        </w:tc>
        <w:tc>
          <w:tcPr>
            <w:tcW w:type="dxa" w:w="2381"/>
          </w:tcPr>
          <w:p>
            <w:pPr>
              <w:spacing w:after="20" w:line="240" w:lineRule="auto"/>
              <w:jc w:val="left"/>
            </w:pPr>
            <w:r>
              <w:rPr>
                <w:sz w:val="23"/>
              </w:rPr>
              <w:t>NPM : 23083010080</w:t>
            </w:r>
          </w:p>
        </w:tc>
      </w:tr>
      <w:tr>
        <w:tc>
          <w:tcPr>
            <w:tcW w:type="dxa" w:w="3969"/>
          </w:tcPr>
          <w:p>
            <w:pPr>
              <w:spacing w:after="20" w:line="240" w:lineRule="auto"/>
              <w:jc w:val="left"/>
            </w:pPr>
            <w:r>
              <w:rPr>
                <w:sz w:val="23"/>
              </w:rPr>
              <w:t>Arkananta Daniswara Handoyo</w:t>
            </w:r>
          </w:p>
        </w:tc>
        <w:tc>
          <w:tcPr>
            <w:tcW w:type="dxa" w:w="2381"/>
          </w:tcPr>
          <w:p>
            <w:pPr>
              <w:spacing w:after="20" w:line="240" w:lineRule="auto"/>
              <w:jc w:val="left"/>
            </w:pPr>
            <w:r>
              <w:rPr>
                <w:sz w:val="23"/>
              </w:rPr>
              <w:t>NPM : 23083010059</w:t>
            </w:r>
          </w:p>
        </w:tc>
      </w:tr>
      <w:tr>
        <w:tc>
          <w:tcPr>
            <w:tcW w:type="dxa" w:w="3969"/>
          </w:tcPr>
          <w:p>
            <w:pPr>
              <w:spacing w:after="20" w:line="240" w:lineRule="auto"/>
              <w:jc w:val="left"/>
            </w:pPr>
            <w:r>
              <w:rPr>
                <w:sz w:val="23"/>
              </w:rPr>
              <w:t>Muhammad Arsyad Alzam</w:t>
            </w:r>
          </w:p>
        </w:tc>
        <w:tc>
          <w:tcPr>
            <w:tcW w:type="dxa" w:w="2381"/>
          </w:tcPr>
          <w:p>
            <w:pPr>
              <w:spacing w:after="20" w:line="240" w:lineRule="auto"/>
              <w:jc w:val="left"/>
            </w:pPr>
            <w:r>
              <w:rPr>
                <w:sz w:val="23"/>
              </w:rPr>
              <w:t>NPM : 23083010082</w:t>
            </w:r>
          </w:p>
        </w:tc>
      </w:tr>
      <w:tr>
        <w:tc>
          <w:tcPr>
            <w:tcW w:type="dxa" w:w="3969"/>
          </w:tcPr>
          <w:p>
            <w:pPr>
              <w:spacing w:after="20" w:line="240" w:lineRule="auto"/>
              <w:jc w:val="left"/>
            </w:pPr>
            <w:r>
              <w:rPr>
                <w:sz w:val="23"/>
              </w:rPr>
              <w:t>Choirul Amin</w:t>
            </w:r>
          </w:p>
        </w:tc>
        <w:tc>
          <w:tcPr>
            <w:tcW w:type="dxa" w:w="2381"/>
          </w:tcPr>
          <w:p>
            <w:pPr>
              <w:spacing w:after="20" w:line="240" w:lineRule="auto"/>
              <w:jc w:val="left"/>
            </w:pPr>
            <w:r>
              <w:rPr>
                <w:sz w:val="23"/>
              </w:rPr>
              <w:t>NPM : 22083010050</w:t>
            </w:r>
          </w:p>
        </w:tc>
      </w:tr>
      <w:tr>
        <w:tc>
          <w:tcPr>
            <w:tcW w:type="dxa" w:w="3969"/>
          </w:tcPr>
          <w:p>
            <w:pPr>
              <w:spacing w:after="20" w:line="240" w:lineRule="auto"/>
              <w:jc w:val="left"/>
            </w:pPr>
            <w:r>
              <w:rPr>
                <w:sz w:val="23"/>
              </w:rPr>
              <w:t>Hana Titania Sastrian</w:t>
            </w:r>
          </w:p>
        </w:tc>
        <w:tc>
          <w:tcPr>
            <w:tcW w:type="dxa" w:w="2381"/>
          </w:tcPr>
          <w:p>
            <w:pPr>
              <w:spacing w:after="20" w:line="240" w:lineRule="auto"/>
              <w:jc w:val="left"/>
            </w:pPr>
            <w:r>
              <w:rPr>
                <w:sz w:val="23"/>
              </w:rPr>
              <w:t>NPM : 23083010056</w:t>
            </w:r>
          </w:p>
        </w:tc>
      </w:tr>
      <w:tr>
        <w:tc>
          <w:tcPr>
            <w:tcW w:type="dxa" w:w="3969"/>
          </w:tcPr>
          <w:p>
            <w:pPr>
              <w:spacing w:after="20" w:line="240" w:lineRule="auto"/>
              <w:jc w:val="left"/>
            </w:pPr>
            <w:r>
              <w:rPr>
                <w:sz w:val="23"/>
              </w:rPr>
              <w:t>Zaydan Arief Athallah</w:t>
            </w:r>
          </w:p>
        </w:tc>
        <w:tc>
          <w:tcPr>
            <w:tcW w:type="dxa" w:w="2381"/>
          </w:tcPr>
          <w:p>
            <w:pPr>
              <w:spacing w:after="20" w:line="240" w:lineRule="auto"/>
              <w:jc w:val="left"/>
            </w:pPr>
            <w:r>
              <w:rPr>
                <w:sz w:val="23"/>
              </w:rPr>
              <w:t>NPM : 23083010063</w:t>
            </w:r>
          </w:p>
        </w:tc>
      </w:tr>
    </w:tbl>
    <w:p>
      <w:pPr>
        <w:spacing w:before="320" w:after="0" w:line="240" w:lineRule="auto"/>
        <w:jc w:val="center"/>
      </w:pPr>
      <w:r>
        <w:rPr>
          <w:b w:val="0"/>
          <w:i w:val="0"/>
          <w:sz w:val="24"/>
        </w:rPr>
        <w:t>Dosen Pengampu:</w:t>
      </w:r>
    </w:p>
    <w:p>
      <w:pPr>
        <w:spacing w:before="0" w:after="120" w:line="240" w:lineRule="auto"/>
        <w:jc w:val="center"/>
      </w:pPr>
      <w:r>
        <w:rPr>
          <w:b w:val="0"/>
          <w:i w:val="0"/>
          <w:sz w:val="24"/>
        </w:rPr>
        <w:t>Dr. I Gede Susrama Mas Diyasa, ST., MT.</w:t>
      </w:r>
    </w:p>
    <w:p>
      <w:pPr>
        <w:spacing w:before="0" w:after="0" w:line="240" w:lineRule="auto"/>
        <w:jc w:val="center"/>
      </w:pPr>
      <w:r>
        <w:rPr>
          <w:b w:val="0"/>
          <w:i w:val="0"/>
          <w:sz w:val="24"/>
        </w:rPr>
        <w:t>Dosen Praktisi:</w:t>
      </w:r>
    </w:p>
    <w:p>
      <w:pPr>
        <w:spacing w:before="0" w:after="520" w:line="240" w:lineRule="auto"/>
        <w:jc w:val="center"/>
      </w:pPr>
      <w:r>
        <w:rPr>
          <w:b w:val="0"/>
          <w:i w:val="0"/>
          <w:sz w:val="24"/>
        </w:rPr>
        <w:t>Kahpi Baiquni Arifani, S.Kom., M.Kom.</w:t>
      </w:r>
    </w:p>
    <w:p>
      <w:pPr>
        <w:spacing w:before="0" w:after="0" w:line="240" w:lineRule="auto"/>
        <w:jc w:val="center"/>
      </w:pPr>
      <w:r>
        <w:rPr>
          <w:b/>
          <w:i w:val="0"/>
          <w:sz w:val="24"/>
        </w:rPr>
        <w:t>PROGRAM STUDI SAINS DATA</w:t>
      </w:r>
    </w:p>
    <w:p>
      <w:pPr>
        <w:spacing w:before="0" w:after="0" w:line="240" w:lineRule="auto"/>
        <w:jc w:val="center"/>
      </w:pPr>
      <w:r>
        <w:rPr>
          <w:b/>
          <w:i w:val="0"/>
          <w:sz w:val="24"/>
        </w:rPr>
        <w:t>FAKULTAS ILMU KOMPUTER</w:t>
      </w:r>
    </w:p>
    <w:p>
      <w:pPr>
        <w:spacing w:before="0" w:after="0" w:line="240" w:lineRule="auto"/>
        <w:jc w:val="center"/>
      </w:pPr>
      <w:r>
        <w:rPr>
          <w:b/>
          <w:i w:val="0"/>
          <w:sz w:val="24"/>
        </w:rPr>
        <w:t>UPN “VETERAN” JAWA TIMUR</w:t>
      </w:r>
    </w:p>
    <w:p>
      <w:pPr>
        <w:spacing w:before="0" w:after="0" w:line="240" w:lineRule="auto"/>
        <w:jc w:val="center"/>
      </w:pPr>
      <w:r>
        <w:rPr>
          <w:b/>
          <w:i w:val="0"/>
          <w:sz w:val="24"/>
        </w:rPr>
        <w:t>2026</w:t>
      </w:r>
    </w:p>
    <w:p>
      <w:pPr>
        <w:sectPr>
          <w:pgSz w:w="11906" w:h="16838"/>
          <w:pgMar w:top="1417" w:right="1417" w:bottom="1417" w:left="1417" w:header="720" w:footer="720" w:gutter="0"/>
          <w:cols w:space="720"/>
          <w:docGrid w:linePitch="360"/>
        </w:sectPr>
      </w:pPr>
    </w:p>
    <w:p>
      <w:pPr>
        <w:spacing w:after="120"/>
        <w:jc w:val="center"/>
      </w:pPr>
      <w:r>
        <w:rPr>
          <w:b/>
          <w:sz w:val="30"/>
        </w:rPr>
        <w:t>Deteksi dan Pemetaan Tumpahan Minyak pada Citra Sentinel-1 SAR Menggunakan U-Net Ringan Terkuantisasi INT8 untuk Inferensi Edge di Browser</w:t>
      </w:r>
    </w:p>
    <w:p>
      <w:pPr>
        <w:spacing w:after="40"/>
        <w:jc w:val="center"/>
      </w:pPr>
      <w:r>
        <w:rPr>
          <w:sz w:val="21"/>
        </w:rPr>
        <w:t xml:space="preserve">Kelompok 1 — </w:t>
      </w:r>
      <w:r>
        <w:rPr>
          <w:b/>
          <w:sz w:val="21"/>
        </w:rPr>
        <w:t>CAYMAN</w:t>
      </w:r>
      <w:r>
        <w:rPr>
          <w:sz w:val="21"/>
        </w:rPr>
        <w:t xml:space="preserve"> · Kasus 38: </w:t>
      </w:r>
      <w:r>
        <w:rPr>
          <w:i/>
          <w:sz w:val="21"/>
        </w:rPr>
        <w:t>Marine Oil Spill Detection and Mapping via Satellite SAR</w:t>
      </w:r>
    </w:p>
    <w:p>
      <w:pPr>
        <w:spacing w:after="200"/>
        <w:jc w:val="center"/>
      </w:pPr>
      <w:r>
        <w:rPr>
          <w:sz w:val="19"/>
        </w:rPr>
        <w:t>Kode &amp; dokumentasi: github.com/aderizkydarmawan/cayman-oil-spill-sar · Aplikasi web: cayman-kelompok1.vercel.app</w:t>
      </w:r>
    </w:p>
    <w:p>
      <w:pPr>
        <w:ind w:left="454" w:right="454"/>
        <w:jc w:val="both"/>
      </w:pPr>
      <w:r>
        <w:rPr>
          <w:b/>
          <w:sz w:val="20"/>
        </w:rPr>
        <w:t xml:space="preserve">Abstrak — </w:t>
      </w:r>
      <w:r>
        <w:rPr>
          <w:sz w:val="20"/>
        </w:rPr>
        <w:t>Tumpahan minyak dari fasilitas migas lepas pantai, pipa bawah laut, dan kapal tanker harus dipetakan secepat mungkin agar respons HSSE tepat sasaran. Penelitian ini membangun model segmentasi semantik biner berbasis U-Net ringan (1,94 juta parameter) untuk memetakan area tumpahan minyak pada citra Sentinel-1 SAR dari dataset SOS (2.850 patch latih, 504 validasi, 839 uji). Audit data dilakukan sebelum pelatihan, meliputi pasangan citra–mask, nilai label, dan duplikat termasuk hasil rotasi/flip. Model dilatih di GPU Tesla T4 selama 10 menit dengan loss BCE+Dice, threshold dipilih pada data validasi, dan test set hanya dipakai sekali. Pada 839 citra uji, model mencapai Dice/F1 0,855, IoU 0,746, precision 0,806, recall 0,910, dan PR-AUC 0,936, jauh di atas baseline dark-spot thresholding (Dice 0,726). Kuantisasi INT8 statis (QDQ) memperkecil model dari 7,77 MB menjadi 2,01 MB dengan penurunan Dice hanya 0,0002, dan model berjalan sepenuhnya di browser melalui onnxruntime-web dengan latensi 65–74 ms per patch 256×256 pada laptop uji. Dibandingkan CBD-Net pada subset Sentinel-1 dataset yang sama (F1 87,87%), F1 model ini 2,4 poin lebih rendah, tetapi model jauh lebih ringan dan dapat dioperasikan tanpa server GPU.</w:t>
      </w:r>
    </w:p>
    <w:p>
      <w:pPr>
        <w:spacing w:after="160"/>
        <w:ind w:left="454" w:right="454"/>
      </w:pPr>
      <w:r>
        <w:rPr>
          <w:b/>
          <w:sz w:val="20"/>
        </w:rPr>
        <w:t xml:space="preserve">Kata kunci: </w:t>
      </w:r>
      <w:r>
        <w:rPr>
          <w:i/>
          <w:sz w:val="20"/>
        </w:rPr>
        <w:t>oil spill, SAR, Sentinel-1, segmentasi semantik, U-Net, kuantisasi INT8, edge AI, onnxruntime-web, HSSE.</w:t>
      </w:r>
    </w:p>
    <w:p>
      <w:pPr>
        <w:pStyle w:val="Heading1"/>
      </w:pPr>
      <w:r>
        <w:t>1. Pendahuluan</w:t>
      </w:r>
    </w:p>
    <w:p>
      <w:pPr>
        <w:ind w:firstLine="425"/>
        <w:jc w:val="both"/>
      </w:pPr>
      <w:r>
        <w:t xml:space="preserve">Tumpahan minyak adalah salah satu ancaman terbesar bagi ekosistem laut, dan sebagian besar terkait aktivitas industri migas lepas pantai: semburan dari rig pengeboran, kecelakaan tanker, hingga buangan rutin kapal [6]. Pada pilar </w:t>
      </w:r>
      <w:r>
        <w:rPr>
          <w:b/>
        </w:rPr>
        <w:t>HSSE</w:t>
      </w:r>
      <w:r>
        <w:t xml:space="preserve"> (</w:t>
      </w:r>
      <w:r>
        <w:rPr>
          <w:i/>
        </w:rPr>
        <w:t>Health, Safety, Security and Environment</w:t>
      </w:r>
      <w:r>
        <w:t xml:space="preserve">), tim respons membutuhkan informasi lokasi dan luas tumpahan secepat mungkin untuk menentukan penempatan </w:t>
      </w:r>
      <w:r>
        <w:rPr>
          <w:i/>
        </w:rPr>
        <w:t>boom</w:t>
      </w:r>
      <w:r>
        <w:t xml:space="preserve">, </w:t>
      </w:r>
      <w:r>
        <w:rPr>
          <w:i/>
        </w:rPr>
        <w:t>skimmer</w:t>
      </w:r>
      <w:r>
        <w:t>, dan kapal penanggulangan [1]. Kegagalan mendeteksi dini berisiko memperluas pencemaran pesisir dan berujung pada sanksi maupun penghentian izin operasi fasilitas.</w:t>
      </w:r>
    </w:p>
    <w:p>
      <w:pPr>
        <w:ind w:firstLine="425"/>
        <w:jc w:val="both"/>
      </w:pPr>
      <w:r>
        <w:t xml:space="preserve">Radar apertur sintetis (SAR) menjadi sensor utama pemantauan tumpahan minyak karena bekerja siang–malam dan menembus awan. Lapisan minyak meredam gelombang kapiler sehingga tampak sebagai area gelap pada citra SAR [1]. Kemampuan malam hari penting: Liao dkk. menemukan lebih dari 80% kejadian tumpahan di Teluk Jiaozhou terjadi pada malam hari, terutama dari buangan ilegal kapal [8]. Tantangan utamanya adalah fenomena </w:t>
      </w:r>
      <w:r>
        <w:rPr>
          <w:i/>
        </w:rPr>
        <w:t>look-alike</w:t>
      </w:r>
      <w:r>
        <w:t xml:space="preserve"> (angin lemah, lapisan biogenik) yang juga tampak gelap [2], [4], [7], serta interpretasi visual manual yang lambat dan rentan bias [7].</w:t>
      </w:r>
    </w:p>
    <w:p>
      <w:pPr>
        <w:ind w:firstLine="425"/>
        <w:jc w:val="both"/>
      </w:pPr>
      <w:r>
        <w:t xml:space="preserve">Tabel 1 merangkum penelitian lima tahun terakhir yang menjadi rujukan. Angka antarpenelitian umumnya </w:t>
      </w:r>
      <w:r>
        <w:rPr>
          <w:b/>
        </w:rPr>
        <w:t>tidak dapat dibandingkan langsung</w:t>
      </w:r>
      <w:r>
        <w:t xml:space="preserve"> karena dataset, jumlah kelas, dan protokol evaluasinya berbeda; pembanding yang setara hanya Zhu dkk. [3], yang memperkenalkan dataset SOS yang juga kami gunakan.</w:t>
      </w:r>
    </w:p>
    <w:p>
      <w:pPr>
        <w:keepNext/>
        <w:spacing w:after="60" w:before="120"/>
        <w:jc w:val="center"/>
      </w:pPr>
      <w:r>
        <w:rPr>
          <w:b/>
          <w:sz w:val="19"/>
        </w:rPr>
        <w:t>Tabel 1.</w:t>
      </w:r>
      <w:r>
        <w:rPr>
          <w:sz w:val="19"/>
        </w:rPr>
        <w:t xml:space="preserve"> Ringkasan penelitian rujukan (state of the art).</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1928"/>
            <w:shd w:val="clear" w:color="auto" w:fill="E7EEF7"/>
            <w:tcBorders>
              <w:top w:val="single" w:sz="10" w:color="000000" w:space="0"/>
              <w:bottom w:val="single" w:sz="6" w:color="000000" w:space="0"/>
            </w:tcBorders>
          </w:tcPr>
          <w:p>
            <w:pPr>
              <w:keepNext/>
              <w:spacing w:after="20" w:line="240" w:lineRule="auto"/>
              <w:jc w:val="left"/>
            </w:pPr>
            <w:r>
              <w:rPr>
                <w:b/>
                <w:sz w:val="17"/>
              </w:rPr>
              <w:t>Rujukan</w:t>
            </w:r>
          </w:p>
        </w:tc>
        <w:tc>
          <w:tcPr>
            <w:tcW w:type="dxa" w:w="2041"/>
            <w:shd w:val="clear" w:color="auto" w:fill="E7EEF7"/>
            <w:tcBorders>
              <w:top w:val="single" w:sz="10" w:color="000000" w:space="0"/>
              <w:bottom w:val="single" w:sz="6" w:color="000000" w:space="0"/>
            </w:tcBorders>
          </w:tcPr>
          <w:p>
            <w:pPr>
              <w:keepNext/>
              <w:spacing w:after="20" w:line="240" w:lineRule="auto"/>
              <w:jc w:val="center"/>
            </w:pPr>
            <w:r>
              <w:rPr>
                <w:b/>
                <w:sz w:val="17"/>
              </w:rPr>
              <w:t>Data</w:t>
            </w:r>
          </w:p>
        </w:tc>
        <w:tc>
          <w:tcPr>
            <w:tcW w:type="dxa" w:w="2494"/>
            <w:shd w:val="clear" w:color="auto" w:fill="E7EEF7"/>
            <w:tcBorders>
              <w:top w:val="single" w:sz="10" w:color="000000" w:space="0"/>
              <w:bottom w:val="single" w:sz="6" w:color="000000" w:space="0"/>
            </w:tcBorders>
          </w:tcPr>
          <w:p>
            <w:pPr>
              <w:keepNext/>
              <w:spacing w:after="20" w:line="240" w:lineRule="auto"/>
              <w:jc w:val="center"/>
            </w:pPr>
            <w:r>
              <w:rPr>
                <w:b/>
                <w:sz w:val="17"/>
              </w:rPr>
              <w:t>Metode</w:t>
            </w:r>
          </w:p>
        </w:tc>
        <w:tc>
          <w:tcPr>
            <w:tcW w:type="dxa" w:w="2608"/>
            <w:shd w:val="clear" w:color="auto" w:fill="E7EEF7"/>
            <w:tcBorders>
              <w:top w:val="single" w:sz="10" w:color="000000" w:space="0"/>
              <w:bottom w:val="single" w:sz="6" w:color="000000" w:space="0"/>
            </w:tcBorders>
          </w:tcPr>
          <w:p>
            <w:pPr>
              <w:keepNext/>
              <w:spacing w:after="20" w:line="240" w:lineRule="auto"/>
              <w:jc w:val="center"/>
            </w:pPr>
            <w:r>
              <w:rPr>
                <w:b/>
                <w:sz w:val="17"/>
              </w:rPr>
              <w:t>Hasil utama (sesuai paper)</w:t>
            </w:r>
          </w:p>
        </w:tc>
      </w:tr>
      <w:tr>
        <w:trPr>
          <w:cantSplit/>
        </w:trPr>
        <w:tc>
          <w:tcPr>
            <w:tcW w:type="dxa" w:w="1928"/>
          </w:tcPr>
          <w:p>
            <w:pPr>
              <w:keepNext/>
              <w:spacing w:after="20" w:line="240" w:lineRule="auto"/>
              <w:jc w:val="left"/>
            </w:pPr>
            <w:r>
              <w:rPr>
                <w:sz w:val="17"/>
              </w:rPr>
              <w:t>Zhu dkk., 2022 [3]</w:t>
            </w:r>
          </w:p>
        </w:tc>
        <w:tc>
          <w:tcPr>
            <w:tcW w:type="dxa" w:w="2041"/>
          </w:tcPr>
          <w:p>
            <w:pPr>
              <w:keepNext/>
              <w:spacing w:after="20" w:line="240" w:lineRule="auto"/>
              <w:jc w:val="center"/>
            </w:pPr>
            <w:r>
              <w:rPr>
                <w:sz w:val="17"/>
              </w:rPr>
              <w:t>SOS: ALOS PALSAR &amp; Sentinel-1A</w:t>
            </w:r>
          </w:p>
        </w:tc>
        <w:tc>
          <w:tcPr>
            <w:tcW w:type="dxa" w:w="2494"/>
          </w:tcPr>
          <w:p>
            <w:pPr>
              <w:keepNext/>
              <w:spacing w:after="20" w:line="240" w:lineRule="auto"/>
              <w:jc w:val="center"/>
            </w:pPr>
            <w:r>
              <w:rPr>
                <w:sz w:val="17"/>
              </w:rPr>
              <w:t>CBD-Net (multiskala, scSE, supervisi tepi)</w:t>
            </w:r>
          </w:p>
        </w:tc>
        <w:tc>
          <w:tcPr>
            <w:tcW w:type="dxa" w:w="2608"/>
          </w:tcPr>
          <w:p>
            <w:pPr>
              <w:keepNext/>
              <w:spacing w:after="20" w:line="240" w:lineRule="auto"/>
              <w:jc w:val="center"/>
            </w:pPr>
            <w:r>
              <w:rPr>
                <w:sz w:val="17"/>
              </w:rPr>
              <w:t>Sentinel-1: mIoU 83,42%, F1 87,87%</w:t>
            </w:r>
          </w:p>
        </w:tc>
      </w:tr>
      <w:tr>
        <w:trPr>
          <w:cantSplit/>
        </w:trPr>
        <w:tc>
          <w:tcPr>
            <w:tcW w:type="dxa" w:w="1928"/>
          </w:tcPr>
          <w:p>
            <w:pPr>
              <w:keepNext/>
              <w:spacing w:after="20" w:line="240" w:lineRule="auto"/>
              <w:jc w:val="left"/>
            </w:pPr>
            <w:r>
              <w:rPr>
                <w:sz w:val="17"/>
              </w:rPr>
              <w:t>Shaban dkk., 2021 [5]</w:t>
            </w:r>
          </w:p>
        </w:tc>
        <w:tc>
          <w:tcPr>
            <w:tcW w:type="dxa" w:w="2041"/>
          </w:tcPr>
          <w:p>
            <w:pPr>
              <w:keepNext/>
              <w:spacing w:after="20" w:line="240" w:lineRule="auto"/>
              <w:jc w:val="center"/>
            </w:pPr>
            <w:r>
              <w:rPr>
                <w:sz w:val="17"/>
              </w:rPr>
              <w:t>SAR, dataset tidak seimbang</w:t>
            </w:r>
          </w:p>
        </w:tc>
        <w:tc>
          <w:tcPr>
            <w:tcW w:type="dxa" w:w="2494"/>
          </w:tcPr>
          <w:p>
            <w:pPr>
              <w:keepNext/>
              <w:spacing w:after="20" w:line="240" w:lineRule="auto"/>
              <w:jc w:val="center"/>
            </w:pPr>
            <w:r>
              <w:rPr>
                <w:sz w:val="17"/>
              </w:rPr>
              <w:t>CNN 23 lapis + U-Net 5 tahap</w:t>
            </w:r>
          </w:p>
        </w:tc>
        <w:tc>
          <w:tcPr>
            <w:tcW w:type="dxa" w:w="2608"/>
          </w:tcPr>
          <w:p>
            <w:pPr>
              <w:keepNext/>
              <w:spacing w:after="20" w:line="240" w:lineRule="auto"/>
              <w:jc w:val="center"/>
            </w:pPr>
            <w:r>
              <w:rPr>
                <w:sz w:val="17"/>
              </w:rPr>
              <w:t>Dice 80%, precision 84%</w:t>
            </w:r>
          </w:p>
        </w:tc>
      </w:tr>
      <w:tr>
        <w:trPr>
          <w:cantSplit/>
        </w:trPr>
        <w:tc>
          <w:tcPr>
            <w:tcW w:type="dxa" w:w="1928"/>
          </w:tcPr>
          <w:p>
            <w:pPr>
              <w:keepNext/>
              <w:spacing w:after="20" w:line="240" w:lineRule="auto"/>
              <w:jc w:val="left"/>
            </w:pPr>
            <w:r>
              <w:rPr>
                <w:sz w:val="17"/>
              </w:rPr>
              <w:t>Hasimoto-Beltran dkk., 2023 [6]</w:t>
            </w:r>
          </w:p>
        </w:tc>
        <w:tc>
          <w:tcPr>
            <w:tcW w:type="dxa" w:w="2041"/>
          </w:tcPr>
          <w:p>
            <w:pPr>
              <w:keepNext/>
              <w:spacing w:after="20" w:line="240" w:lineRule="auto"/>
              <w:jc w:val="center"/>
            </w:pPr>
            <w:r>
              <w:rPr>
                <w:sz w:val="17"/>
              </w:rPr>
              <w:t>16 citra ENVISAT-ASAR</w:t>
            </w:r>
          </w:p>
        </w:tc>
        <w:tc>
          <w:tcPr>
            <w:tcW w:type="dxa" w:w="2494"/>
          </w:tcPr>
          <w:p>
            <w:pPr>
              <w:keepNext/>
              <w:spacing w:after="20" w:line="240" w:lineRule="auto"/>
              <w:jc w:val="center"/>
            </w:pPr>
            <w:r>
              <w:rPr>
                <w:sz w:val="17"/>
              </w:rPr>
              <w:t>M-DNN multi-kanal (U-Net + ResNet)</w:t>
            </w:r>
          </w:p>
        </w:tc>
        <w:tc>
          <w:tcPr>
            <w:tcW w:type="dxa" w:w="2608"/>
          </w:tcPr>
          <w:p>
            <w:pPr>
              <w:keepNext/>
              <w:spacing w:after="20" w:line="240" w:lineRule="auto"/>
              <w:jc w:val="center"/>
            </w:pPr>
            <w:r>
              <w:rPr>
                <w:sz w:val="17"/>
              </w:rPr>
              <w:t>F1 hingga 98,24% (dataset sendiri)</w:t>
            </w:r>
          </w:p>
        </w:tc>
      </w:tr>
      <w:tr>
        <w:trPr>
          <w:cantSplit/>
        </w:trPr>
        <w:tc>
          <w:tcPr>
            <w:tcW w:type="dxa" w:w="1928"/>
          </w:tcPr>
          <w:p>
            <w:pPr>
              <w:keepNext/>
              <w:spacing w:after="20" w:line="240" w:lineRule="auto"/>
              <w:jc w:val="left"/>
            </w:pPr>
            <w:r>
              <w:rPr>
                <w:sz w:val="17"/>
              </w:rPr>
              <w:t>Li dkk., 2023 [7]</w:t>
            </w:r>
          </w:p>
        </w:tc>
        <w:tc>
          <w:tcPr>
            <w:tcW w:type="dxa" w:w="2041"/>
          </w:tcPr>
          <w:p>
            <w:pPr>
              <w:keepNext/>
              <w:spacing w:after="20" w:line="240" w:lineRule="auto"/>
              <w:jc w:val="center"/>
            </w:pPr>
            <w:r>
              <w:rPr>
                <w:sz w:val="17"/>
              </w:rPr>
              <w:t>Sentinel-1</w:t>
            </w:r>
          </w:p>
        </w:tc>
        <w:tc>
          <w:tcPr>
            <w:tcW w:type="dxa" w:w="2494"/>
          </w:tcPr>
          <w:p>
            <w:pPr>
              <w:keepNext/>
              <w:spacing w:after="20" w:line="240" w:lineRule="auto"/>
              <w:jc w:val="center"/>
            </w:pPr>
            <w:r>
              <w:rPr>
                <w:sz w:val="17"/>
              </w:rPr>
              <w:t xml:space="preserve">Algoritma DL </w:t>
            </w:r>
            <w:r>
              <w:rPr>
                <w:i/>
                <w:sz w:val="17"/>
              </w:rPr>
              <w:t>self-evolving</w:t>
            </w:r>
          </w:p>
        </w:tc>
        <w:tc>
          <w:tcPr>
            <w:tcW w:type="dxa" w:w="2608"/>
          </w:tcPr>
          <w:p>
            <w:pPr>
              <w:keepNext/>
              <w:spacing w:after="20" w:line="240" w:lineRule="auto"/>
              <w:jc w:val="center"/>
            </w:pPr>
            <w:r>
              <w:rPr>
                <w:sz w:val="17"/>
              </w:rPr>
              <w:t>F1 0,8423 → 0,8896 (21 siklus)</w:t>
            </w:r>
          </w:p>
        </w:tc>
      </w:tr>
      <w:tr>
        <w:trPr>
          <w:cantSplit/>
        </w:trPr>
        <w:tc>
          <w:tcPr>
            <w:tcW w:type="dxa" w:w="1928"/>
          </w:tcPr>
          <w:p>
            <w:pPr>
              <w:keepNext/>
              <w:spacing w:after="20" w:line="240" w:lineRule="auto"/>
              <w:jc w:val="left"/>
            </w:pPr>
            <w:r>
              <w:rPr>
                <w:sz w:val="17"/>
              </w:rPr>
              <w:t>Liao dkk., 2023 [8]</w:t>
            </w:r>
          </w:p>
        </w:tc>
        <w:tc>
          <w:tcPr>
            <w:tcW w:type="dxa" w:w="2041"/>
          </w:tcPr>
          <w:p>
            <w:pPr>
              <w:keepNext/>
              <w:spacing w:after="20" w:line="240" w:lineRule="auto"/>
              <w:jc w:val="center"/>
            </w:pPr>
            <w:r>
              <w:rPr>
                <w:sz w:val="17"/>
              </w:rPr>
              <w:t>35 citra Sentinel-1 PolSAR</w:t>
            </w:r>
          </w:p>
        </w:tc>
        <w:tc>
          <w:tcPr>
            <w:tcW w:type="dxa" w:w="2494"/>
          </w:tcPr>
          <w:p>
            <w:pPr>
              <w:keepNext/>
              <w:spacing w:after="20" w:line="240" w:lineRule="auto"/>
              <w:jc w:val="center"/>
            </w:pPr>
            <w:r>
              <w:rPr>
                <w:sz w:val="17"/>
              </w:rPr>
              <w:t>DeepLabv3+ + fitur polarimetrik</w:t>
            </w:r>
          </w:p>
        </w:tc>
        <w:tc>
          <w:tcPr>
            <w:tcW w:type="dxa" w:w="2608"/>
          </w:tcPr>
          <w:p>
            <w:pPr>
              <w:keepNext/>
              <w:spacing w:after="20" w:line="240" w:lineRule="auto"/>
              <w:jc w:val="center"/>
            </w:pPr>
            <w:r>
              <w:rPr>
                <w:sz w:val="17"/>
              </w:rPr>
              <w:t>OA 0,9812; MIoU 0,9599</w:t>
            </w:r>
          </w:p>
        </w:tc>
      </w:tr>
      <w:tr>
        <w:trPr>
          <w:cantSplit/>
        </w:trPr>
        <w:tc>
          <w:tcPr>
            <w:tcW w:type="dxa" w:w="1928"/>
          </w:tcPr>
          <w:p>
            <w:pPr>
              <w:keepNext/>
              <w:spacing w:after="20" w:line="240" w:lineRule="auto"/>
              <w:jc w:val="left"/>
            </w:pPr>
            <w:r>
              <w:rPr>
                <w:sz w:val="17"/>
              </w:rPr>
              <w:t>Das dkk., 2024 [9]</w:t>
            </w:r>
          </w:p>
        </w:tc>
        <w:tc>
          <w:tcPr>
            <w:tcW w:type="dxa" w:w="2041"/>
          </w:tcPr>
          <w:p>
            <w:pPr>
              <w:keepNext/>
              <w:spacing w:after="20" w:line="240" w:lineRule="auto"/>
              <w:jc w:val="center"/>
            </w:pPr>
            <w:r>
              <w:rPr>
                <w:sz w:val="17"/>
              </w:rPr>
              <w:t>SAR, 5 kelas</w:t>
            </w:r>
          </w:p>
        </w:tc>
        <w:tc>
          <w:tcPr>
            <w:tcW w:type="dxa" w:w="2494"/>
          </w:tcPr>
          <w:p>
            <w:pPr>
              <w:keepNext/>
              <w:spacing w:after="20" w:line="240" w:lineRule="auto"/>
              <w:jc w:val="center"/>
            </w:pPr>
            <w:r>
              <w:rPr>
                <w:sz w:val="17"/>
              </w:rPr>
              <w:t>U-Net multi-backbone (EfficientNet-B3)</w:t>
            </w:r>
          </w:p>
        </w:tc>
        <w:tc>
          <w:tcPr>
            <w:tcW w:type="dxa" w:w="2608"/>
          </w:tcPr>
          <w:p>
            <w:pPr>
              <w:keepNext/>
              <w:spacing w:after="20" w:line="240" w:lineRule="auto"/>
              <w:jc w:val="center"/>
            </w:pPr>
            <w:r>
              <w:rPr>
                <w:sz w:val="17"/>
              </w:rPr>
              <w:t>mIoU 76,53%; IoU minyak 62,08%</w:t>
            </w:r>
          </w:p>
        </w:tc>
      </w:tr>
      <w:tr>
        <w:trPr>
          <w:cantSplit/>
        </w:trPr>
        <w:tc>
          <w:tcPr>
            <w:tcW w:type="dxa" w:w="1928"/>
            <w:tcBorders>
              <w:bottom w:val="single" w:sz="10" w:color="000000" w:space="0"/>
            </w:tcBorders>
          </w:tcPr>
          <w:p>
            <w:pPr>
              <w:spacing w:after="20" w:line="240" w:lineRule="auto"/>
              <w:jc w:val="left"/>
            </w:pPr>
            <w:r>
              <w:rPr>
                <w:sz w:val="17"/>
              </w:rPr>
              <w:t>Petalas dkk., 2025 [10]</w:t>
            </w:r>
          </w:p>
        </w:tc>
        <w:tc>
          <w:tcPr>
            <w:tcW w:type="dxa" w:w="2041"/>
            <w:tcBorders>
              <w:bottom w:val="single" w:sz="10" w:color="000000" w:space="0"/>
            </w:tcBorders>
          </w:tcPr>
          <w:p>
            <w:pPr>
              <w:spacing w:after="20" w:line="240" w:lineRule="auto"/>
              <w:jc w:val="center"/>
            </w:pPr>
            <w:r>
              <w:rPr>
                <w:sz w:val="17"/>
              </w:rPr>
              <w:t>Sentinel-1, Laut Aegea</w:t>
            </w:r>
          </w:p>
        </w:tc>
        <w:tc>
          <w:tcPr>
            <w:tcW w:type="dxa" w:w="2494"/>
            <w:tcBorders>
              <w:bottom w:val="single" w:sz="10" w:color="000000" w:space="0"/>
            </w:tcBorders>
          </w:tcPr>
          <w:p>
            <w:pPr>
              <w:spacing w:after="20" w:line="240" w:lineRule="auto"/>
              <w:jc w:val="center"/>
            </w:pPr>
            <w:r>
              <w:rPr>
                <w:sz w:val="17"/>
              </w:rPr>
              <w:t>U-Net operasional + model dispersi</w:t>
            </w:r>
          </w:p>
        </w:tc>
        <w:tc>
          <w:tcPr>
            <w:tcW w:type="dxa" w:w="2608"/>
            <w:tcBorders>
              <w:bottom w:val="single" w:sz="10" w:color="000000" w:space="0"/>
            </w:tcBorders>
          </w:tcPr>
          <w:p>
            <w:pPr>
              <w:spacing w:after="20" w:line="240" w:lineRule="auto"/>
              <w:jc w:val="center"/>
            </w:pPr>
            <w:r>
              <w:rPr>
                <w:sz w:val="17"/>
              </w:rPr>
              <w:t>IoU kelas minyak 0,30</w:t>
            </w:r>
          </w:p>
        </w:tc>
      </w:tr>
    </w:tbl>
    <w:p>
      <w:pPr>
        <w:spacing w:after="40"/>
      </w:pPr>
    </w:p>
    <w:p>
      <w:pPr>
        <w:ind w:firstLine="425"/>
        <w:jc w:val="both"/>
      </w:pPr>
      <w:r>
        <w:t xml:space="preserve">Sebagian besar penelitian tersebut berfokus pada akurasi dengan model berat yang dijalankan di GPU; aspek efisiensi dan penyebaran ke perangkat pengguna jarang dibahas. Kontribusi proyek ini adalah: (1) </w:t>
      </w:r>
      <w:r>
        <w:rPr>
          <w:i/>
        </w:rPr>
        <w:t>pipeline</w:t>
      </w:r>
      <w:r>
        <w:t xml:space="preserve"> yang diaudit, termasuk pemeriksaan kebocoran antar split; (2) U-Net ringan yang dikuantisasi INT8 menjadi 2 MB dengan penurunan akurasi yang dapat diabaikan; (3) aplikasi web dengan inferensi sepenuhnya di sisi klien, tombol </w:t>
      </w:r>
      <w:r>
        <w:rPr>
          <w:i/>
        </w:rPr>
        <w:t>Try Sample Data</w:t>
      </w:r>
      <w:r>
        <w:t>, dan estimasi luas tumpahan (km²); serta (4) perbandingan jujur terhadap tolok ukur SOS [3].</w:t>
      </w:r>
    </w:p>
    <w:p>
      <w:pPr>
        <w:pStyle w:val="Heading1"/>
      </w:pPr>
      <w:r>
        <w:t>2. Metodologi</w:t>
      </w:r>
    </w:p>
    <w:p>
      <w:pPr>
        <w:pStyle w:val="Heading2"/>
      </w:pPr>
      <w:r>
        <w:t>2.1 Dataset dan audit data</w:t>
      </w:r>
    </w:p>
    <w:p>
      <w:pPr>
        <w:ind w:firstLine="425"/>
        <w:jc w:val="both"/>
      </w:pPr>
      <w:r>
        <w:t xml:space="preserve">Dataset yang digunakan adalah </w:t>
      </w:r>
      <w:r>
        <w:rPr>
          <w:i/>
        </w:rPr>
        <w:t>Deep-SAR Oil Spill</w:t>
      </w:r>
      <w:r>
        <w:t xml:space="preserve"> (SOS) [3], diunduh dari Kaggle melalui pustaka kagglehub [13] (lisensi CC BY 4.0 sesuai halaman sumber). SOS berisi 8.070 pasangan citra–mask PNG 256×256 piksel dari dua sensor: ALOS PALSAR (Teluk Meksiko; 3.101 latih / 776 uji) dan Sentinel-1A polarisasi VV (Teluk Persia; 3.354 latih / 839 uji). Sebelum pelatihan dilakukan audit menyeluruh dengan temuan berikut:</w:t>
      </w:r>
    </w:p>
    <w:p>
      <w:pPr>
        <w:pStyle w:val="ListBullet"/>
        <w:spacing w:after="40"/>
        <w:ind w:left="510"/>
        <w:jc w:val="both"/>
      </w:pPr>
      <w:r>
        <w:t>Semua 8.070 pasangan cocok berdasarkan nama berkas; tidak ada citra tanpa mask, dimensi tidak cocok, NaN/Inf, maupun citra konstan.</w:t>
      </w:r>
    </w:p>
    <w:p>
      <w:pPr>
        <w:pStyle w:val="ListBullet"/>
        <w:spacing w:after="40"/>
        <w:ind w:left="510"/>
        <w:jc w:val="both"/>
      </w:pPr>
      <w:r>
        <w:t xml:space="preserve">Citra tersimpan sebagai RGB, tetapi ketiga kanalnya identik (100%), sehingga model menggunakan </w:t>
      </w:r>
      <w:r>
        <w:rPr>
          <w:b/>
        </w:rPr>
        <w:t>1 kanal</w:t>
      </w:r>
      <w:r>
        <w:t>.</w:t>
      </w:r>
    </w:p>
    <w:p>
      <w:pPr>
        <w:pStyle w:val="ListBullet"/>
        <w:spacing w:after="40"/>
        <w:ind w:left="510"/>
        <w:jc w:val="both"/>
      </w:pPr>
      <w:r>
        <w:t>Label uji murni bernilai 0/255, sedangkan label latih memiliki 2,2–2,5% piksel bernilai antara (pada 44–53% berkas). Label dibinerkan dengan aturan piksel ≥128 = minyak.</w:t>
      </w:r>
    </w:p>
    <w:p>
      <w:pPr>
        <w:pStyle w:val="ListBullet"/>
        <w:spacing w:after="40"/>
        <w:ind w:left="510"/>
        <w:jc w:val="both"/>
      </w:pPr>
      <w:r>
        <w:t xml:space="preserve">Tidak ada duplikat eksak (md5) di dalam maupun antar split. Pemeriksaan </w:t>
      </w:r>
      <w:r>
        <w:rPr>
          <w:i/>
        </w:rPr>
        <w:t>near-duplicate</w:t>
      </w:r>
      <w:r>
        <w:t xml:space="preserve"> dengan </w:t>
      </w:r>
      <w:r>
        <w:rPr>
          <w:i/>
        </w:rPr>
        <w:t>average hash</w:t>
      </w:r>
      <w:r>
        <w:t xml:space="preserve"> terhadap 8 transformasi rotasi/flip menemukan 9 citra uji per sensor yang mirip citra latih; pemeriksaan visual menunjukkan tekstur speckle-nya berbeda (bukan salinan). Dampaknya diuji pada analisis sensitivitas (Subbab 3.2).</w:t>
      </w:r>
    </w:p>
    <w:p>
      <w:pPr>
        <w:pStyle w:val="ListBullet"/>
        <w:spacing w:after="40"/>
        <w:ind w:left="510"/>
        <w:jc w:val="both"/>
      </w:pPr>
      <w:r>
        <w:t>Zhu dkk. menyebutkan bahwa augmentasi (</w:t>
      </w:r>
      <w:r>
        <w:rPr>
          <w:i/>
        </w:rPr>
        <w:t>cropping</w:t>
      </w:r>
      <w:r>
        <w:t>, rotasi, penambahan noise) dilakukan sebelum data dibagi 8:2 [3], sehingga korelasi spasial antara patch latih dan uji tidak dapat sepenuhnya disingkirkan. Hal ini dicatat sebagai batasan.</w:t>
      </w:r>
    </w:p>
    <w:p>
      <w:pPr>
        <w:keepNext/>
        <w:spacing w:after="0"/>
        <w:jc w:val="center"/>
      </w:pPr>
      <w:r>
        <w:drawing>
          <wp:inline xmlns:a="http://schemas.openxmlformats.org/drawingml/2006/main" xmlns:pic="http://schemas.openxmlformats.org/drawingml/2006/picture">
            <wp:extent cx="5220000" cy="3654000"/>
            <wp:docPr id="2" name="Picture 2"/>
            <wp:cNvGraphicFramePr>
              <a:graphicFrameLocks noChangeAspect="1"/>
            </wp:cNvGraphicFramePr>
            <a:graphic>
              <a:graphicData uri="http://schemas.openxmlformats.org/drawingml/2006/picture">
                <pic:pic>
                  <pic:nvPicPr>
                    <pic:cNvPr id="0" name="sample_pairs_grid.png"/>
                    <pic:cNvPicPr/>
                  </pic:nvPicPr>
                  <pic:blipFill>
                    <a:blip r:embed="rId12"/>
                    <a:stretch>
                      <a:fillRect/>
                    </a:stretch>
                  </pic:blipFill>
                  <pic:spPr>
                    <a:xfrm>
                      <a:off x="0" y="0"/>
                      <a:ext cx="5220000" cy="3654000"/>
                    </a:xfrm>
                    <a:prstGeom prst="rect"/>
                  </pic:spPr>
                </pic:pic>
              </a:graphicData>
            </a:graphic>
          </wp:inline>
        </w:drawing>
      </w:r>
    </w:p>
    <w:p>
      <w:pPr>
        <w:spacing w:after="160" w:before="60"/>
        <w:jc w:val="center"/>
      </w:pPr>
      <w:r>
        <w:rPr>
          <w:b/>
          <w:sz w:val="19"/>
        </w:rPr>
        <w:t>Gambar 1.</w:t>
      </w:r>
      <w:r>
        <w:rPr>
          <w:sz w:val="19"/>
        </w:rPr>
        <w:t xml:space="preserve"> Contoh pasangan citra SAR, mask, dan overlay (merah = minyak) per split dan sensor hasil audit.</w:t>
      </w:r>
    </w:p>
    <w:p>
      <w:pPr>
        <w:pStyle w:val="Heading2"/>
      </w:pPr>
      <w:r>
        <w:t>2.2 Pemilihan sensor, split, dan preprocessing</w:t>
      </w:r>
    </w:p>
    <w:p>
      <w:pPr>
        <w:ind w:firstLine="425"/>
        <w:jc w:val="both"/>
      </w:pPr>
      <w:r>
        <w:t xml:space="preserve">Eksperimen utama menggunakan </w:t>
      </w:r>
      <w:r>
        <w:rPr>
          <w:b/>
        </w:rPr>
        <w:t>Sentinel-1</w:t>
      </w:r>
      <w:r>
        <w:t xml:space="preserve"> karena jumlah sampelnya terbanyak, file dengan label ambigu lebih sedikit (1.468 vs 1.654), sesuai dengan katalog kasus, dan datanya tersedia terbuka sehingga relevan untuk operasional. Data latih dibagi menjadi 2.850 latih dan 504 validasi (15%, </w:t>
      </w:r>
      <w:r>
        <w:rPr>
          <w:i/>
        </w:rPr>
        <w:t>seed</w:t>
      </w:r>
      <w:r>
        <w:t xml:space="preserve"> 42). Karena ID berkas terbukti tidak berurutan menurut </w:t>
      </w:r>
      <w:r>
        <w:rPr>
          <w:i/>
        </w:rPr>
        <w:t>scene</w:t>
      </w:r>
      <w:r>
        <w:t xml:space="preserve"> (jarak Hamming antar-ID berurutan sama dengan pasangan acak, median 126), pengelompokan dilakukan berdasarkan komponen </w:t>
      </w:r>
      <w:r>
        <w:rPr>
          <w:i/>
        </w:rPr>
        <w:t>near-duplicate</w:t>
      </w:r>
      <w:r>
        <w:t xml:space="preserve"> agar citra yang mirip tidak terpisah ke latih dan validasi. Set uji (839 citra) hanya dipakai sekali untuk evaluasi akhir. Proporsi piksel minyak adalah 29,3% (latih), 29,4% (validasi), dan 34,7% (uji).</w:t>
      </w:r>
    </w:p>
    <w:p>
      <w:pPr>
        <w:ind w:firstLine="425"/>
        <w:jc w:val="both"/>
      </w:pPr>
      <w:r>
        <w:t xml:space="preserve">Preprocessing: kanal R (= grayscale), ukuran asli 256×256 tanpa resize, normalisasi </w:t>
      </w:r>
      <w:r>
        <w:rPr>
          <w:i/>
        </w:rPr>
        <w:t>z-score</w:t>
      </w:r>
      <w:r>
        <w:t xml:space="preserve"> x' = (x/255 − 0,3834)/0,2020 dengan statistik dari subset latih saja. Augmentasi hanya diterapkan pada data latih: 8 transformasi dihedral (rotasi 90° dan flip) yang identik untuk citra dan mask, serta jitter kecerahan/kontras ±10% khusus citra. Konfigurasi preprocessing disimpan agar inferensi web memakai langkah yang sama persis.</w:t>
      </w:r>
    </w:p>
    <w:p>
      <w:pPr>
        <w:keepNext/>
        <w:spacing w:after="0"/>
        <w:jc w:val="center"/>
      </w:pPr>
      <w:r>
        <w:drawing>
          <wp:inline xmlns:a="http://schemas.openxmlformats.org/drawingml/2006/main" xmlns:pic="http://schemas.openxmlformats.org/drawingml/2006/picture">
            <wp:extent cx="5580000" cy="1898770"/>
            <wp:docPr id="3" name="Picture 3"/>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580000" cy="1898770"/>
                    </a:xfrm>
                    <a:prstGeom prst="rect"/>
                  </pic:spPr>
                </pic:pic>
              </a:graphicData>
            </a:graphic>
          </wp:inline>
        </w:drawing>
      </w:r>
    </w:p>
    <w:p>
      <w:pPr>
        <w:spacing w:after="160" w:before="60"/>
        <w:jc w:val="center"/>
      </w:pPr>
      <w:r>
        <w:rPr>
          <w:b/>
          <w:sz w:val="19"/>
        </w:rPr>
        <w:t>Gambar 2.</w:t>
      </w:r>
      <w:r>
        <w:rPr>
          <w:sz w:val="19"/>
        </w:rPr>
        <w:t xml:space="preserve"> Diagram alur sistem, dari data hingga inferensi di browser.</w:t>
      </w:r>
    </w:p>
    <w:p>
      <w:pPr>
        <w:pStyle w:val="Heading2"/>
      </w:pPr>
      <w:r>
        <w:t>2.3 Arsitektur model dan pelatihan</w:t>
      </w:r>
    </w:p>
    <w:p>
      <w:pPr>
        <w:ind w:firstLine="425"/>
        <w:jc w:val="both"/>
      </w:pPr>
      <w:r>
        <w:t xml:space="preserve">Model utama adalah </w:t>
      </w:r>
      <w:r>
        <w:rPr>
          <w:b/>
        </w:rPr>
        <w:t>U-Net Lite</w:t>
      </w:r>
      <w:r>
        <w:t xml:space="preserve">, varian U-Net [11] dengan 4 level </w:t>
      </w:r>
      <w:r>
        <w:rPr>
          <w:i/>
        </w:rPr>
        <w:t>encoder–decoder</w:t>
      </w:r>
      <w:r>
        <w:t xml:space="preserve"> dan jumlah kanal 16–32–64–128–256 (±1,94 juta parameter, 7,8 MB dalam FP32). Setiap blok terdiri atas dua lapis Conv 3×3–BatchNorm–ReLU; </w:t>
      </w:r>
      <w:r>
        <w:rPr>
          <w:i/>
        </w:rPr>
        <w:t>downsampling</w:t>
      </w:r>
      <w:r>
        <w:t xml:space="preserve"> memakai MaxPool 2×2, </w:t>
      </w:r>
      <w:r>
        <w:rPr>
          <w:i/>
        </w:rPr>
        <w:t>upsampling</w:t>
      </w:r>
      <w:r>
        <w:t xml:space="preserve"> memakai ConvTranspose 2×2, dan fitur </w:t>
      </w:r>
      <w:r>
        <w:rPr>
          <w:i/>
        </w:rPr>
        <w:t>encoder</w:t>
      </w:r>
      <w:r>
        <w:t xml:space="preserve"> digabungkan melalui </w:t>
      </w:r>
      <w:r>
        <w:rPr>
          <w:i/>
        </w:rPr>
        <w:t>skip connection</w:t>
      </w:r>
      <w:r>
        <w:t>. Keluaran berupa satu peta logit 256×256. Setelah diekspor, graf hanya berisi operator Conv, ConvTranspose, MaxPool, Relu, dan Concat, yang semuanya didukung onnxruntime-web.</w:t>
      </w:r>
    </w:p>
    <w:p>
      <w:pPr>
        <w:ind w:firstLine="425"/>
        <w:jc w:val="both"/>
      </w:pPr>
      <w:r>
        <w:t xml:space="preserve">Pelatihan menggunakan loss 0,5·BCE + 0,5·Soft Dice untuk menangani ketidakseimbangan kelas, optimizer AdamW (lr 10⁻³, </w:t>
      </w:r>
      <w:r>
        <w:rPr>
          <w:i/>
        </w:rPr>
        <w:t>weight decay</w:t>
      </w:r>
      <w:r>
        <w:t xml:space="preserve"> 10⁻⁴) dengan jadwal </w:t>
      </w:r>
      <w:r>
        <w:rPr>
          <w:i/>
        </w:rPr>
        <w:t>cosine</w:t>
      </w:r>
      <w:r>
        <w:t xml:space="preserve"> selama 40 epoch, </w:t>
      </w:r>
      <w:r>
        <w:rPr>
          <w:i/>
        </w:rPr>
        <w:t>batch</w:t>
      </w:r>
      <w:r>
        <w:t xml:space="preserve"> 16, dan </w:t>
      </w:r>
      <w:r>
        <w:rPr>
          <w:i/>
        </w:rPr>
        <w:t>mixed precision</w:t>
      </w:r>
      <w:r>
        <w:t xml:space="preserve"> (AMP) pada GPU Tesla T4 di Google Colab. Checkpoint terbaik dipilih berdasarkan Dice validasi (epoch 37, Dice 0,8640); total waktu pelatihan 10,0 menit. Threshold biner dipilih melalui </w:t>
      </w:r>
      <w:r>
        <w:rPr>
          <w:i/>
        </w:rPr>
        <w:t>sweep</w:t>
      </w:r>
      <w:r>
        <w:t xml:space="preserve"> 0,20–0,80 pada data </w:t>
      </w:r>
      <w:r>
        <w:rPr>
          <w:b/>
        </w:rPr>
        <w:t>validasi</w:t>
      </w:r>
      <w:r>
        <w:t>, menghasilkan 0,45 (Dice validasi 0,8641).</w:t>
      </w:r>
    </w:p>
    <w:p>
      <w:pPr>
        <w:pStyle w:val="Heading2"/>
      </w:pPr>
      <w:r>
        <w:t>2.4 Evaluasi dan baseline</w:t>
      </w:r>
    </w:p>
    <w:p>
      <w:pPr>
        <w:ind w:firstLine="425"/>
        <w:jc w:val="both"/>
      </w:pPr>
      <w:r>
        <w:t xml:space="preserve">Metrik yang digunakan adalah Dice (setara F1 piksel), IoU, precision, recall, dan PR-AUC piksel. Agregasi utama bersifat </w:t>
      </w:r>
      <w:r>
        <w:rPr>
          <w:b/>
        </w:rPr>
        <w:t>global</w:t>
      </w:r>
      <w:r>
        <w:t xml:space="preserve">: TP/FP/FN/TN dijumlahkan dari seluruh piksel semua citra uji, lalu metrik dihitung. Metrik </w:t>
      </w:r>
      <w:r>
        <w:rPr>
          <w:i/>
        </w:rPr>
        <w:t>macro</w:t>
      </w:r>
      <w:r>
        <w:t xml:space="preserve"> (rata-rata per citra) juga dilaporkan. Untuk perbandingan dengan [3], dihitung pula mIoU dua kelas (rata-rata IoU minyak dan latar). Dua baseline disertakan: (a) </w:t>
      </w:r>
      <w:r>
        <w:rPr>
          <w:i/>
        </w:rPr>
        <w:t>mask</w:t>
      </w:r>
      <w:r>
        <w:t xml:space="preserve"> kosong (selalu memprediksi "bukan minyak") untuk menunjukkan bahwa akurasi piksel menyesatkan pada data tidak seimbang, dan (b) </w:t>
      </w:r>
      <w:r>
        <w:rPr>
          <w:i/>
        </w:rPr>
        <w:t>dark-spot thresholding</w:t>
      </w:r>
      <w:r>
        <w:t xml:space="preserve"> klasik (blur 7×7, intensitas &lt; 70; ambang dipilih pada data latih). Generalisasi lintas sensor diuji terpisah pada 776 citra uji PALSAR yang tidak pernah dilihat model.</w:t>
      </w:r>
    </w:p>
    <w:p>
      <w:pPr>
        <w:pStyle w:val="Heading2"/>
      </w:pPr>
      <w:r>
        <w:t>2.5 Optimasi Edge AI</w:t>
      </w:r>
    </w:p>
    <w:p>
      <w:pPr>
        <w:ind w:firstLine="425"/>
        <w:jc w:val="both"/>
      </w:pPr>
      <w:r>
        <w:t xml:space="preserve">Model diekspor ke ONNX (opset 17) lalu dibuat dua varian teroptimasi: </w:t>
      </w:r>
      <w:r>
        <w:rPr>
          <w:b/>
        </w:rPr>
        <w:t>FP16</w:t>
      </w:r>
      <w:r>
        <w:t xml:space="preserve"> (bobot dan komputasi 16-bit, I/O tetap FP32) dan </w:t>
      </w:r>
      <w:r>
        <w:rPr>
          <w:b/>
        </w:rPr>
        <w:t>INT8</w:t>
      </w:r>
      <w:r>
        <w:t xml:space="preserve"> melalui kuantisasi statis format QDQ per-kanal [12] dengan kalibrasi 200 citra latih. Varian untuk web dipilih dengan aturan yang ditetapkan sebelumnya: varian terkecil yang penurunan Dice </w:t>
      </w:r>
      <w:r>
        <w:rPr>
          <w:b/>
        </w:rPr>
        <w:t>validasinya</w:t>
      </w:r>
      <w:r>
        <w:t xml:space="preserve"> ≤ 0,005 dibandingkan FP32. Aplikasi web berupa halaman statis di Vercel yang menjalankan model dengan onnxruntime-web [14] berbasis WebAssembly; header COOP/COEP diaktifkan agar WASM dapat berjalan multi-thread. Dengan demikian, citra pengguna tidak pernah dikirim ke server.</w:t>
      </w:r>
    </w:p>
    <w:p>
      <w:pPr>
        <w:pStyle w:val="Heading1"/>
      </w:pPr>
      <w:r>
        <w:t>3. Hasil dan Pembahasan</w:t>
      </w:r>
    </w:p>
    <w:p>
      <w:pPr>
        <w:pStyle w:val="Heading2"/>
      </w:pPr>
      <w:r>
        <w:t>3.1 Proses pelatihan</w:t>
      </w:r>
    </w:p>
    <w:p>
      <w:pPr>
        <w:keepNext/>
        <w:spacing w:after="0"/>
        <w:jc w:val="center"/>
      </w:pPr>
      <w:r>
        <w:drawing>
          <wp:inline xmlns:a="http://schemas.openxmlformats.org/drawingml/2006/main" xmlns:pic="http://schemas.openxmlformats.org/drawingml/2006/picture">
            <wp:extent cx="5580000" cy="1826182"/>
            <wp:docPr id="4" name="Picture 4"/>
            <wp:cNvGraphicFramePr>
              <a:graphicFrameLocks noChangeAspect="1"/>
            </wp:cNvGraphicFramePr>
            <a:graphic>
              <a:graphicData uri="http://schemas.openxmlformats.org/drawingml/2006/picture">
                <pic:pic>
                  <pic:nvPicPr>
                    <pic:cNvPr id="0" name="training_curves.png"/>
                    <pic:cNvPicPr/>
                  </pic:nvPicPr>
                  <pic:blipFill>
                    <a:blip r:embed="rId14"/>
                    <a:stretch>
                      <a:fillRect/>
                    </a:stretch>
                  </pic:blipFill>
                  <pic:spPr>
                    <a:xfrm>
                      <a:off x="0" y="0"/>
                      <a:ext cx="5580000" cy="1826182"/>
                    </a:xfrm>
                    <a:prstGeom prst="rect"/>
                  </pic:spPr>
                </pic:pic>
              </a:graphicData>
            </a:graphic>
          </wp:inline>
        </w:drawing>
      </w:r>
    </w:p>
    <w:p>
      <w:pPr>
        <w:spacing w:after="160" w:before="60"/>
        <w:jc w:val="center"/>
      </w:pPr>
      <w:r>
        <w:rPr>
          <w:b/>
          <w:sz w:val="19"/>
        </w:rPr>
        <w:t>Gambar 3.</w:t>
      </w:r>
      <w:r>
        <w:rPr>
          <w:sz w:val="19"/>
        </w:rPr>
        <w:t xml:space="preserve"> Kurva loss (kiri) serta Dice/IoU validasi pada threshold 0,5 (kanan) selama 40 epoch.</w:t>
      </w:r>
    </w:p>
    <w:p>
      <w:pPr>
        <w:ind w:firstLine="425"/>
        <w:jc w:val="both"/>
      </w:pPr>
      <w:r>
        <w:t xml:space="preserve">Loss latih dan validasi turun bersamaan dan Dice validasi naik stabil hingga sekitar 0,86 tanpa tanda </w:t>
      </w:r>
      <w:r>
        <w:rPr>
          <w:i/>
        </w:rPr>
        <w:t>overfitting</w:t>
      </w:r>
      <w:r>
        <w:t xml:space="preserve"> yang kuat (Gambar 3). Kurva yang masih sedikit naik di akhir menunjukkan bahwa pelatihan lebih lama berpotensi memberi peningkatan kecil.</w:t>
      </w:r>
    </w:p>
    <w:p>
      <w:pPr>
        <w:pStyle w:val="Heading2"/>
      </w:pPr>
      <w:r>
        <w:t>3.2 Metrik segmentasi pada set uji</w:t>
      </w:r>
    </w:p>
    <w:p>
      <w:pPr>
        <w:keepNext/>
        <w:spacing w:after="60" w:before="120"/>
        <w:jc w:val="center"/>
      </w:pPr>
      <w:r>
        <w:rPr>
          <w:b/>
          <w:sz w:val="19"/>
        </w:rPr>
        <w:t>Tabel 2.</w:t>
      </w:r>
      <w:r>
        <w:rPr>
          <w:sz w:val="19"/>
        </w:rPr>
        <w:t xml:space="preserve"> Hasil pada set uji Sentinel-1 (839 citra, threshold 0,45, agregasi global).</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rPr>
        <w:tc>
          <w:tcPr>
            <w:tcW w:type="dxa" w:w="3175"/>
            <w:shd w:val="clear" w:color="auto" w:fill="E7EEF7"/>
            <w:tcBorders>
              <w:top w:val="single" w:sz="10" w:color="000000" w:space="0"/>
              <w:bottom w:val="single" w:sz="6" w:color="000000" w:space="0"/>
            </w:tcBorders>
          </w:tcPr>
          <w:p>
            <w:pPr>
              <w:keepNext/>
              <w:spacing w:after="20" w:line="240" w:lineRule="auto"/>
              <w:jc w:val="left"/>
            </w:pPr>
            <w:r>
              <w:rPr>
                <w:b/>
                <w:sz w:val="17"/>
              </w:rPr>
              <w:t>Model</w:t>
            </w:r>
          </w:p>
        </w:tc>
        <w:tc>
          <w:tcPr>
            <w:tcW w:type="dxa" w:w="907"/>
            <w:shd w:val="clear" w:color="auto" w:fill="E7EEF7"/>
            <w:tcBorders>
              <w:top w:val="single" w:sz="10" w:color="000000" w:space="0"/>
              <w:bottom w:val="single" w:sz="6" w:color="000000" w:space="0"/>
            </w:tcBorders>
          </w:tcPr>
          <w:p>
            <w:pPr>
              <w:keepNext/>
              <w:spacing w:after="20" w:line="240" w:lineRule="auto"/>
              <w:jc w:val="center"/>
            </w:pPr>
            <w:r>
              <w:rPr>
                <w:b/>
                <w:sz w:val="17"/>
              </w:rPr>
              <w:t>Dice/F1</w:t>
            </w:r>
          </w:p>
        </w:tc>
        <w:tc>
          <w:tcPr>
            <w:tcW w:type="dxa" w:w="850"/>
            <w:shd w:val="clear" w:color="auto" w:fill="E7EEF7"/>
            <w:tcBorders>
              <w:top w:val="single" w:sz="10" w:color="000000" w:space="0"/>
              <w:bottom w:val="single" w:sz="6" w:color="000000" w:space="0"/>
            </w:tcBorders>
          </w:tcPr>
          <w:p>
            <w:pPr>
              <w:keepNext/>
              <w:spacing w:after="20" w:line="240" w:lineRule="auto"/>
              <w:jc w:val="center"/>
            </w:pPr>
            <w:r>
              <w:rPr>
                <w:b/>
                <w:sz w:val="17"/>
              </w:rPr>
              <w:t>IoU</w:t>
            </w:r>
          </w:p>
        </w:tc>
        <w:tc>
          <w:tcPr>
            <w:tcW w:type="dxa" w:w="964"/>
            <w:shd w:val="clear" w:color="auto" w:fill="E7EEF7"/>
            <w:tcBorders>
              <w:top w:val="single" w:sz="10" w:color="000000" w:space="0"/>
              <w:bottom w:val="single" w:sz="6" w:color="000000" w:space="0"/>
            </w:tcBorders>
          </w:tcPr>
          <w:p>
            <w:pPr>
              <w:keepNext/>
              <w:spacing w:after="20" w:line="240" w:lineRule="auto"/>
              <w:jc w:val="center"/>
            </w:pPr>
            <w:r>
              <w:rPr>
                <w:b/>
                <w:sz w:val="17"/>
              </w:rPr>
              <w:t>Precision</w:t>
            </w:r>
          </w:p>
        </w:tc>
        <w:tc>
          <w:tcPr>
            <w:tcW w:type="dxa" w:w="850"/>
            <w:shd w:val="clear" w:color="auto" w:fill="E7EEF7"/>
            <w:tcBorders>
              <w:top w:val="single" w:sz="10" w:color="000000" w:space="0"/>
              <w:bottom w:val="single" w:sz="6" w:color="000000" w:space="0"/>
            </w:tcBorders>
          </w:tcPr>
          <w:p>
            <w:pPr>
              <w:keepNext/>
              <w:spacing w:after="20" w:line="240" w:lineRule="auto"/>
              <w:jc w:val="center"/>
            </w:pPr>
            <w:r>
              <w:rPr>
                <w:b/>
                <w:sz w:val="17"/>
              </w:rPr>
              <w:t>Recall</w:t>
            </w:r>
          </w:p>
        </w:tc>
        <w:tc>
          <w:tcPr>
            <w:tcW w:type="dxa" w:w="850"/>
            <w:shd w:val="clear" w:color="auto" w:fill="E7EEF7"/>
            <w:tcBorders>
              <w:top w:val="single" w:sz="10" w:color="000000" w:space="0"/>
              <w:bottom w:val="single" w:sz="6" w:color="000000" w:space="0"/>
            </w:tcBorders>
          </w:tcPr>
          <w:p>
            <w:pPr>
              <w:keepNext/>
              <w:spacing w:after="20" w:line="240" w:lineRule="auto"/>
              <w:jc w:val="center"/>
            </w:pPr>
            <w:r>
              <w:rPr>
                <w:b/>
                <w:sz w:val="17"/>
              </w:rPr>
              <w:t>PR-AUC</w:t>
            </w:r>
          </w:p>
        </w:tc>
        <w:tc>
          <w:tcPr>
            <w:tcW w:type="dxa" w:w="907"/>
            <w:shd w:val="clear" w:color="auto" w:fill="E7EEF7"/>
            <w:tcBorders>
              <w:top w:val="single" w:sz="10" w:color="000000" w:space="0"/>
              <w:bottom w:val="single" w:sz="6" w:color="000000" w:space="0"/>
            </w:tcBorders>
          </w:tcPr>
          <w:p>
            <w:pPr>
              <w:keepNext/>
              <w:spacing w:after="20" w:line="240" w:lineRule="auto"/>
              <w:jc w:val="center"/>
            </w:pPr>
            <w:r>
              <w:rPr>
                <w:b/>
                <w:sz w:val="17"/>
              </w:rPr>
              <w:t>Akurasi</w:t>
            </w:r>
          </w:p>
        </w:tc>
      </w:tr>
      <w:tr>
        <w:trPr>
          <w:cantSplit/>
        </w:trPr>
        <w:tc>
          <w:tcPr>
            <w:tcW w:type="dxa" w:w="3175"/>
            <w:shd w:val="clear" w:color="auto" w:fill="F2F7EC"/>
          </w:tcPr>
          <w:p>
            <w:pPr>
              <w:keepNext/>
              <w:spacing w:after="20" w:line="240" w:lineRule="auto"/>
              <w:jc w:val="left"/>
            </w:pPr>
            <w:r>
              <w:rPr>
                <w:b/>
                <w:sz w:val="17"/>
              </w:rPr>
              <w:t>U-Net Lite (FP32)</w:t>
            </w:r>
          </w:p>
        </w:tc>
        <w:tc>
          <w:tcPr>
            <w:tcW w:type="dxa" w:w="907"/>
            <w:shd w:val="clear" w:color="auto" w:fill="F2F7EC"/>
          </w:tcPr>
          <w:p>
            <w:pPr>
              <w:keepNext/>
              <w:spacing w:after="20" w:line="240" w:lineRule="auto"/>
              <w:jc w:val="center"/>
            </w:pPr>
            <w:r>
              <w:rPr>
                <w:b/>
                <w:sz w:val="17"/>
              </w:rPr>
              <w:t>0,8547</w:t>
            </w:r>
          </w:p>
        </w:tc>
        <w:tc>
          <w:tcPr>
            <w:tcW w:type="dxa" w:w="850"/>
            <w:shd w:val="clear" w:color="auto" w:fill="F2F7EC"/>
          </w:tcPr>
          <w:p>
            <w:pPr>
              <w:keepNext/>
              <w:spacing w:after="20" w:line="240" w:lineRule="auto"/>
              <w:jc w:val="center"/>
            </w:pPr>
            <w:r>
              <w:rPr>
                <w:b/>
                <w:sz w:val="17"/>
              </w:rPr>
              <w:t>0,7462</w:t>
            </w:r>
          </w:p>
        </w:tc>
        <w:tc>
          <w:tcPr>
            <w:tcW w:type="dxa" w:w="964"/>
            <w:shd w:val="clear" w:color="auto" w:fill="F2F7EC"/>
          </w:tcPr>
          <w:p>
            <w:pPr>
              <w:keepNext/>
              <w:spacing w:after="20" w:line="240" w:lineRule="auto"/>
              <w:jc w:val="center"/>
            </w:pPr>
            <w:r>
              <w:rPr>
                <w:b/>
                <w:sz w:val="17"/>
              </w:rPr>
              <w:t>0,8058</w:t>
            </w:r>
          </w:p>
        </w:tc>
        <w:tc>
          <w:tcPr>
            <w:tcW w:type="dxa" w:w="850"/>
            <w:shd w:val="clear" w:color="auto" w:fill="F2F7EC"/>
          </w:tcPr>
          <w:p>
            <w:pPr>
              <w:keepNext/>
              <w:spacing w:after="20" w:line="240" w:lineRule="auto"/>
              <w:jc w:val="center"/>
            </w:pPr>
            <w:r>
              <w:rPr>
                <w:b/>
                <w:sz w:val="17"/>
              </w:rPr>
              <w:t>0,9099</w:t>
            </w:r>
          </w:p>
        </w:tc>
        <w:tc>
          <w:tcPr>
            <w:tcW w:type="dxa" w:w="850"/>
            <w:shd w:val="clear" w:color="auto" w:fill="F2F7EC"/>
          </w:tcPr>
          <w:p>
            <w:pPr>
              <w:keepNext/>
              <w:spacing w:after="20" w:line="240" w:lineRule="auto"/>
              <w:jc w:val="center"/>
            </w:pPr>
            <w:r>
              <w:rPr>
                <w:b/>
                <w:sz w:val="17"/>
              </w:rPr>
              <w:t>0,9361</w:t>
            </w:r>
          </w:p>
        </w:tc>
        <w:tc>
          <w:tcPr>
            <w:tcW w:type="dxa" w:w="907"/>
            <w:shd w:val="clear" w:color="auto" w:fill="F2F7EC"/>
          </w:tcPr>
          <w:p>
            <w:pPr>
              <w:keepNext/>
              <w:spacing w:after="20" w:line="240" w:lineRule="auto"/>
              <w:jc w:val="center"/>
            </w:pPr>
            <w:r>
              <w:rPr>
                <w:b/>
                <w:sz w:val="17"/>
              </w:rPr>
              <w:t>0,8926</w:t>
            </w:r>
          </w:p>
        </w:tc>
      </w:tr>
      <w:tr>
        <w:trPr>
          <w:cantSplit/>
        </w:trPr>
        <w:tc>
          <w:tcPr>
            <w:tcW w:type="dxa" w:w="3175"/>
          </w:tcPr>
          <w:p>
            <w:pPr>
              <w:keepNext/>
              <w:spacing w:after="20" w:line="240" w:lineRule="auto"/>
              <w:jc w:val="left"/>
            </w:pPr>
            <w:r>
              <w:rPr>
                <w:sz w:val="17"/>
              </w:rPr>
              <w:t>U-Net Lite, tanpa 9 near-duplicate (830 citra)</w:t>
            </w:r>
          </w:p>
        </w:tc>
        <w:tc>
          <w:tcPr>
            <w:tcW w:type="dxa" w:w="907"/>
          </w:tcPr>
          <w:p>
            <w:pPr>
              <w:keepNext/>
              <w:spacing w:after="20" w:line="240" w:lineRule="auto"/>
              <w:jc w:val="center"/>
            </w:pPr>
            <w:r>
              <w:rPr>
                <w:sz w:val="17"/>
              </w:rPr>
              <w:t>0,8539</w:t>
            </w:r>
          </w:p>
        </w:tc>
        <w:tc>
          <w:tcPr>
            <w:tcW w:type="dxa" w:w="850"/>
          </w:tcPr>
          <w:p>
            <w:pPr>
              <w:keepNext/>
              <w:spacing w:after="20" w:line="240" w:lineRule="auto"/>
              <w:jc w:val="center"/>
            </w:pPr>
            <w:r>
              <w:rPr>
                <w:sz w:val="17"/>
              </w:rPr>
              <w:t>0,7451</w:t>
            </w:r>
          </w:p>
        </w:tc>
        <w:tc>
          <w:tcPr>
            <w:tcW w:type="dxa" w:w="964"/>
          </w:tcPr>
          <w:p>
            <w:pPr>
              <w:keepNext/>
              <w:spacing w:after="20" w:line="240" w:lineRule="auto"/>
              <w:jc w:val="center"/>
            </w:pPr>
            <w:r>
              <w:rPr>
                <w:sz w:val="17"/>
              </w:rPr>
              <w:t>0,8054</w:t>
            </w:r>
          </w:p>
        </w:tc>
        <w:tc>
          <w:tcPr>
            <w:tcW w:type="dxa" w:w="850"/>
          </w:tcPr>
          <w:p>
            <w:pPr>
              <w:keepNext/>
              <w:spacing w:after="20" w:line="240" w:lineRule="auto"/>
              <w:jc w:val="center"/>
            </w:pPr>
            <w:r>
              <w:rPr>
                <w:sz w:val="17"/>
              </w:rPr>
              <w:t>0,9087</w:t>
            </w:r>
          </w:p>
        </w:tc>
        <w:tc>
          <w:tcPr>
            <w:tcW w:type="dxa" w:w="850"/>
          </w:tcPr>
          <w:p>
            <w:pPr>
              <w:keepNext/>
              <w:spacing w:after="20" w:line="240" w:lineRule="auto"/>
              <w:jc w:val="center"/>
            </w:pPr>
            <w:r>
              <w:rPr>
                <w:sz w:val="17"/>
              </w:rPr>
              <w:t>0,9351</w:t>
            </w:r>
          </w:p>
        </w:tc>
        <w:tc>
          <w:tcPr>
            <w:tcW w:type="dxa" w:w="907"/>
          </w:tcPr>
          <w:p>
            <w:pPr>
              <w:keepNext/>
              <w:spacing w:after="20" w:line="240" w:lineRule="auto"/>
              <w:jc w:val="center"/>
            </w:pPr>
            <w:r>
              <w:rPr>
                <w:sz w:val="17"/>
              </w:rPr>
              <w:t>0,8925</w:t>
            </w:r>
          </w:p>
        </w:tc>
      </w:tr>
      <w:tr>
        <w:trPr>
          <w:cantSplit/>
        </w:trPr>
        <w:tc>
          <w:tcPr>
            <w:tcW w:type="dxa" w:w="3175"/>
          </w:tcPr>
          <w:p>
            <w:pPr>
              <w:keepNext/>
              <w:spacing w:after="20" w:line="240" w:lineRule="auto"/>
              <w:jc w:val="left"/>
            </w:pPr>
            <w:r>
              <w:rPr>
                <w:sz w:val="17"/>
              </w:rPr>
              <w:t>Baseline dark-spot thresholding</w:t>
            </w:r>
          </w:p>
        </w:tc>
        <w:tc>
          <w:tcPr>
            <w:tcW w:type="dxa" w:w="907"/>
          </w:tcPr>
          <w:p>
            <w:pPr>
              <w:keepNext/>
              <w:spacing w:after="20" w:line="240" w:lineRule="auto"/>
              <w:jc w:val="center"/>
            </w:pPr>
            <w:r>
              <w:rPr>
                <w:sz w:val="17"/>
              </w:rPr>
              <w:t>0,7259</w:t>
            </w:r>
          </w:p>
        </w:tc>
        <w:tc>
          <w:tcPr>
            <w:tcW w:type="dxa" w:w="850"/>
          </w:tcPr>
          <w:p>
            <w:pPr>
              <w:keepNext/>
              <w:spacing w:after="20" w:line="240" w:lineRule="auto"/>
              <w:jc w:val="center"/>
            </w:pPr>
            <w:r>
              <w:rPr>
                <w:sz w:val="17"/>
              </w:rPr>
              <w:t>0,5698</w:t>
            </w:r>
          </w:p>
        </w:tc>
        <w:tc>
          <w:tcPr>
            <w:tcW w:type="dxa" w:w="964"/>
          </w:tcPr>
          <w:p>
            <w:pPr>
              <w:keepNext/>
              <w:spacing w:after="20" w:line="240" w:lineRule="auto"/>
              <w:jc w:val="center"/>
            </w:pPr>
            <w:r>
              <w:rPr>
                <w:sz w:val="17"/>
              </w:rPr>
              <w:t>0,6669</w:t>
            </w:r>
          </w:p>
        </w:tc>
        <w:tc>
          <w:tcPr>
            <w:tcW w:type="dxa" w:w="850"/>
          </w:tcPr>
          <w:p>
            <w:pPr>
              <w:keepNext/>
              <w:spacing w:after="20" w:line="240" w:lineRule="auto"/>
              <w:jc w:val="center"/>
            </w:pPr>
            <w:r>
              <w:rPr>
                <w:sz w:val="17"/>
              </w:rPr>
              <w:t>0,7964</w:t>
            </w:r>
          </w:p>
        </w:tc>
        <w:tc>
          <w:tcPr>
            <w:tcW w:type="dxa" w:w="850"/>
          </w:tcPr>
          <w:p>
            <w:pPr>
              <w:keepNext/>
              <w:spacing w:after="20" w:line="240" w:lineRule="auto"/>
              <w:jc w:val="center"/>
            </w:pPr>
            <w:r>
              <w:rPr>
                <w:sz w:val="17"/>
              </w:rPr>
              <w:t>–</w:t>
            </w:r>
          </w:p>
        </w:tc>
        <w:tc>
          <w:tcPr>
            <w:tcW w:type="dxa" w:w="907"/>
          </w:tcPr>
          <w:p>
            <w:pPr>
              <w:keepNext/>
              <w:spacing w:after="20" w:line="240" w:lineRule="auto"/>
              <w:jc w:val="center"/>
            </w:pPr>
            <w:r>
              <w:rPr>
                <w:sz w:val="17"/>
              </w:rPr>
              <w:t>0,7912</w:t>
            </w:r>
          </w:p>
        </w:tc>
      </w:tr>
      <w:tr>
        <w:trPr>
          <w:cantSplit/>
        </w:trPr>
        <w:tc>
          <w:tcPr>
            <w:tcW w:type="dxa" w:w="3175"/>
          </w:tcPr>
          <w:p>
            <w:pPr>
              <w:keepNext/>
              <w:spacing w:after="20" w:line="240" w:lineRule="auto"/>
              <w:jc w:val="left"/>
            </w:pPr>
            <w:r>
              <w:rPr>
                <w:sz w:val="17"/>
              </w:rPr>
              <w:t>Baseline mask kosong</w:t>
            </w:r>
          </w:p>
        </w:tc>
        <w:tc>
          <w:tcPr>
            <w:tcW w:type="dxa" w:w="907"/>
          </w:tcPr>
          <w:p>
            <w:pPr>
              <w:keepNext/>
              <w:spacing w:after="20" w:line="240" w:lineRule="auto"/>
              <w:jc w:val="center"/>
            </w:pPr>
            <w:r>
              <w:rPr>
                <w:sz w:val="17"/>
              </w:rPr>
              <w:t>0,0000</w:t>
            </w:r>
          </w:p>
        </w:tc>
        <w:tc>
          <w:tcPr>
            <w:tcW w:type="dxa" w:w="850"/>
          </w:tcPr>
          <w:p>
            <w:pPr>
              <w:keepNext/>
              <w:spacing w:after="20" w:line="240" w:lineRule="auto"/>
              <w:jc w:val="center"/>
            </w:pPr>
            <w:r>
              <w:rPr>
                <w:sz w:val="17"/>
              </w:rPr>
              <w:t>0,0000</w:t>
            </w:r>
          </w:p>
        </w:tc>
        <w:tc>
          <w:tcPr>
            <w:tcW w:type="dxa" w:w="964"/>
          </w:tcPr>
          <w:p>
            <w:pPr>
              <w:keepNext/>
              <w:spacing w:after="20" w:line="240" w:lineRule="auto"/>
              <w:jc w:val="center"/>
            </w:pPr>
            <w:r>
              <w:rPr>
                <w:sz w:val="17"/>
              </w:rPr>
              <w:t>0,0000</w:t>
            </w:r>
          </w:p>
        </w:tc>
        <w:tc>
          <w:tcPr>
            <w:tcW w:type="dxa" w:w="850"/>
          </w:tcPr>
          <w:p>
            <w:pPr>
              <w:keepNext/>
              <w:spacing w:after="20" w:line="240" w:lineRule="auto"/>
              <w:jc w:val="center"/>
            </w:pPr>
            <w:r>
              <w:rPr>
                <w:sz w:val="17"/>
              </w:rPr>
              <w:t>0,0000</w:t>
            </w:r>
          </w:p>
        </w:tc>
        <w:tc>
          <w:tcPr>
            <w:tcW w:type="dxa" w:w="850"/>
          </w:tcPr>
          <w:p>
            <w:pPr>
              <w:keepNext/>
              <w:spacing w:after="20" w:line="240" w:lineRule="auto"/>
              <w:jc w:val="center"/>
            </w:pPr>
            <w:r>
              <w:rPr>
                <w:sz w:val="17"/>
              </w:rPr>
              <w:t>–</w:t>
            </w:r>
          </w:p>
        </w:tc>
        <w:tc>
          <w:tcPr>
            <w:tcW w:type="dxa" w:w="907"/>
          </w:tcPr>
          <w:p>
            <w:pPr>
              <w:keepNext/>
              <w:spacing w:after="20" w:line="240" w:lineRule="auto"/>
              <w:jc w:val="center"/>
            </w:pPr>
            <w:r>
              <w:rPr>
                <w:sz w:val="17"/>
              </w:rPr>
              <w:t>0,6528</w:t>
            </w:r>
          </w:p>
        </w:tc>
      </w:tr>
      <w:tr>
        <w:trPr>
          <w:cantSplit/>
        </w:trPr>
        <w:tc>
          <w:tcPr>
            <w:tcW w:type="dxa" w:w="3175"/>
          </w:tcPr>
          <w:p>
            <w:pPr>
              <w:keepNext/>
              <w:spacing w:after="20" w:line="240" w:lineRule="auto"/>
              <w:jc w:val="left"/>
            </w:pPr>
            <w:r>
              <w:rPr>
                <w:i/>
                <w:sz w:val="17"/>
              </w:rPr>
              <w:t>Lintas sensor:</w:t>
            </w:r>
            <w:r>
              <w:rPr>
                <w:sz w:val="17"/>
              </w:rPr>
              <w:t xml:space="preserve"> U-Net Lite pada uji PALSAR (776)</w:t>
            </w:r>
          </w:p>
        </w:tc>
        <w:tc>
          <w:tcPr>
            <w:tcW w:type="dxa" w:w="907"/>
          </w:tcPr>
          <w:p>
            <w:pPr>
              <w:keepNext/>
              <w:spacing w:after="20" w:line="240" w:lineRule="auto"/>
              <w:jc w:val="center"/>
            </w:pPr>
            <w:r>
              <w:rPr>
                <w:sz w:val="17"/>
              </w:rPr>
              <w:t>0,7774</w:t>
            </w:r>
          </w:p>
        </w:tc>
        <w:tc>
          <w:tcPr>
            <w:tcW w:type="dxa" w:w="850"/>
          </w:tcPr>
          <w:p>
            <w:pPr>
              <w:keepNext/>
              <w:spacing w:after="20" w:line="240" w:lineRule="auto"/>
              <w:jc w:val="center"/>
            </w:pPr>
            <w:r>
              <w:rPr>
                <w:sz w:val="17"/>
              </w:rPr>
              <w:t>0,6358</w:t>
            </w:r>
          </w:p>
        </w:tc>
        <w:tc>
          <w:tcPr>
            <w:tcW w:type="dxa" w:w="964"/>
          </w:tcPr>
          <w:p>
            <w:pPr>
              <w:keepNext/>
              <w:spacing w:after="20" w:line="240" w:lineRule="auto"/>
              <w:jc w:val="center"/>
            </w:pPr>
            <w:r>
              <w:rPr>
                <w:sz w:val="17"/>
              </w:rPr>
              <w:t>0,7276</w:t>
            </w:r>
          </w:p>
        </w:tc>
        <w:tc>
          <w:tcPr>
            <w:tcW w:type="dxa" w:w="850"/>
          </w:tcPr>
          <w:p>
            <w:pPr>
              <w:keepNext/>
              <w:spacing w:after="20" w:line="240" w:lineRule="auto"/>
              <w:jc w:val="center"/>
            </w:pPr>
            <w:r>
              <w:rPr>
                <w:sz w:val="17"/>
              </w:rPr>
              <w:t>0,8344</w:t>
            </w:r>
          </w:p>
        </w:tc>
        <w:tc>
          <w:tcPr>
            <w:tcW w:type="dxa" w:w="850"/>
          </w:tcPr>
          <w:p>
            <w:pPr>
              <w:keepNext/>
              <w:spacing w:after="20" w:line="240" w:lineRule="auto"/>
              <w:jc w:val="center"/>
            </w:pPr>
            <w:r>
              <w:rPr>
                <w:sz w:val="17"/>
              </w:rPr>
              <w:t>0,8680</w:t>
            </w:r>
          </w:p>
        </w:tc>
        <w:tc>
          <w:tcPr>
            <w:tcW w:type="dxa" w:w="907"/>
          </w:tcPr>
          <w:p>
            <w:pPr>
              <w:keepNext/>
              <w:spacing w:after="20" w:line="240" w:lineRule="auto"/>
              <w:jc w:val="center"/>
            </w:pPr>
            <w:r>
              <w:rPr>
                <w:sz w:val="17"/>
              </w:rPr>
              <w:t>0,9197</w:t>
            </w:r>
          </w:p>
        </w:tc>
      </w:tr>
      <w:tr>
        <w:trPr>
          <w:cantSplit/>
        </w:trPr>
        <w:tc>
          <w:tcPr>
            <w:tcW w:type="dxa" w:w="3175"/>
            <w:tcBorders>
              <w:bottom w:val="single" w:sz="10" w:color="000000" w:space="0"/>
            </w:tcBorders>
          </w:tcPr>
          <w:p>
            <w:pPr>
              <w:spacing w:after="20" w:line="240" w:lineRule="auto"/>
              <w:jc w:val="left"/>
            </w:pPr>
            <w:r>
              <w:rPr>
                <w:i/>
                <w:sz w:val="17"/>
              </w:rPr>
              <w:t>Lintas sensor:</w:t>
            </w:r>
            <w:r>
              <w:rPr>
                <w:sz w:val="17"/>
              </w:rPr>
              <w:t xml:space="preserve"> dark-spot pada uji PALSAR</w:t>
            </w:r>
          </w:p>
        </w:tc>
        <w:tc>
          <w:tcPr>
            <w:tcW w:type="dxa" w:w="907"/>
            <w:tcBorders>
              <w:bottom w:val="single" w:sz="10" w:color="000000" w:space="0"/>
            </w:tcBorders>
          </w:tcPr>
          <w:p>
            <w:pPr>
              <w:spacing w:after="20" w:line="240" w:lineRule="auto"/>
              <w:jc w:val="center"/>
            </w:pPr>
            <w:r>
              <w:rPr>
                <w:sz w:val="17"/>
              </w:rPr>
              <w:t>0,6410</w:t>
            </w:r>
          </w:p>
        </w:tc>
        <w:tc>
          <w:tcPr>
            <w:tcW w:type="dxa" w:w="850"/>
            <w:tcBorders>
              <w:bottom w:val="single" w:sz="10" w:color="000000" w:space="0"/>
            </w:tcBorders>
          </w:tcPr>
          <w:p>
            <w:pPr>
              <w:spacing w:after="20" w:line="240" w:lineRule="auto"/>
              <w:jc w:val="center"/>
            </w:pPr>
            <w:r>
              <w:rPr>
                <w:sz w:val="17"/>
              </w:rPr>
              <w:t>0,4717</w:t>
            </w:r>
          </w:p>
        </w:tc>
        <w:tc>
          <w:tcPr>
            <w:tcW w:type="dxa" w:w="964"/>
            <w:tcBorders>
              <w:bottom w:val="single" w:sz="10" w:color="000000" w:space="0"/>
            </w:tcBorders>
          </w:tcPr>
          <w:p>
            <w:pPr>
              <w:spacing w:after="20" w:line="240" w:lineRule="auto"/>
              <w:jc w:val="center"/>
            </w:pPr>
            <w:r>
              <w:rPr>
                <w:sz w:val="17"/>
              </w:rPr>
              <w:t>0,8651</w:t>
            </w:r>
          </w:p>
        </w:tc>
        <w:tc>
          <w:tcPr>
            <w:tcW w:type="dxa" w:w="850"/>
            <w:tcBorders>
              <w:bottom w:val="single" w:sz="10" w:color="000000" w:space="0"/>
            </w:tcBorders>
          </w:tcPr>
          <w:p>
            <w:pPr>
              <w:spacing w:after="20" w:line="240" w:lineRule="auto"/>
              <w:jc w:val="center"/>
            </w:pPr>
            <w:r>
              <w:rPr>
                <w:sz w:val="17"/>
              </w:rPr>
              <w:t>0,5092</w:t>
            </w:r>
          </w:p>
        </w:tc>
        <w:tc>
          <w:tcPr>
            <w:tcW w:type="dxa" w:w="850"/>
            <w:tcBorders>
              <w:bottom w:val="single" w:sz="10" w:color="000000" w:space="0"/>
            </w:tcBorders>
          </w:tcPr>
          <w:p>
            <w:pPr>
              <w:spacing w:after="20" w:line="240" w:lineRule="auto"/>
              <w:jc w:val="center"/>
            </w:pPr>
            <w:r>
              <w:rPr>
                <w:sz w:val="17"/>
              </w:rPr>
              <w:t>–</w:t>
            </w:r>
          </w:p>
        </w:tc>
        <w:tc>
          <w:tcPr>
            <w:tcW w:type="dxa" w:w="907"/>
            <w:tcBorders>
              <w:bottom w:val="single" w:sz="10" w:color="000000" w:space="0"/>
            </w:tcBorders>
          </w:tcPr>
          <w:p>
            <w:pPr>
              <w:spacing w:after="20" w:line="240" w:lineRule="auto"/>
              <w:jc w:val="center"/>
            </w:pPr>
            <w:r>
              <w:rPr>
                <w:sz w:val="17"/>
              </w:rPr>
              <w:t>0,9042</w:t>
            </w:r>
          </w:p>
        </w:tc>
      </w:tr>
    </w:tbl>
    <w:p>
      <w:pPr>
        <w:spacing w:after="160"/>
      </w:pPr>
      <w:r>
        <w:rPr>
          <w:sz w:val="17"/>
        </w:rPr>
        <w:t>Dice macro (rata-rata per citra) U-Net Lite = 0,7609; IoU macro = 0,6508. Baseline mask kosong mencapai akurasi 65,3% tanpa mendeteksi satu piksel minyak pun, sehingga akurasi tidak dipakai sebagai metrik utama.</w:t>
      </w:r>
    </w:p>
    <w:p>
      <w:pPr>
        <w:ind w:firstLine="425"/>
        <w:jc w:val="both"/>
      </w:pPr>
      <w:r>
        <w:t xml:space="preserve">U-Net Lite unggul jauh atas kedua baseline: Dice naik 0,129 dan IoU naik 0,176 dibandingkan </w:t>
      </w:r>
      <w:r>
        <w:rPr>
          <w:i/>
        </w:rPr>
        <w:t>dark-spot thresholding</w:t>
      </w:r>
      <w:r>
        <w:t xml:space="preserve">. Membuang 9 citra </w:t>
      </w:r>
      <w:r>
        <w:rPr>
          <w:i/>
        </w:rPr>
        <w:t>near-duplicate</w:t>
      </w:r>
      <w:r>
        <w:t xml:space="preserve"> hanya menurunkan Dice 0,0008, sehingga hasil tidak didorong oleh kebocoran data. Recall (0,910) lebih tinggi daripada precision (0,806): model cenderung sedikit melebihkan batas tumpahan (Gambar 4). Dari seluruh piksel laut, 11,7% salah ditandai sebagai minyak, sedangkan dari seluruh piksel minyak hanya 9,0% yang terlewat. Untuk sistem peringatan dini HSSE, sifat ini lebih aman karena tumpahan yang terlewat lebih mahal dampaknya daripada alarm palsu yang dapat diverifikasi analis.</w:t>
      </w:r>
    </w:p>
    <w:p>
      <w:pPr>
        <w:keepNext/>
        <w:spacing w:after="0"/>
        <w:jc w:val="center"/>
      </w:pPr>
      <w:r>
        <w:drawing>
          <wp:inline xmlns:a="http://schemas.openxmlformats.org/drawingml/2006/main" xmlns:pic="http://schemas.openxmlformats.org/drawingml/2006/picture">
            <wp:extent cx="2160000" cy="1836000"/>
            <wp:docPr id="5" name="Picture 5"/>
            <wp:cNvGraphicFramePr>
              <a:graphicFrameLocks noChangeAspect="1"/>
            </wp:cNvGraphicFramePr>
            <a:graphic>
              <a:graphicData uri="http://schemas.openxmlformats.org/drawingml/2006/picture">
                <pic:pic>
                  <pic:nvPicPr>
                    <pic:cNvPr id="0" name="confusion_matrix_test.png"/>
                    <pic:cNvPicPr/>
                  </pic:nvPicPr>
                  <pic:blipFill>
                    <a:blip r:embed="rId15"/>
                    <a:stretch>
                      <a:fillRect/>
                    </a:stretch>
                  </pic:blipFill>
                  <pic:spPr>
                    <a:xfrm>
                      <a:off x="0" y="0"/>
                      <a:ext cx="2160000" cy="1836000"/>
                    </a:xfrm>
                    <a:prstGeom prst="rect"/>
                  </pic:spPr>
                </pic:pic>
              </a:graphicData>
            </a:graphic>
          </wp:inline>
        </w:drawing>
      </w:r>
    </w:p>
    <w:p>
      <w:pPr>
        <w:spacing w:after="160" w:before="60"/>
        <w:jc w:val="center"/>
      </w:pPr>
      <w:r>
        <w:rPr>
          <w:b/>
          <w:sz w:val="19"/>
        </w:rPr>
        <w:t>Gambar 4.</w:t>
      </w:r>
      <w:r>
        <w:rPr>
          <w:sz w:val="19"/>
        </w:rPr>
        <w:t xml:space="preserve"> Confusion matrix piksel pada set uji Sentinel-1 (dinormalisasi per baris).</w:t>
      </w:r>
    </w:p>
    <w:p>
      <w:pPr>
        <w:pStyle w:val="Heading2"/>
      </w:pPr>
      <w:r>
        <w:t>3.3 Perbandingan dengan tolok ukur dataset SOS</w:t>
      </w:r>
    </w:p>
    <w:p>
      <w:pPr>
        <w:keepNext/>
        <w:spacing w:after="60" w:before="120"/>
        <w:jc w:val="center"/>
      </w:pPr>
      <w:r>
        <w:rPr>
          <w:b/>
          <w:sz w:val="19"/>
        </w:rPr>
        <w:t>Tabel 3.</w:t>
      </w:r>
      <w:r>
        <w:rPr>
          <w:sz w:val="19"/>
        </w:rPr>
        <w:t xml:space="preserve"> Perbandingan pada subset uji Sentinel-1 dataset SOS.</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rPr>
        <w:tc>
          <w:tcPr>
            <w:tcW w:type="dxa" w:w="2608"/>
            <w:shd w:val="clear" w:color="auto" w:fill="E7EEF7"/>
            <w:tcBorders>
              <w:top w:val="single" w:sz="10" w:color="000000" w:space="0"/>
              <w:bottom w:val="single" w:sz="6" w:color="000000" w:space="0"/>
            </w:tcBorders>
          </w:tcPr>
          <w:p>
            <w:pPr>
              <w:keepNext/>
              <w:spacing w:after="20" w:line="240" w:lineRule="auto"/>
              <w:jc w:val="left"/>
            </w:pPr>
            <w:r>
              <w:rPr>
                <w:b/>
                <w:sz w:val="17"/>
              </w:rPr>
              <w:t>Model</w:t>
            </w:r>
          </w:p>
        </w:tc>
        <w:tc>
          <w:tcPr>
            <w:tcW w:type="dxa" w:w="1077"/>
            <w:shd w:val="clear" w:color="auto" w:fill="E7EEF7"/>
            <w:tcBorders>
              <w:top w:val="single" w:sz="10" w:color="000000" w:space="0"/>
              <w:bottom w:val="single" w:sz="6" w:color="000000" w:space="0"/>
            </w:tcBorders>
          </w:tcPr>
          <w:p>
            <w:pPr>
              <w:keepNext/>
              <w:spacing w:after="20" w:line="240" w:lineRule="auto"/>
              <w:jc w:val="center"/>
            </w:pPr>
            <w:r>
              <w:rPr>
                <w:b/>
                <w:sz w:val="17"/>
              </w:rPr>
              <w:t>mIoU (%)</w:t>
            </w:r>
          </w:p>
        </w:tc>
        <w:tc>
          <w:tcPr>
            <w:tcW w:type="dxa" w:w="964"/>
            <w:shd w:val="clear" w:color="auto" w:fill="E7EEF7"/>
            <w:tcBorders>
              <w:top w:val="single" w:sz="10" w:color="000000" w:space="0"/>
              <w:bottom w:val="single" w:sz="6" w:color="000000" w:space="0"/>
            </w:tcBorders>
          </w:tcPr>
          <w:p>
            <w:pPr>
              <w:keepNext/>
              <w:spacing w:after="20" w:line="240" w:lineRule="auto"/>
              <w:jc w:val="center"/>
            </w:pPr>
            <w:r>
              <w:rPr>
                <w:b/>
                <w:sz w:val="17"/>
              </w:rPr>
              <w:t>F1 (%)</w:t>
            </w:r>
          </w:p>
        </w:tc>
        <w:tc>
          <w:tcPr>
            <w:tcW w:type="dxa" w:w="1077"/>
            <w:shd w:val="clear" w:color="auto" w:fill="E7EEF7"/>
            <w:tcBorders>
              <w:top w:val="single" w:sz="10" w:color="000000" w:space="0"/>
              <w:bottom w:val="single" w:sz="6" w:color="000000" w:space="0"/>
            </w:tcBorders>
          </w:tcPr>
          <w:p>
            <w:pPr>
              <w:keepNext/>
              <w:spacing w:after="20" w:line="240" w:lineRule="auto"/>
              <w:jc w:val="center"/>
            </w:pPr>
            <w:r>
              <w:rPr>
                <w:b/>
                <w:sz w:val="17"/>
              </w:rPr>
              <w:t>Recall (%)</w:t>
            </w:r>
          </w:p>
        </w:tc>
        <w:tc>
          <w:tcPr>
            <w:tcW w:type="dxa" w:w="1191"/>
            <w:shd w:val="clear" w:color="auto" w:fill="E7EEF7"/>
            <w:tcBorders>
              <w:top w:val="single" w:sz="10" w:color="000000" w:space="0"/>
              <w:bottom w:val="single" w:sz="6" w:color="000000" w:space="0"/>
            </w:tcBorders>
          </w:tcPr>
          <w:p>
            <w:pPr>
              <w:keepNext/>
              <w:spacing w:after="20" w:line="240" w:lineRule="auto"/>
              <w:jc w:val="center"/>
            </w:pPr>
            <w:r>
              <w:rPr>
                <w:b/>
                <w:sz w:val="17"/>
              </w:rPr>
              <w:t>Precision (%)</w:t>
            </w:r>
          </w:p>
        </w:tc>
        <w:tc>
          <w:tcPr>
            <w:tcW w:type="dxa" w:w="1587"/>
            <w:shd w:val="clear" w:color="auto" w:fill="E7EEF7"/>
            <w:tcBorders>
              <w:top w:val="single" w:sz="10" w:color="000000" w:space="0"/>
              <w:bottom w:val="single" w:sz="6" w:color="000000" w:space="0"/>
            </w:tcBorders>
          </w:tcPr>
          <w:p>
            <w:pPr>
              <w:keepNext/>
              <w:spacing w:after="20" w:line="240" w:lineRule="auto"/>
              <w:jc w:val="center"/>
            </w:pPr>
            <w:r>
              <w:rPr>
                <w:b/>
                <w:sz w:val="17"/>
              </w:rPr>
              <w:t>Ukuran model</w:t>
            </w:r>
          </w:p>
        </w:tc>
      </w:tr>
      <w:tr>
        <w:trPr>
          <w:cantSplit/>
        </w:trPr>
        <w:tc>
          <w:tcPr>
            <w:tcW w:type="dxa" w:w="2608"/>
          </w:tcPr>
          <w:p>
            <w:pPr>
              <w:keepNext/>
              <w:spacing w:after="20" w:line="240" w:lineRule="auto"/>
              <w:jc w:val="left"/>
            </w:pPr>
            <w:r>
              <w:rPr>
                <w:sz w:val="17"/>
              </w:rPr>
              <w:t>U-Net [3]</w:t>
            </w:r>
          </w:p>
        </w:tc>
        <w:tc>
          <w:tcPr>
            <w:tcW w:type="dxa" w:w="1077"/>
          </w:tcPr>
          <w:p>
            <w:pPr>
              <w:keepNext/>
              <w:spacing w:after="20" w:line="240" w:lineRule="auto"/>
              <w:jc w:val="center"/>
            </w:pPr>
            <w:r>
              <w:rPr>
                <w:sz w:val="17"/>
              </w:rPr>
              <w:t>81,46</w:t>
            </w:r>
          </w:p>
        </w:tc>
        <w:tc>
          <w:tcPr>
            <w:tcW w:type="dxa" w:w="964"/>
          </w:tcPr>
          <w:p>
            <w:pPr>
              <w:keepNext/>
              <w:spacing w:after="20" w:line="240" w:lineRule="auto"/>
              <w:jc w:val="center"/>
            </w:pPr>
            <w:r>
              <w:rPr>
                <w:sz w:val="17"/>
              </w:rPr>
              <w:t>86,10</w:t>
            </w:r>
          </w:p>
        </w:tc>
        <w:tc>
          <w:tcPr>
            <w:tcW w:type="dxa" w:w="1077"/>
          </w:tcPr>
          <w:p>
            <w:pPr>
              <w:keepNext/>
              <w:spacing w:after="20" w:line="240" w:lineRule="auto"/>
              <w:jc w:val="center"/>
            </w:pPr>
            <w:r>
              <w:rPr>
                <w:sz w:val="17"/>
              </w:rPr>
              <w:t>81,22</w:t>
            </w:r>
          </w:p>
        </w:tc>
        <w:tc>
          <w:tcPr>
            <w:tcW w:type="dxa" w:w="1191"/>
          </w:tcPr>
          <w:p>
            <w:pPr>
              <w:keepNext/>
              <w:spacing w:after="20" w:line="240" w:lineRule="auto"/>
              <w:jc w:val="center"/>
            </w:pPr>
            <w:r>
              <w:rPr>
                <w:sz w:val="17"/>
              </w:rPr>
              <w:t>85,61</w:t>
            </w:r>
          </w:p>
        </w:tc>
        <w:tc>
          <w:tcPr>
            <w:tcW w:type="dxa" w:w="1587"/>
          </w:tcPr>
          <w:p>
            <w:pPr>
              <w:keepNext/>
              <w:spacing w:after="20" w:line="240" w:lineRule="auto"/>
              <w:jc w:val="center"/>
            </w:pPr>
            <w:r>
              <w:rPr>
                <w:sz w:val="17"/>
              </w:rPr>
              <w:t>tidak dilaporkan</w:t>
            </w:r>
          </w:p>
        </w:tc>
      </w:tr>
      <w:tr>
        <w:trPr>
          <w:cantSplit/>
        </w:trPr>
        <w:tc>
          <w:tcPr>
            <w:tcW w:type="dxa" w:w="2608"/>
          </w:tcPr>
          <w:p>
            <w:pPr>
              <w:keepNext/>
              <w:spacing w:after="20" w:line="240" w:lineRule="auto"/>
              <w:jc w:val="left"/>
            </w:pPr>
            <w:r>
              <w:rPr>
                <w:sz w:val="17"/>
              </w:rPr>
              <w:t>D-LinkNet [3]</w:t>
            </w:r>
          </w:p>
        </w:tc>
        <w:tc>
          <w:tcPr>
            <w:tcW w:type="dxa" w:w="1077"/>
          </w:tcPr>
          <w:p>
            <w:pPr>
              <w:keepNext/>
              <w:spacing w:after="20" w:line="240" w:lineRule="auto"/>
              <w:jc w:val="center"/>
            </w:pPr>
            <w:r>
              <w:rPr>
                <w:sz w:val="17"/>
              </w:rPr>
              <w:t>82,32</w:t>
            </w:r>
          </w:p>
        </w:tc>
        <w:tc>
          <w:tcPr>
            <w:tcW w:type="dxa" w:w="964"/>
          </w:tcPr>
          <w:p>
            <w:pPr>
              <w:keepNext/>
              <w:spacing w:after="20" w:line="240" w:lineRule="auto"/>
              <w:jc w:val="center"/>
            </w:pPr>
            <w:r>
              <w:rPr>
                <w:sz w:val="17"/>
              </w:rPr>
              <w:t>87,08</w:t>
            </w:r>
          </w:p>
        </w:tc>
        <w:tc>
          <w:tcPr>
            <w:tcW w:type="dxa" w:w="1077"/>
          </w:tcPr>
          <w:p>
            <w:pPr>
              <w:keepNext/>
              <w:spacing w:after="20" w:line="240" w:lineRule="auto"/>
              <w:jc w:val="center"/>
            </w:pPr>
            <w:r>
              <w:rPr>
                <w:sz w:val="17"/>
              </w:rPr>
              <w:t>85,22</w:t>
            </w:r>
          </w:p>
        </w:tc>
        <w:tc>
          <w:tcPr>
            <w:tcW w:type="dxa" w:w="1191"/>
          </w:tcPr>
          <w:p>
            <w:pPr>
              <w:keepNext/>
              <w:spacing w:after="20" w:line="240" w:lineRule="auto"/>
              <w:jc w:val="center"/>
            </w:pPr>
            <w:r>
              <w:rPr>
                <w:sz w:val="17"/>
              </w:rPr>
              <w:t>85,22</w:t>
            </w:r>
          </w:p>
        </w:tc>
        <w:tc>
          <w:tcPr>
            <w:tcW w:type="dxa" w:w="1587"/>
          </w:tcPr>
          <w:p>
            <w:pPr>
              <w:keepNext/>
              <w:spacing w:after="20" w:line="240" w:lineRule="auto"/>
              <w:jc w:val="center"/>
            </w:pPr>
            <w:r>
              <w:rPr>
                <w:sz w:val="17"/>
              </w:rPr>
              <w:t>tidak dilaporkan</w:t>
            </w:r>
          </w:p>
        </w:tc>
      </w:tr>
      <w:tr>
        <w:trPr>
          <w:cantSplit/>
        </w:trPr>
        <w:tc>
          <w:tcPr>
            <w:tcW w:type="dxa" w:w="2608"/>
          </w:tcPr>
          <w:p>
            <w:pPr>
              <w:keepNext/>
              <w:spacing w:after="20" w:line="240" w:lineRule="auto"/>
              <w:jc w:val="left"/>
            </w:pPr>
            <w:r>
              <w:rPr>
                <w:sz w:val="17"/>
              </w:rPr>
              <w:t>DeepLabv3 [3]</w:t>
            </w:r>
          </w:p>
        </w:tc>
        <w:tc>
          <w:tcPr>
            <w:tcW w:type="dxa" w:w="1077"/>
          </w:tcPr>
          <w:p>
            <w:pPr>
              <w:keepNext/>
              <w:spacing w:after="20" w:line="240" w:lineRule="auto"/>
              <w:jc w:val="center"/>
            </w:pPr>
            <w:r>
              <w:rPr>
                <w:sz w:val="17"/>
              </w:rPr>
              <w:t>82,94</w:t>
            </w:r>
          </w:p>
        </w:tc>
        <w:tc>
          <w:tcPr>
            <w:tcW w:type="dxa" w:w="964"/>
          </w:tcPr>
          <w:p>
            <w:pPr>
              <w:keepNext/>
              <w:spacing w:after="20" w:line="240" w:lineRule="auto"/>
              <w:jc w:val="center"/>
            </w:pPr>
            <w:r>
              <w:rPr>
                <w:sz w:val="17"/>
              </w:rPr>
              <w:t>87,70</w:t>
            </w:r>
          </w:p>
        </w:tc>
        <w:tc>
          <w:tcPr>
            <w:tcW w:type="dxa" w:w="1077"/>
          </w:tcPr>
          <w:p>
            <w:pPr>
              <w:keepNext/>
              <w:spacing w:after="20" w:line="240" w:lineRule="auto"/>
              <w:jc w:val="center"/>
            </w:pPr>
            <w:r>
              <w:rPr>
                <w:sz w:val="17"/>
              </w:rPr>
              <w:t>84,76</w:t>
            </w:r>
          </w:p>
        </w:tc>
        <w:tc>
          <w:tcPr>
            <w:tcW w:type="dxa" w:w="1191"/>
          </w:tcPr>
          <w:p>
            <w:pPr>
              <w:keepNext/>
              <w:spacing w:after="20" w:line="240" w:lineRule="auto"/>
              <w:jc w:val="center"/>
            </w:pPr>
            <w:r>
              <w:rPr>
                <w:sz w:val="17"/>
              </w:rPr>
              <w:t>88,08</w:t>
            </w:r>
          </w:p>
        </w:tc>
        <w:tc>
          <w:tcPr>
            <w:tcW w:type="dxa" w:w="1587"/>
          </w:tcPr>
          <w:p>
            <w:pPr>
              <w:keepNext/>
              <w:spacing w:after="20" w:line="240" w:lineRule="auto"/>
              <w:jc w:val="center"/>
            </w:pPr>
            <w:r>
              <w:rPr>
                <w:sz w:val="17"/>
              </w:rPr>
              <w:t>tidak dilaporkan</w:t>
            </w:r>
          </w:p>
        </w:tc>
      </w:tr>
      <w:tr>
        <w:trPr>
          <w:cantSplit/>
        </w:trPr>
        <w:tc>
          <w:tcPr>
            <w:tcW w:type="dxa" w:w="2608"/>
          </w:tcPr>
          <w:p>
            <w:pPr>
              <w:keepNext/>
              <w:spacing w:after="20" w:line="240" w:lineRule="auto"/>
              <w:jc w:val="left"/>
            </w:pPr>
            <w:r>
              <w:rPr>
                <w:sz w:val="17"/>
              </w:rPr>
              <w:t>CBD-Net [3]</w:t>
            </w:r>
          </w:p>
        </w:tc>
        <w:tc>
          <w:tcPr>
            <w:tcW w:type="dxa" w:w="1077"/>
          </w:tcPr>
          <w:p>
            <w:pPr>
              <w:keepNext/>
              <w:spacing w:after="20" w:line="240" w:lineRule="auto"/>
              <w:jc w:val="center"/>
            </w:pPr>
            <w:r>
              <w:rPr>
                <w:sz w:val="17"/>
              </w:rPr>
              <w:t>83,42</w:t>
            </w:r>
          </w:p>
        </w:tc>
        <w:tc>
          <w:tcPr>
            <w:tcW w:type="dxa" w:w="964"/>
          </w:tcPr>
          <w:p>
            <w:pPr>
              <w:keepNext/>
              <w:spacing w:after="20" w:line="240" w:lineRule="auto"/>
              <w:jc w:val="center"/>
            </w:pPr>
            <w:r>
              <w:rPr>
                <w:sz w:val="17"/>
              </w:rPr>
              <w:t>87,87</w:t>
            </w:r>
          </w:p>
        </w:tc>
        <w:tc>
          <w:tcPr>
            <w:tcW w:type="dxa" w:w="1077"/>
          </w:tcPr>
          <w:p>
            <w:pPr>
              <w:keepNext/>
              <w:spacing w:after="20" w:line="240" w:lineRule="auto"/>
              <w:jc w:val="center"/>
            </w:pPr>
            <w:r>
              <w:rPr>
                <w:sz w:val="17"/>
              </w:rPr>
              <w:t>87,32</w:t>
            </w:r>
          </w:p>
        </w:tc>
        <w:tc>
          <w:tcPr>
            <w:tcW w:type="dxa" w:w="1191"/>
          </w:tcPr>
          <w:p>
            <w:pPr>
              <w:keepNext/>
              <w:spacing w:after="20" w:line="240" w:lineRule="auto"/>
              <w:jc w:val="center"/>
            </w:pPr>
            <w:r>
              <w:rPr>
                <w:sz w:val="17"/>
              </w:rPr>
              <w:t>91,20</w:t>
            </w:r>
          </w:p>
        </w:tc>
        <w:tc>
          <w:tcPr>
            <w:tcW w:type="dxa" w:w="1587"/>
          </w:tcPr>
          <w:p>
            <w:pPr>
              <w:keepNext/>
              <w:spacing w:after="20" w:line="240" w:lineRule="auto"/>
              <w:jc w:val="center"/>
            </w:pPr>
            <w:r>
              <w:rPr>
                <w:sz w:val="17"/>
              </w:rPr>
              <w:t>tidak dilaporkan</w:t>
            </w:r>
          </w:p>
        </w:tc>
      </w:tr>
      <w:tr>
        <w:trPr>
          <w:cantSplit/>
        </w:trPr>
        <w:tc>
          <w:tcPr>
            <w:tcW w:type="dxa" w:w="2608"/>
            <w:shd w:val="clear" w:color="auto" w:fill="F2F7EC"/>
          </w:tcPr>
          <w:p>
            <w:pPr>
              <w:keepNext/>
              <w:spacing w:after="20" w:line="240" w:lineRule="auto"/>
              <w:jc w:val="left"/>
            </w:pPr>
            <w:r>
              <w:rPr>
                <w:b/>
                <w:sz w:val="17"/>
              </w:rPr>
              <w:t>U-Net Lite (ours, FP32)</w:t>
            </w:r>
          </w:p>
        </w:tc>
        <w:tc>
          <w:tcPr>
            <w:tcW w:type="dxa" w:w="1077"/>
            <w:shd w:val="clear" w:color="auto" w:fill="F2F7EC"/>
          </w:tcPr>
          <w:p>
            <w:pPr>
              <w:keepNext/>
              <w:spacing w:after="20" w:line="240" w:lineRule="auto"/>
              <w:jc w:val="center"/>
            </w:pPr>
            <w:r>
              <w:rPr>
                <w:b/>
                <w:sz w:val="17"/>
              </w:rPr>
              <w:t>79,46</w:t>
            </w:r>
          </w:p>
        </w:tc>
        <w:tc>
          <w:tcPr>
            <w:tcW w:type="dxa" w:w="964"/>
            <w:shd w:val="clear" w:color="auto" w:fill="F2F7EC"/>
          </w:tcPr>
          <w:p>
            <w:pPr>
              <w:keepNext/>
              <w:spacing w:after="20" w:line="240" w:lineRule="auto"/>
              <w:jc w:val="center"/>
            </w:pPr>
            <w:r>
              <w:rPr>
                <w:b/>
                <w:sz w:val="17"/>
              </w:rPr>
              <w:t>85,47</w:t>
            </w:r>
          </w:p>
        </w:tc>
        <w:tc>
          <w:tcPr>
            <w:tcW w:type="dxa" w:w="1077"/>
            <w:shd w:val="clear" w:color="auto" w:fill="F2F7EC"/>
          </w:tcPr>
          <w:p>
            <w:pPr>
              <w:keepNext/>
              <w:spacing w:after="20" w:line="240" w:lineRule="auto"/>
              <w:jc w:val="center"/>
            </w:pPr>
            <w:r>
              <w:rPr>
                <w:b/>
                <w:sz w:val="17"/>
              </w:rPr>
              <w:t>90,99</w:t>
            </w:r>
          </w:p>
        </w:tc>
        <w:tc>
          <w:tcPr>
            <w:tcW w:type="dxa" w:w="1191"/>
            <w:shd w:val="clear" w:color="auto" w:fill="F2F7EC"/>
          </w:tcPr>
          <w:p>
            <w:pPr>
              <w:keepNext/>
              <w:spacing w:after="20" w:line="240" w:lineRule="auto"/>
              <w:jc w:val="center"/>
            </w:pPr>
            <w:r>
              <w:rPr>
                <w:b/>
                <w:sz w:val="17"/>
              </w:rPr>
              <w:t>80,58</w:t>
            </w:r>
          </w:p>
        </w:tc>
        <w:tc>
          <w:tcPr>
            <w:tcW w:type="dxa" w:w="1587"/>
            <w:shd w:val="clear" w:color="auto" w:fill="F2F7EC"/>
          </w:tcPr>
          <w:p>
            <w:pPr>
              <w:keepNext/>
              <w:spacing w:after="20" w:line="240" w:lineRule="auto"/>
              <w:jc w:val="center"/>
            </w:pPr>
            <w:r>
              <w:rPr>
                <w:b/>
                <w:sz w:val="17"/>
              </w:rPr>
              <w:t>7,77 MB</w:t>
            </w:r>
          </w:p>
        </w:tc>
      </w:tr>
      <w:tr>
        <w:trPr>
          <w:cantSplit/>
        </w:trPr>
        <w:tc>
          <w:tcPr>
            <w:tcW w:type="dxa" w:w="2608"/>
            <w:tcBorders>
              <w:bottom w:val="single" w:sz="10" w:color="000000" w:space="0"/>
            </w:tcBorders>
            <w:shd w:val="clear" w:color="auto" w:fill="F2F7EC"/>
          </w:tcPr>
          <w:p>
            <w:pPr>
              <w:spacing w:after="20" w:line="240" w:lineRule="auto"/>
              <w:jc w:val="left"/>
            </w:pPr>
            <w:r>
              <w:rPr>
                <w:b/>
                <w:sz w:val="17"/>
              </w:rPr>
              <w:t>U-Net Lite (ours, INT8)</w:t>
            </w:r>
          </w:p>
        </w:tc>
        <w:tc>
          <w:tcPr>
            <w:tcW w:type="dxa" w:w="1077"/>
            <w:tcBorders>
              <w:bottom w:val="single" w:sz="10" w:color="000000" w:space="0"/>
            </w:tcBorders>
            <w:shd w:val="clear" w:color="auto" w:fill="F2F7EC"/>
          </w:tcPr>
          <w:p>
            <w:pPr>
              <w:spacing w:after="20" w:line="240" w:lineRule="auto"/>
              <w:jc w:val="center"/>
            </w:pPr>
            <w:r>
              <w:rPr>
                <w:b/>
                <w:sz w:val="17"/>
              </w:rPr>
              <w:t>–</w:t>
            </w:r>
          </w:p>
        </w:tc>
        <w:tc>
          <w:tcPr>
            <w:tcW w:type="dxa" w:w="964"/>
            <w:tcBorders>
              <w:bottom w:val="single" w:sz="10" w:color="000000" w:space="0"/>
            </w:tcBorders>
            <w:shd w:val="clear" w:color="auto" w:fill="F2F7EC"/>
          </w:tcPr>
          <w:p>
            <w:pPr>
              <w:spacing w:after="20" w:line="240" w:lineRule="auto"/>
              <w:jc w:val="center"/>
            </w:pPr>
            <w:r>
              <w:rPr>
                <w:b/>
                <w:sz w:val="17"/>
              </w:rPr>
              <w:t>85,45</w:t>
            </w:r>
          </w:p>
        </w:tc>
        <w:tc>
          <w:tcPr>
            <w:tcW w:type="dxa" w:w="1077"/>
            <w:tcBorders>
              <w:bottom w:val="single" w:sz="10" w:color="000000" w:space="0"/>
            </w:tcBorders>
            <w:shd w:val="clear" w:color="auto" w:fill="F2F7EC"/>
          </w:tcPr>
          <w:p>
            <w:pPr>
              <w:spacing w:after="20" w:line="240" w:lineRule="auto"/>
              <w:jc w:val="center"/>
            </w:pPr>
            <w:r>
              <w:rPr>
                <w:b/>
                <w:sz w:val="17"/>
              </w:rPr>
              <w:t>90,90</w:t>
            </w:r>
          </w:p>
        </w:tc>
        <w:tc>
          <w:tcPr>
            <w:tcW w:type="dxa" w:w="1191"/>
            <w:tcBorders>
              <w:bottom w:val="single" w:sz="10" w:color="000000" w:space="0"/>
            </w:tcBorders>
            <w:shd w:val="clear" w:color="auto" w:fill="F2F7EC"/>
          </w:tcPr>
          <w:p>
            <w:pPr>
              <w:spacing w:after="20" w:line="240" w:lineRule="auto"/>
              <w:jc w:val="center"/>
            </w:pPr>
            <w:r>
              <w:rPr>
                <w:b/>
                <w:sz w:val="17"/>
              </w:rPr>
              <w:t>80,62</w:t>
            </w:r>
          </w:p>
        </w:tc>
        <w:tc>
          <w:tcPr>
            <w:tcW w:type="dxa" w:w="1587"/>
            <w:tcBorders>
              <w:bottom w:val="single" w:sz="10" w:color="000000" w:space="0"/>
            </w:tcBorders>
            <w:shd w:val="clear" w:color="auto" w:fill="F2F7EC"/>
          </w:tcPr>
          <w:p>
            <w:pPr>
              <w:spacing w:after="20" w:line="240" w:lineRule="auto"/>
              <w:jc w:val="center"/>
            </w:pPr>
            <w:r>
              <w:rPr>
                <w:b/>
                <w:sz w:val="17"/>
              </w:rPr>
              <w:t>2,01 MB</w:t>
            </w:r>
          </w:p>
        </w:tc>
      </w:tr>
    </w:tbl>
    <w:p>
      <w:pPr>
        <w:spacing w:after="160"/>
      </w:pPr>
      <w:r>
        <w:rPr>
          <w:sz w:val="17"/>
        </w:rPr>
        <w:t>Nilai [3] dikutip dari Tabel III paper tersebut (threshold 0,5; cara agregasi tidak dirinci). mIoU kami = rata-rata IoU minyak (0,7462) dan IoU latar (0,8429). Perbedaan protokol membuat perbandingan ini bersifat indikatif.</w:t>
      </w:r>
    </w:p>
    <w:p>
      <w:pPr>
        <w:ind w:firstLine="425"/>
        <w:jc w:val="both"/>
      </w:pPr>
      <w:r>
        <w:t xml:space="preserve">Pada subset yang sama, F1 U-Net Lite 0,6 poin di bawah U-Net standar dan 2,4 poin di bawah CBD-Net [3]. Selisih ini wajar karena model kami sangat ringan, tidak memakai </w:t>
      </w:r>
      <w:r>
        <w:rPr>
          <w:i/>
        </w:rPr>
        <w:t>encoder</w:t>
      </w:r>
      <w:r>
        <w:t xml:space="preserve"> pralatih, dan tidak memakai modul </w:t>
      </w:r>
      <w:r>
        <w:rPr>
          <w:i/>
        </w:rPr>
        <w:t>attention</w:t>
      </w:r>
      <w:r>
        <w:t xml:space="preserve"> maupun supervisi tepi seperti CBD-Net. Sebaliknya, recall model kami (91,0%) adalah yang tertinggi di Tabel 3, dan model INT8 berukuran hanya 2 MB sehingga dapat dijalankan langsung di browser. </w:t>
      </w:r>
      <w:r>
        <w:rPr>
          <w:i/>
        </w:rPr>
        <w:t>Trade-off</w:t>
      </w:r>
      <w:r>
        <w:t xml:space="preserve"> ini sesuai dengan tujuan proyek: model yang cukup akurat untuk </w:t>
      </w:r>
      <w:r>
        <w:rPr>
          <w:i/>
        </w:rPr>
        <w:t>screening</w:t>
      </w:r>
      <w:r>
        <w:t xml:space="preserve"> dan murah dioperasikan.</w:t>
      </w:r>
    </w:p>
    <w:p>
      <w:pPr>
        <w:pStyle w:val="Heading2"/>
      </w:pPr>
      <w:r>
        <w:t>3.4 Efisiensi komputasi (Green/Edge AI)</w:t>
      </w:r>
    </w:p>
    <w:p>
      <w:pPr>
        <w:keepNext/>
        <w:spacing w:after="60" w:before="120"/>
        <w:jc w:val="center"/>
      </w:pPr>
      <w:r>
        <w:rPr>
          <w:b/>
          <w:sz w:val="19"/>
        </w:rPr>
        <w:t>Tabel 4.</w:t>
      </w:r>
      <w:r>
        <w:rPr>
          <w:sz w:val="19"/>
        </w:rPr>
        <w:t xml:space="preserve"> Ukuran, akurasi, dan latensi tiap varian model.</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rPr>
        <w:tc>
          <w:tcPr>
            <w:tcW w:type="dxa" w:w="2494"/>
            <w:shd w:val="clear" w:color="auto" w:fill="E7EEF7"/>
            <w:tcBorders>
              <w:top w:val="single" w:sz="10" w:color="000000" w:space="0"/>
              <w:bottom w:val="single" w:sz="6" w:color="000000" w:space="0"/>
            </w:tcBorders>
          </w:tcPr>
          <w:p>
            <w:pPr>
              <w:keepNext/>
              <w:spacing w:after="20" w:line="240" w:lineRule="auto"/>
              <w:jc w:val="left"/>
            </w:pPr>
            <w:r>
              <w:rPr>
                <w:b/>
                <w:sz w:val="17"/>
              </w:rPr>
              <w:t>Varian</w:t>
            </w:r>
          </w:p>
        </w:tc>
        <w:tc>
          <w:tcPr>
            <w:tcW w:type="dxa" w:w="1020"/>
            <w:shd w:val="clear" w:color="auto" w:fill="E7EEF7"/>
            <w:tcBorders>
              <w:top w:val="single" w:sz="10" w:color="000000" w:space="0"/>
              <w:bottom w:val="single" w:sz="6" w:color="000000" w:space="0"/>
            </w:tcBorders>
          </w:tcPr>
          <w:p>
            <w:pPr>
              <w:keepNext/>
              <w:spacing w:after="20" w:line="240" w:lineRule="auto"/>
              <w:jc w:val="center"/>
            </w:pPr>
            <w:r>
              <w:rPr>
                <w:b/>
                <w:sz w:val="17"/>
              </w:rPr>
              <w:t>Ukuran</w:t>
            </w:r>
          </w:p>
        </w:tc>
        <w:tc>
          <w:tcPr>
            <w:tcW w:type="dxa" w:w="907"/>
            <w:shd w:val="clear" w:color="auto" w:fill="E7EEF7"/>
            <w:tcBorders>
              <w:top w:val="single" w:sz="10" w:color="000000" w:space="0"/>
              <w:bottom w:val="single" w:sz="6" w:color="000000" w:space="0"/>
            </w:tcBorders>
          </w:tcPr>
          <w:p>
            <w:pPr>
              <w:keepNext/>
              <w:spacing w:after="20" w:line="240" w:lineRule="auto"/>
              <w:jc w:val="center"/>
            </w:pPr>
            <w:r>
              <w:rPr>
                <w:b/>
                <w:sz w:val="17"/>
              </w:rPr>
              <w:t>Dice val</w:t>
            </w:r>
          </w:p>
        </w:tc>
        <w:tc>
          <w:tcPr>
            <w:tcW w:type="dxa" w:w="907"/>
            <w:shd w:val="clear" w:color="auto" w:fill="E7EEF7"/>
            <w:tcBorders>
              <w:top w:val="single" w:sz="10" w:color="000000" w:space="0"/>
              <w:bottom w:val="single" w:sz="6" w:color="000000" w:space="0"/>
            </w:tcBorders>
          </w:tcPr>
          <w:p>
            <w:pPr>
              <w:keepNext/>
              <w:spacing w:after="20" w:line="240" w:lineRule="auto"/>
              <w:jc w:val="center"/>
            </w:pPr>
            <w:r>
              <w:rPr>
                <w:b/>
                <w:sz w:val="17"/>
              </w:rPr>
              <w:t>Dice uji</w:t>
            </w:r>
          </w:p>
        </w:tc>
        <w:tc>
          <w:tcPr>
            <w:tcW w:type="dxa" w:w="1814"/>
            <w:shd w:val="clear" w:color="auto" w:fill="E7EEF7"/>
            <w:tcBorders>
              <w:top w:val="single" w:sz="10" w:color="000000" w:space="0"/>
              <w:bottom w:val="single" w:sz="6" w:color="000000" w:space="0"/>
            </w:tcBorders>
          </w:tcPr>
          <w:p>
            <w:pPr>
              <w:keepNext/>
              <w:spacing w:after="20" w:line="240" w:lineRule="auto"/>
              <w:jc w:val="center"/>
            </w:pPr>
            <w:r>
              <w:rPr>
                <w:b/>
                <w:sz w:val="17"/>
              </w:rPr>
              <w:t>Latensi CPU Colab*</w:t>
            </w:r>
          </w:p>
        </w:tc>
        <w:tc>
          <w:tcPr>
            <w:tcW w:type="dxa" w:w="1474"/>
            <w:shd w:val="clear" w:color="auto" w:fill="E7EEF7"/>
            <w:tcBorders>
              <w:top w:val="single" w:sz="10" w:color="000000" w:space="0"/>
              <w:bottom w:val="single" w:sz="6" w:color="000000" w:space="0"/>
            </w:tcBorders>
          </w:tcPr>
          <w:p>
            <w:pPr>
              <w:keepNext/>
              <w:spacing w:after="20" w:line="240" w:lineRule="auto"/>
              <w:jc w:val="center"/>
            </w:pPr>
            <w:r>
              <w:rPr>
                <w:b/>
                <w:sz w:val="17"/>
              </w:rPr>
              <w:t>Latensi browser**</w:t>
            </w:r>
          </w:p>
        </w:tc>
      </w:tr>
      <w:tr>
        <w:trPr>
          <w:cantSplit/>
        </w:trPr>
        <w:tc>
          <w:tcPr>
            <w:tcW w:type="dxa" w:w="2494"/>
          </w:tcPr>
          <w:p>
            <w:pPr>
              <w:keepNext/>
              <w:spacing w:after="20" w:line="240" w:lineRule="auto"/>
              <w:jc w:val="left"/>
            </w:pPr>
            <w:r>
              <w:rPr>
                <w:sz w:val="17"/>
              </w:rPr>
              <w:t>ONNX FP32</w:t>
            </w:r>
          </w:p>
        </w:tc>
        <w:tc>
          <w:tcPr>
            <w:tcW w:type="dxa" w:w="1020"/>
          </w:tcPr>
          <w:p>
            <w:pPr>
              <w:keepNext/>
              <w:spacing w:after="20" w:line="240" w:lineRule="auto"/>
              <w:jc w:val="center"/>
            </w:pPr>
            <w:r>
              <w:rPr>
                <w:sz w:val="17"/>
              </w:rPr>
              <w:t>7,77 MB</w:t>
            </w:r>
          </w:p>
        </w:tc>
        <w:tc>
          <w:tcPr>
            <w:tcW w:type="dxa" w:w="907"/>
          </w:tcPr>
          <w:p>
            <w:pPr>
              <w:keepNext/>
              <w:spacing w:after="20" w:line="240" w:lineRule="auto"/>
              <w:jc w:val="center"/>
            </w:pPr>
            <w:r>
              <w:rPr>
                <w:sz w:val="17"/>
              </w:rPr>
              <w:t>0,8641</w:t>
            </w:r>
          </w:p>
        </w:tc>
        <w:tc>
          <w:tcPr>
            <w:tcW w:type="dxa" w:w="907"/>
          </w:tcPr>
          <w:p>
            <w:pPr>
              <w:keepNext/>
              <w:spacing w:after="20" w:line="240" w:lineRule="auto"/>
              <w:jc w:val="center"/>
            </w:pPr>
            <w:r>
              <w:rPr>
                <w:sz w:val="17"/>
              </w:rPr>
              <w:t>0,8547</w:t>
            </w:r>
          </w:p>
        </w:tc>
        <w:tc>
          <w:tcPr>
            <w:tcW w:type="dxa" w:w="1814"/>
          </w:tcPr>
          <w:p>
            <w:pPr>
              <w:keepNext/>
              <w:spacing w:after="20" w:line="240" w:lineRule="auto"/>
              <w:jc w:val="center"/>
            </w:pPr>
            <w:r>
              <w:rPr>
                <w:sz w:val="17"/>
              </w:rPr>
              <w:t>64,4 ms</w:t>
            </w:r>
          </w:p>
        </w:tc>
        <w:tc>
          <w:tcPr>
            <w:tcW w:type="dxa" w:w="1474"/>
          </w:tcPr>
          <w:p>
            <w:pPr>
              <w:keepNext/>
              <w:spacing w:after="20" w:line="240" w:lineRule="auto"/>
              <w:jc w:val="center"/>
            </w:pPr>
            <w:r>
              <w:rPr>
                <w:sz w:val="17"/>
              </w:rPr>
              <w:t>–</w:t>
            </w:r>
          </w:p>
        </w:tc>
      </w:tr>
      <w:tr>
        <w:trPr>
          <w:cantSplit/>
        </w:trPr>
        <w:tc>
          <w:tcPr>
            <w:tcW w:type="dxa" w:w="2494"/>
          </w:tcPr>
          <w:p>
            <w:pPr>
              <w:keepNext/>
              <w:spacing w:after="20" w:line="240" w:lineRule="auto"/>
              <w:jc w:val="left"/>
            </w:pPr>
            <w:r>
              <w:rPr>
                <w:sz w:val="17"/>
              </w:rPr>
              <w:t>ONNX FP16</w:t>
            </w:r>
          </w:p>
        </w:tc>
        <w:tc>
          <w:tcPr>
            <w:tcW w:type="dxa" w:w="1020"/>
          </w:tcPr>
          <w:p>
            <w:pPr>
              <w:keepNext/>
              <w:spacing w:after="20" w:line="240" w:lineRule="auto"/>
              <w:jc w:val="center"/>
            </w:pPr>
            <w:r>
              <w:rPr>
                <w:sz w:val="17"/>
              </w:rPr>
              <w:t>3,89 MB</w:t>
            </w:r>
          </w:p>
        </w:tc>
        <w:tc>
          <w:tcPr>
            <w:tcW w:type="dxa" w:w="907"/>
          </w:tcPr>
          <w:p>
            <w:pPr>
              <w:keepNext/>
              <w:spacing w:after="20" w:line="240" w:lineRule="auto"/>
              <w:jc w:val="center"/>
            </w:pPr>
            <w:r>
              <w:rPr>
                <w:sz w:val="17"/>
              </w:rPr>
              <w:t>0,8641</w:t>
            </w:r>
          </w:p>
        </w:tc>
        <w:tc>
          <w:tcPr>
            <w:tcW w:type="dxa" w:w="907"/>
          </w:tcPr>
          <w:p>
            <w:pPr>
              <w:keepNext/>
              <w:spacing w:after="20" w:line="240" w:lineRule="auto"/>
              <w:jc w:val="center"/>
            </w:pPr>
            <w:r>
              <w:rPr>
                <w:sz w:val="17"/>
              </w:rPr>
              <w:t>0,8547</w:t>
            </w:r>
          </w:p>
        </w:tc>
        <w:tc>
          <w:tcPr>
            <w:tcW w:type="dxa" w:w="1814"/>
          </w:tcPr>
          <w:p>
            <w:pPr>
              <w:keepNext/>
              <w:spacing w:after="20" w:line="240" w:lineRule="auto"/>
              <w:jc w:val="center"/>
            </w:pPr>
            <w:r>
              <w:rPr>
                <w:sz w:val="17"/>
              </w:rPr>
              <w:t>61,6 ms</w:t>
            </w:r>
          </w:p>
        </w:tc>
        <w:tc>
          <w:tcPr>
            <w:tcW w:type="dxa" w:w="1474"/>
          </w:tcPr>
          <w:p>
            <w:pPr>
              <w:keepNext/>
              <w:spacing w:after="20" w:line="240" w:lineRule="auto"/>
              <w:jc w:val="center"/>
            </w:pPr>
            <w:r>
              <w:rPr>
                <w:sz w:val="17"/>
              </w:rPr>
              <w:t>–</w:t>
            </w:r>
          </w:p>
        </w:tc>
      </w:tr>
      <w:tr>
        <w:trPr>
          <w:cantSplit/>
        </w:trPr>
        <w:tc>
          <w:tcPr>
            <w:tcW w:type="dxa" w:w="2494"/>
            <w:shd w:val="clear" w:color="auto" w:fill="F2F7EC"/>
          </w:tcPr>
          <w:p>
            <w:pPr>
              <w:keepNext/>
              <w:spacing w:after="20" w:line="240" w:lineRule="auto"/>
              <w:jc w:val="left"/>
            </w:pPr>
            <w:r>
              <w:rPr>
                <w:b/>
                <w:sz w:val="17"/>
              </w:rPr>
              <w:t>ONNX INT8 (dipakai web)</w:t>
            </w:r>
          </w:p>
        </w:tc>
        <w:tc>
          <w:tcPr>
            <w:tcW w:type="dxa" w:w="1020"/>
            <w:shd w:val="clear" w:color="auto" w:fill="F2F7EC"/>
          </w:tcPr>
          <w:p>
            <w:pPr>
              <w:keepNext/>
              <w:spacing w:after="20" w:line="240" w:lineRule="auto"/>
              <w:jc w:val="center"/>
            </w:pPr>
            <w:r>
              <w:rPr>
                <w:b/>
                <w:sz w:val="17"/>
              </w:rPr>
              <w:t>2,01 MB</w:t>
            </w:r>
          </w:p>
        </w:tc>
        <w:tc>
          <w:tcPr>
            <w:tcW w:type="dxa" w:w="907"/>
            <w:shd w:val="clear" w:color="auto" w:fill="F2F7EC"/>
          </w:tcPr>
          <w:p>
            <w:pPr>
              <w:keepNext/>
              <w:spacing w:after="20" w:line="240" w:lineRule="auto"/>
              <w:jc w:val="center"/>
            </w:pPr>
            <w:r>
              <w:rPr>
                <w:b/>
                <w:sz w:val="17"/>
              </w:rPr>
              <w:t>0,8638</w:t>
            </w:r>
          </w:p>
        </w:tc>
        <w:tc>
          <w:tcPr>
            <w:tcW w:type="dxa" w:w="907"/>
            <w:shd w:val="clear" w:color="auto" w:fill="F2F7EC"/>
          </w:tcPr>
          <w:p>
            <w:pPr>
              <w:keepNext/>
              <w:spacing w:after="20" w:line="240" w:lineRule="auto"/>
              <w:jc w:val="center"/>
            </w:pPr>
            <w:r>
              <w:rPr>
                <w:b/>
                <w:sz w:val="17"/>
              </w:rPr>
              <w:t>0,8545</w:t>
            </w:r>
          </w:p>
        </w:tc>
        <w:tc>
          <w:tcPr>
            <w:tcW w:type="dxa" w:w="1814"/>
            <w:shd w:val="clear" w:color="auto" w:fill="F2F7EC"/>
          </w:tcPr>
          <w:p>
            <w:pPr>
              <w:keepNext/>
              <w:spacing w:after="20" w:line="240" w:lineRule="auto"/>
              <w:jc w:val="center"/>
            </w:pPr>
            <w:r>
              <w:rPr>
                <w:b/>
                <w:sz w:val="17"/>
              </w:rPr>
              <w:t>72,5 ms (1 thread: 50,8)</w:t>
            </w:r>
          </w:p>
        </w:tc>
        <w:tc>
          <w:tcPr>
            <w:tcW w:type="dxa" w:w="1474"/>
            <w:shd w:val="clear" w:color="auto" w:fill="F2F7EC"/>
          </w:tcPr>
          <w:p>
            <w:pPr>
              <w:keepNext/>
              <w:spacing w:after="20" w:line="240" w:lineRule="auto"/>
              <w:jc w:val="center"/>
            </w:pPr>
            <w:r>
              <w:rPr>
                <w:b/>
                <w:sz w:val="17"/>
              </w:rPr>
              <w:t>65–74 ms</w:t>
            </w:r>
          </w:p>
        </w:tc>
      </w:tr>
      <w:tr>
        <w:trPr>
          <w:cantSplit/>
        </w:trPr>
        <w:tc>
          <w:tcPr>
            <w:tcW w:type="dxa" w:w="2494"/>
            <w:tcBorders>
              <w:bottom w:val="single" w:sz="10" w:color="000000" w:space="0"/>
            </w:tcBorders>
          </w:tcPr>
          <w:p>
            <w:pPr>
              <w:spacing w:after="20" w:line="240" w:lineRule="auto"/>
              <w:jc w:val="left"/>
            </w:pPr>
            <w:r>
              <w:rPr>
                <w:sz w:val="17"/>
              </w:rPr>
              <w:t>PyTorch GPU T4 (FP32 / AMP)</w:t>
            </w:r>
          </w:p>
        </w:tc>
        <w:tc>
          <w:tcPr>
            <w:tcW w:type="dxa" w:w="1020"/>
            <w:tcBorders>
              <w:bottom w:val="single" w:sz="10" w:color="000000" w:space="0"/>
            </w:tcBorders>
          </w:tcPr>
          <w:p>
            <w:pPr>
              <w:spacing w:after="20" w:line="240" w:lineRule="auto"/>
              <w:jc w:val="center"/>
            </w:pPr>
            <w:r>
              <w:rPr>
                <w:sz w:val="17"/>
              </w:rPr>
              <w:t>7,8 MB</w:t>
            </w:r>
          </w:p>
        </w:tc>
        <w:tc>
          <w:tcPr>
            <w:tcW w:type="dxa" w:w="907"/>
            <w:tcBorders>
              <w:bottom w:val="single" w:sz="10" w:color="000000" w:space="0"/>
            </w:tcBorders>
          </w:tcPr>
          <w:p>
            <w:pPr>
              <w:spacing w:after="20" w:line="240" w:lineRule="auto"/>
              <w:jc w:val="center"/>
            </w:pPr>
            <w:r>
              <w:rPr>
                <w:sz w:val="17"/>
              </w:rPr>
              <w:t>–</w:t>
            </w:r>
          </w:p>
        </w:tc>
        <w:tc>
          <w:tcPr>
            <w:tcW w:type="dxa" w:w="907"/>
            <w:tcBorders>
              <w:bottom w:val="single" w:sz="10" w:color="000000" w:space="0"/>
            </w:tcBorders>
          </w:tcPr>
          <w:p>
            <w:pPr>
              <w:spacing w:after="20" w:line="240" w:lineRule="auto"/>
              <w:jc w:val="center"/>
            </w:pPr>
            <w:r>
              <w:rPr>
                <w:sz w:val="17"/>
              </w:rPr>
              <w:t>–</w:t>
            </w:r>
          </w:p>
        </w:tc>
        <w:tc>
          <w:tcPr>
            <w:tcW w:type="dxa" w:w="1814"/>
            <w:tcBorders>
              <w:bottom w:val="single" w:sz="10" w:color="000000" w:space="0"/>
            </w:tcBorders>
          </w:tcPr>
          <w:p>
            <w:pPr>
              <w:spacing w:after="20" w:line="240" w:lineRule="auto"/>
              <w:jc w:val="center"/>
            </w:pPr>
            <w:r>
              <w:rPr>
                <w:sz w:val="17"/>
              </w:rPr>
              <w:t>2,78 / 2,69 ms</w:t>
            </w:r>
          </w:p>
        </w:tc>
        <w:tc>
          <w:tcPr>
            <w:tcW w:type="dxa" w:w="1474"/>
            <w:tcBorders>
              <w:bottom w:val="single" w:sz="10" w:color="000000" w:space="0"/>
            </w:tcBorders>
          </w:tcPr>
          <w:p>
            <w:pPr>
              <w:spacing w:after="20" w:line="240" w:lineRule="auto"/>
              <w:jc w:val="center"/>
            </w:pPr>
            <w:r>
              <w:rPr>
                <w:sz w:val="17"/>
              </w:rPr>
              <w:t>–</w:t>
            </w:r>
          </w:p>
        </w:tc>
      </w:tr>
    </w:tbl>
    <w:p>
      <w:pPr>
        <w:spacing w:after="160"/>
      </w:pPr>
      <w:r>
        <w:rPr>
          <w:i/>
          <w:sz w:val="17"/>
        </w:rPr>
        <w:t xml:space="preserve">onnxruntime 1.30 CPU (2 vCPU Colab), batch 1, 5 warm-up + 50 run, median. </w:t>
      </w:r>
      <w:r>
        <w:rPr>
          <w:i/>
          <w:sz w:val="17"/>
        </w:rPr>
        <w:t>Chrome di laptop uji, onnxruntime-web 1.30 WASM 4 thread di cayman-kelompok1.vercel.app, median 3 run setelah warm-up untuk 4 sampel; tanpa COOP/COEP (1 thread) ±280–300 ms. Latensi tidak termasuk pre/post-processing</w:t>
      </w:r>
    </w:p>
    <w:p>
      <w:pPr>
        <w:ind w:firstLine="425"/>
        <w:jc w:val="both"/>
      </w:pPr>
      <w:r>
        <w:t>Kuantisasi INT8 memperkecil model 3,9 kali dengan penurunan Dice uji hanya 0,0002, dan 99,6% piksel mask-nya identik dengan model PyTorch. Ukuran 2 MB berada jauh di bawah target panduan (20–30 MB). Uji di browser menghasilkan Dice yang sama dengan perhitungan Python pada 3 dari 4 sampel (selisih ≤ 0,0003), sedangkan satu sampel sulit berbeda 0,015. Selisih ini diduga berasal dari perbedaan kernel INT8 antara WASM dan x86. Pada CPU Colab, INT8 tidak secara konsisten lebih cepat daripada FP32, sehingga keuntungan utamanya adalah ukuran unduhan yang kecil.</w:t>
      </w:r>
    </w:p>
    <w:p>
      <w:pPr>
        <w:keepNext/>
        <w:spacing w:after="0"/>
        <w:jc w:val="center"/>
      </w:pPr>
      <w:r>
        <w:drawing>
          <wp:inline xmlns:a="http://schemas.openxmlformats.org/drawingml/2006/main" xmlns:pic="http://schemas.openxmlformats.org/drawingml/2006/picture">
            <wp:extent cx="5040000" cy="2648620"/>
            <wp:docPr id="6" name="Picture 6"/>
            <wp:cNvGraphicFramePr>
              <a:graphicFrameLocks noChangeAspect="1"/>
            </wp:cNvGraphicFramePr>
            <a:graphic>
              <a:graphicData uri="http://schemas.openxmlformats.org/drawingml/2006/picture">
                <pic:pic>
                  <pic:nvPicPr>
                    <pic:cNvPr id="0" name="web_live.jpg"/>
                    <pic:cNvPicPr/>
                  </pic:nvPicPr>
                  <pic:blipFill>
                    <a:blip r:embed="rId16"/>
                    <a:stretch>
                      <a:fillRect/>
                    </a:stretch>
                  </pic:blipFill>
                  <pic:spPr>
                    <a:xfrm>
                      <a:off x="0" y="0"/>
                      <a:ext cx="5040000" cy="2648620"/>
                    </a:xfrm>
                    <a:prstGeom prst="rect"/>
                  </pic:spPr>
                </pic:pic>
              </a:graphicData>
            </a:graphic>
          </wp:inline>
        </w:drawing>
      </w:r>
    </w:p>
    <w:p>
      <w:pPr>
        <w:spacing w:after="160" w:before="60"/>
        <w:jc w:val="center"/>
      </w:pPr>
      <w:r>
        <w:rPr>
          <w:b/>
          <w:sz w:val="19"/>
        </w:rPr>
        <w:t>Gambar 5.</w:t>
      </w:r>
      <w:r>
        <w:rPr>
          <w:sz w:val="19"/>
        </w:rPr>
        <w:t xml:space="preserve"> Aplikasi web CAYMAN (cayman-kelompok1.vercel.app): inferensi di browser dengan tombol Try Sample Data.</w:t>
      </w:r>
    </w:p>
    <w:p>
      <w:pPr>
        <w:pStyle w:val="Heading2"/>
      </w:pPr>
      <w:r>
        <w:t>3.5 Visualisasi dan analisis error</w:t>
      </w:r>
    </w:p>
    <w:p>
      <w:pPr>
        <w:keepNext/>
        <w:spacing w:after="0"/>
        <w:jc w:val="center"/>
      </w:pPr>
      <w:r>
        <w:drawing>
          <wp:inline xmlns:a="http://schemas.openxmlformats.org/drawingml/2006/main" xmlns:pic="http://schemas.openxmlformats.org/drawingml/2006/picture">
            <wp:extent cx="4140000" cy="4140000"/>
            <wp:docPr id="7" name="Picture 7"/>
            <wp:cNvGraphicFramePr>
              <a:graphicFrameLocks noChangeAspect="1"/>
            </wp:cNvGraphicFramePr>
            <a:graphic>
              <a:graphicData uri="http://schemas.openxmlformats.org/drawingml/2006/picture">
                <pic:pic>
                  <pic:nvPicPr>
                    <pic:cNvPr id="0" name="pred_examples.png"/>
                    <pic:cNvPicPr/>
                  </pic:nvPicPr>
                  <pic:blipFill>
                    <a:blip r:embed="rId17"/>
                    <a:stretch>
                      <a:fillRect/>
                    </a:stretch>
                  </pic:blipFill>
                  <pic:spPr>
                    <a:xfrm>
                      <a:off x="0" y="0"/>
                      <a:ext cx="4140000" cy="4140000"/>
                    </a:xfrm>
                    <a:prstGeom prst="rect"/>
                  </pic:spPr>
                </pic:pic>
              </a:graphicData>
            </a:graphic>
          </wp:inline>
        </w:drawing>
      </w:r>
    </w:p>
    <w:p>
      <w:pPr>
        <w:spacing w:after="160" w:before="60"/>
        <w:jc w:val="center"/>
      </w:pPr>
      <w:r>
        <w:rPr>
          <w:b/>
          <w:sz w:val="19"/>
        </w:rPr>
        <w:t>Gambar 6.</w:t>
      </w:r>
      <w:r>
        <w:rPr>
          <w:sz w:val="19"/>
        </w:rPr>
        <w:t xml:space="preserve"> Contoh prediksi uji: kasus terburuk, median, terbaik, dan GT kosong (kolom terakhir: TP hijau, FP merah, FN biru).</w:t>
      </w:r>
    </w:p>
    <w:p>
      <w:pPr>
        <w:ind w:firstLine="425"/>
        <w:jc w:val="both"/>
      </w:pPr>
      <w:r>
        <w:t>Dice per citra (805 citra uji yang berisi minyak) memiliki median 0,797, persentil-10 0,517, dan persentil-90 0,965; sebanyak 70 citra memiliki Dice &lt; 0,5 (Gambar 6 dan 7). Pola kesalahan utama adalah:</w:t>
      </w:r>
    </w:p>
    <w:p>
      <w:pPr>
        <w:pStyle w:val="ListBullet"/>
        <w:spacing w:after="40"/>
        <w:ind w:left="510"/>
        <w:jc w:val="both"/>
      </w:pPr>
      <w:r>
        <w:rPr>
          <w:b/>
        </w:rPr>
        <w:t>Tumpahan sangat kecil.</w:t>
      </w:r>
      <w:r>
        <w:t xml:space="preserve"> Area GT hanya beberapa piksel sehingga Dice per citra tidak stabil. Model juga menandai garis gelap tipis yang tidak dilabeli, kemungkinan </w:t>
      </w:r>
      <w:r>
        <w:rPr>
          <w:i/>
        </w:rPr>
        <w:t>look-alike</w:t>
      </w:r>
      <w:r>
        <w:t xml:space="preserve"> atau label yang terlewat.</w:t>
      </w:r>
    </w:p>
    <w:p>
      <w:pPr>
        <w:pStyle w:val="ListBullet"/>
        <w:spacing w:after="40"/>
        <w:ind w:left="510"/>
        <w:jc w:val="both"/>
      </w:pPr>
      <w:r>
        <w:rPr>
          <w:b/>
        </w:rPr>
        <w:t>Batas tumpahan.</w:t>
      </w:r>
      <w:r>
        <w:t xml:space="preserve"> Label berupa poligon kasar, sedangkan prediksi lebih halus dan sedikit melebar; FP terkumpul di tepi slick.</w:t>
      </w:r>
    </w:p>
    <w:p>
      <w:pPr>
        <w:pStyle w:val="ListBullet"/>
        <w:spacing w:after="40"/>
        <w:ind w:left="510"/>
        <w:jc w:val="both"/>
      </w:pPr>
      <w:r>
        <w:rPr>
          <w:b/>
        </w:rPr>
        <w:t>Citra tanpa minyak</w:t>
      </w:r>
      <w:r>
        <w:t xml:space="preserve"> (34 citra): rata-rata hanya 0,25% piksel salah ditandai, umumnya berupa bercak gelap kecil. Pada 20 citra yang seluruhnya minyak, Dice ≥ 0,92.</w:t>
      </w:r>
    </w:p>
    <w:p>
      <w:pPr>
        <w:keepNext/>
        <w:spacing w:after="0"/>
        <w:jc w:val="center"/>
      </w:pPr>
      <w:r>
        <w:drawing>
          <wp:inline xmlns:a="http://schemas.openxmlformats.org/drawingml/2006/main" xmlns:pic="http://schemas.openxmlformats.org/drawingml/2006/picture">
            <wp:extent cx="5220000" cy="1670400"/>
            <wp:docPr id="8" name="Picture 8"/>
            <wp:cNvGraphicFramePr>
              <a:graphicFrameLocks noChangeAspect="1"/>
            </wp:cNvGraphicFramePr>
            <a:graphic>
              <a:graphicData uri="http://schemas.openxmlformats.org/drawingml/2006/picture">
                <pic:pic>
                  <pic:nvPicPr>
                    <pic:cNvPr id="0" name="test_dice_distribution.png"/>
                    <pic:cNvPicPr/>
                  </pic:nvPicPr>
                  <pic:blipFill>
                    <a:blip r:embed="rId18"/>
                    <a:stretch>
                      <a:fillRect/>
                    </a:stretch>
                  </pic:blipFill>
                  <pic:spPr>
                    <a:xfrm>
                      <a:off x="0" y="0"/>
                      <a:ext cx="5220000" cy="1670400"/>
                    </a:xfrm>
                    <a:prstGeom prst="rect"/>
                  </pic:spPr>
                </pic:pic>
              </a:graphicData>
            </a:graphic>
          </wp:inline>
        </w:drawing>
      </w:r>
    </w:p>
    <w:p>
      <w:pPr>
        <w:spacing w:after="160" w:before="60"/>
        <w:jc w:val="center"/>
      </w:pPr>
      <w:r>
        <w:rPr>
          <w:b/>
          <w:sz w:val="19"/>
        </w:rPr>
        <w:t>Gambar 7.</w:t>
      </w:r>
      <w:r>
        <w:rPr>
          <w:sz w:val="19"/>
        </w:rPr>
        <w:t xml:space="preserve"> Distribusi Dice per citra (kiri) dan hubungannya dengan luas tumpahan GT (kanan).</w:t>
      </w:r>
    </w:p>
    <w:p>
      <w:pPr>
        <w:ind w:firstLine="425"/>
        <w:jc w:val="both"/>
      </w:pPr>
      <w:r>
        <w:t>Pada data PALSAR yang tidak pernah dilihat model, Dice turun ke 0,777 (Tabel 2) tetapi tetap di atas baseline (0,641). Hal ini menunjukkan bahwa model perlu dilatih ulang atau di-</w:t>
      </w:r>
      <w:r>
        <w:rPr>
          <w:i/>
        </w:rPr>
        <w:t>fine-tune</w:t>
      </w:r>
      <w:r>
        <w:t xml:space="preserve"> sebelum dipakai pada sensor atau wilayah lain.</w:t>
      </w:r>
    </w:p>
    <w:p>
      <w:pPr>
        <w:pStyle w:val="Heading1"/>
      </w:pPr>
      <w:r>
        <w:t>4. Analisis Dampak Operasional dan Estimasi Bisnis</w:t>
      </w:r>
    </w:p>
    <w:p>
      <w:pPr>
        <w:ind w:firstLine="425"/>
        <w:jc w:val="both"/>
      </w:pPr>
      <w:r>
        <w:t xml:space="preserve">Solusi ini menyasar </w:t>
      </w:r>
      <w:r>
        <w:rPr>
          <w:b/>
        </w:rPr>
        <w:t>Pilar 1 HSSE</w:t>
      </w:r>
      <w:r>
        <w:t xml:space="preserve"> (perlindungan lingkungan laut) dan secara tidak langsung </w:t>
      </w:r>
      <w:r>
        <w:rPr>
          <w:b/>
        </w:rPr>
        <w:t>Pilar 3</w:t>
      </w:r>
      <w:r>
        <w:t xml:space="preserve"> (efisiensi biaya). Skenario penggunaannya adalah </w:t>
      </w:r>
      <w:r>
        <w:rPr>
          <w:i/>
        </w:rPr>
        <w:t>screening</w:t>
      </w:r>
      <w:r>
        <w:t xml:space="preserve"> otomatis citra Sentinel-1 di sekitar anjungan lepas pantai, jalur pipa bawah laut, dan terminal. Keluarannya berupa peta area tumpahan beserta estimasi luas dalam km² (luas = jumlah piksel minyak × resolusi²) sebagai dasar prioritas verifikasi dan pengerahan tim respons.</w:t>
      </w:r>
    </w:p>
    <w:p>
      <w:pPr>
        <w:pStyle w:val="ListBullet"/>
        <w:spacing w:after="40"/>
        <w:ind w:left="510"/>
        <w:jc w:val="both"/>
      </w:pPr>
      <w:r>
        <w:rPr>
          <w:b/>
        </w:rPr>
        <w:t>Kecepatan screening.</w:t>
      </w:r>
      <w:r>
        <w:t xml:space="preserve"> Latensi terukur 65–74 ms per patch 256×256 di browser. Sebagai estimasi, area 100 km × 100 km pada resolusi 10 m (10.000 × 10.000 piksel ≈ 1.526 patch) dapat dipindai sekitar 1,9 menit di laptop uji. Angka ini merupakan ekstrapolasi dari pengukuran, belum termasuk pengunduhan dan pemrosesan awal citra.</w:t>
      </w:r>
    </w:p>
    <w:p>
      <w:pPr>
        <w:pStyle w:val="ListBullet"/>
        <w:spacing w:after="40"/>
        <w:ind w:left="510"/>
        <w:jc w:val="both"/>
      </w:pPr>
      <w:r>
        <w:rPr>
          <w:b/>
        </w:rPr>
        <w:t>Keandalan untuk peringatan dini.</w:t>
      </w:r>
      <w:r>
        <w:t xml:space="preserve"> Recall 0,91 berarti sekitar 9 dari 10 piksel minyak terdeteksi. Precision 0,81 menunjukkan bahwa sekitar 19% area yang ditandai perlu dikonfirmasi analis. Karena itu model diposisikan sebagai alat bantu (</w:t>
      </w:r>
      <w:r>
        <w:rPr>
          <w:i/>
        </w:rPr>
        <w:t>human-in-the-loop</w:t>
      </w:r>
      <w:r>
        <w:t>), bukan pengambil keputusan tunggal.</w:t>
      </w:r>
    </w:p>
    <w:p>
      <w:pPr>
        <w:pStyle w:val="ListBullet"/>
        <w:spacing w:after="40"/>
        <w:ind w:left="510"/>
        <w:jc w:val="both"/>
      </w:pPr>
      <w:r>
        <w:rPr>
          <w:b/>
        </w:rPr>
        <w:t>Biaya infrastruktur.</w:t>
      </w:r>
      <w:r>
        <w:t xml:space="preserve"> Model 2 MB dijalankan di browser pengguna dan halaman statis di-</w:t>
      </w:r>
      <w:r>
        <w:rPr>
          <w:i/>
        </w:rPr>
        <w:t>host</w:t>
      </w:r>
      <w:r>
        <w:t xml:space="preserve"> di Vercel paket Hobby, sehingga tidak memerlukan server GPU untuk inferensi. Data Sentinel-1 tersedia terbuka melalui program Copernicus.</w:t>
      </w:r>
    </w:p>
    <w:p>
      <w:pPr>
        <w:pStyle w:val="ListBullet"/>
        <w:spacing w:after="40"/>
        <w:ind w:left="510"/>
        <w:jc w:val="both"/>
      </w:pPr>
      <w:r>
        <w:rPr>
          <w:b/>
        </w:rPr>
        <w:t>Pelaporan.</w:t>
      </w:r>
      <w:r>
        <w:t xml:space="preserve"> Peta dan luas tumpahan dapat dilampirkan pada laporan insiden HSSE dan pelaporan ke regulator.</w:t>
      </w:r>
    </w:p>
    <w:p>
      <w:pPr>
        <w:ind w:firstLine="425"/>
        <w:jc w:val="both"/>
      </w:pPr>
      <w:r>
        <w:rPr>
          <w:b/>
        </w:rPr>
        <w:t>Estimasi finansial belum dihitung</w:t>
      </w:r>
      <w:r>
        <w:t xml:space="preserve"> karena memerlukan data internal perusahaan. Kerangka perhitungan yang disarankan: penghematan per periode = (waktu interpretasi manual per scene − waktu screening + verifikasi) × biaya analis per jam × jumlah scene, ditambah biaya server GPU yang dihindari. Parameter tersebut perlu diisi dari data operasional sebelum angka penghematan dapat diklaim.</w:t>
      </w:r>
    </w:p>
    <w:p>
      <w:pPr>
        <w:ind w:firstLine="425"/>
        <w:jc w:val="both"/>
      </w:pPr>
      <w:r>
        <w:rPr>
          <w:b/>
        </w:rPr>
        <w:t>Risiko dan mitigasi:</w:t>
      </w:r>
      <w:r>
        <w:t xml:space="preserve"> (1) </w:t>
      </w:r>
      <w:r>
        <w:rPr>
          <w:i/>
        </w:rPr>
        <w:t>look-alike</w:t>
      </w:r>
      <w:r>
        <w:t xml:space="preserve"> ditangani dengan verifikasi analis dan penambahan kelas </w:t>
      </w:r>
      <w:r>
        <w:rPr>
          <w:i/>
        </w:rPr>
        <w:t>look-alike</w:t>
      </w:r>
      <w:r>
        <w:t xml:space="preserve"> ke data latih; (2) pergeseran domain (misalnya perairan Indonesia) ditangani dengan validasi pilot dan </w:t>
      </w:r>
      <w:r>
        <w:rPr>
          <w:i/>
        </w:rPr>
        <w:t>fine-tuning</w:t>
      </w:r>
      <w:r>
        <w:t xml:space="preserve"> menggunakan citra lokal; (3) satu citra hanya memotret kondisi sesaat, sehingga pemantauan penyebaran memerlukan citra berkala dan dapat digabungkan dengan model dispersi seperti pada sistem operasional Petalas dkk. [10].</w:t>
      </w:r>
    </w:p>
    <w:p>
      <w:pPr>
        <w:pStyle w:val="Heading1"/>
      </w:pPr>
      <w:r>
        <w:t>5. Kesimpulan dan Saran</w:t>
      </w:r>
    </w:p>
    <w:p>
      <w:pPr>
        <w:ind w:firstLine="425"/>
        <w:jc w:val="both"/>
      </w:pPr>
      <w:r>
        <w:t xml:space="preserve">Proyek ini menghasilkan </w:t>
      </w:r>
      <w:r>
        <w:rPr>
          <w:i/>
        </w:rPr>
        <w:t>pipeline</w:t>
      </w:r>
      <w:r>
        <w:t xml:space="preserve"> segmentasi tumpahan minyak dari citra Sentinel-1 SAR yang telah diaudit, dapat direproduksi, dan berjalan di browser. U-Net Lite (1,94 juta parameter) mencapai Dice 0,855, IoU 0,746, dan recall 0,910 pada 839 citra uji, jauh di atas baseline klasik, serta hanya 2,4 poin F1 di bawah CBD-Net pada dataset yang sama. Kuantisasi INT8 menghasilkan model 2,01 MB tanpa penurunan akurasi yang berarti, dan aplikasi web publik di cayman-kelompok1.vercel.app menjalankan inferensi di sisi klien dalam 65–74 ms per patch.</w:t>
      </w:r>
    </w:p>
    <w:p>
      <w:pPr>
        <w:ind w:firstLine="425"/>
        <w:jc w:val="both"/>
      </w:pPr>
      <w:r>
        <w:t xml:space="preserve">Saran pengembangan: (1) menggunakan </w:t>
      </w:r>
      <w:r>
        <w:rPr>
          <w:i/>
        </w:rPr>
        <w:t>encoder</w:t>
      </w:r>
      <w:r>
        <w:t xml:space="preserve"> ringan pralatih (misalnya MobileNet) serta modul </w:t>
      </w:r>
      <w:r>
        <w:rPr>
          <w:i/>
        </w:rPr>
        <w:t>attention</w:t>
      </w:r>
      <w:r>
        <w:t xml:space="preserve">/supervisi tepi untuk menutup selisih dengan CBD-Net; (2) menambahkan kelas </w:t>
      </w:r>
      <w:r>
        <w:rPr>
          <w:i/>
        </w:rPr>
        <w:t>look-alike</w:t>
      </w:r>
      <w:r>
        <w:t xml:space="preserve"> dan data multi-sensor; (3) memproses citra Sentinel-1 berukuran penuh dengan </w:t>
      </w:r>
      <w:r>
        <w:rPr>
          <w:i/>
        </w:rPr>
        <w:t>tiling</w:t>
      </w:r>
      <w:r>
        <w:t xml:space="preserve"> dan georeferensi; (4) menggunakan citra berkala untuk memantau penyebaran; (5) melakukan validasi pilot di perairan operasi Indonesia bersama analis HSSE; serta (6) menguji akselerasi WebGPU.</w:t>
      </w:r>
    </w:p>
    <w:p>
      <w:pPr>
        <w:pStyle w:val="Heading1"/>
      </w:pPr>
      <w:r>
        <w:t>Daftar Pustaka</w:t>
      </w:r>
    </w:p>
    <w:p>
      <w:pPr>
        <w:spacing w:after="40"/>
        <w:ind w:left="510" w:hanging="510"/>
        <w:jc w:val="both"/>
      </w:pPr>
      <w:r>
        <w:rPr>
          <w:sz w:val="19"/>
        </w:rPr>
        <w:t>[1]</w:t>
        <w:tab/>
      </w:r>
      <w:r>
        <w:rPr>
          <w:sz w:val="19"/>
        </w:rPr>
        <w:t xml:space="preserve">M. Fingas and C. Brown, "A review of oil spill remote sensing," </w:t>
      </w:r>
      <w:r>
        <w:rPr>
          <w:i/>
          <w:sz w:val="19"/>
        </w:rPr>
        <w:t>Sensors</w:t>
      </w:r>
      <w:r>
        <w:rPr>
          <w:sz w:val="19"/>
        </w:rPr>
        <w:t>, vol. 18, no. 1, p. 91, 2018, doi: 10.3390/s18010091.</w:t>
      </w:r>
    </w:p>
    <w:p>
      <w:pPr>
        <w:spacing w:after="40"/>
        <w:ind w:left="510" w:hanging="510"/>
        <w:jc w:val="both"/>
      </w:pPr>
      <w:r>
        <w:rPr>
          <w:sz w:val="19"/>
        </w:rPr>
        <w:t>[2]</w:t>
        <w:tab/>
      </w:r>
      <w:r>
        <w:rPr>
          <w:sz w:val="19"/>
        </w:rPr>
        <w:t xml:space="preserve">R. Al-Ruzouq </w:t>
      </w:r>
      <w:r>
        <w:rPr>
          <w:i/>
          <w:sz w:val="19"/>
        </w:rPr>
        <w:t>et al.</w:t>
      </w:r>
      <w:r>
        <w:rPr>
          <w:sz w:val="19"/>
        </w:rPr>
        <w:t xml:space="preserve">, "Sensors, features, and machine learning for oil spill detection and monitoring: A review," </w:t>
      </w:r>
      <w:r>
        <w:rPr>
          <w:i/>
          <w:sz w:val="19"/>
        </w:rPr>
        <w:t>Remote Sensing</w:t>
      </w:r>
      <w:r>
        <w:rPr>
          <w:sz w:val="19"/>
        </w:rPr>
        <w:t>, vol. 12, no. 20, p. 3338, 2020, doi: 10.3390/rs12203338.</w:t>
      </w:r>
    </w:p>
    <w:p>
      <w:pPr>
        <w:spacing w:after="40"/>
        <w:ind w:left="510" w:hanging="510"/>
        <w:jc w:val="both"/>
      </w:pPr>
      <w:r>
        <w:rPr>
          <w:sz w:val="19"/>
        </w:rPr>
        <w:t>[3]</w:t>
        <w:tab/>
      </w:r>
      <w:r>
        <w:rPr>
          <w:sz w:val="19"/>
        </w:rPr>
        <w:t xml:space="preserve">Q. Zhu </w:t>
      </w:r>
      <w:r>
        <w:rPr>
          <w:i/>
          <w:sz w:val="19"/>
        </w:rPr>
        <w:t>et al.</w:t>
      </w:r>
      <w:r>
        <w:rPr>
          <w:sz w:val="19"/>
        </w:rPr>
        <w:t xml:space="preserve">, "Oil spill contextual and boundary-supervised detection network based on marine SAR images," </w:t>
      </w:r>
      <w:r>
        <w:rPr>
          <w:i/>
          <w:sz w:val="19"/>
        </w:rPr>
        <w:t>IEEE Trans. Geosci. Remote Sens.</w:t>
      </w:r>
      <w:r>
        <w:rPr>
          <w:sz w:val="19"/>
        </w:rPr>
        <w:t>, vol. 60, pp. 1–10, 2022, doi: 10.1109/TGRS.2021.3115492.</w:t>
      </w:r>
    </w:p>
    <w:p>
      <w:pPr>
        <w:spacing w:after="40"/>
        <w:ind w:left="510" w:hanging="510"/>
        <w:jc w:val="both"/>
      </w:pPr>
      <w:r>
        <w:rPr>
          <w:sz w:val="19"/>
        </w:rPr>
        <w:t>[4]</w:t>
        <w:tab/>
      </w:r>
      <w:r>
        <w:rPr>
          <w:sz w:val="19"/>
        </w:rPr>
        <w:t xml:space="preserve">M. Krestenitis </w:t>
      </w:r>
      <w:r>
        <w:rPr>
          <w:i/>
          <w:sz w:val="19"/>
        </w:rPr>
        <w:t>et al.</w:t>
      </w:r>
      <w:r>
        <w:rPr>
          <w:sz w:val="19"/>
        </w:rPr>
        <w:t xml:space="preserve">, "Oil spill identification from satellite images using deep neural networks," </w:t>
      </w:r>
      <w:r>
        <w:rPr>
          <w:i/>
          <w:sz w:val="19"/>
        </w:rPr>
        <w:t>Remote Sensing</w:t>
      </w:r>
      <w:r>
        <w:rPr>
          <w:sz w:val="19"/>
        </w:rPr>
        <w:t>, vol. 11, no. 15, p. 1762, 2019, doi: 10.3390/rs11151762.</w:t>
      </w:r>
    </w:p>
    <w:p>
      <w:pPr>
        <w:spacing w:after="40"/>
        <w:ind w:left="510" w:hanging="510"/>
        <w:jc w:val="both"/>
      </w:pPr>
      <w:r>
        <w:rPr>
          <w:sz w:val="19"/>
        </w:rPr>
        <w:t>[5]</w:t>
        <w:tab/>
      </w:r>
      <w:r>
        <w:rPr>
          <w:sz w:val="19"/>
        </w:rPr>
        <w:t xml:space="preserve">M. Shaban </w:t>
      </w:r>
      <w:r>
        <w:rPr>
          <w:i/>
          <w:sz w:val="19"/>
        </w:rPr>
        <w:t>et al.</w:t>
      </w:r>
      <w:r>
        <w:rPr>
          <w:sz w:val="19"/>
        </w:rPr>
        <w:t xml:space="preserve">, "A deep-learning framework for the detection of oil spills from SAR data," </w:t>
      </w:r>
      <w:r>
        <w:rPr>
          <w:i/>
          <w:sz w:val="19"/>
        </w:rPr>
        <w:t>Sensors</w:t>
      </w:r>
      <w:r>
        <w:rPr>
          <w:sz w:val="19"/>
        </w:rPr>
        <w:t>, vol. 21, no. 7, p. 2351, 2021, doi: 10.3390/s21072351.</w:t>
      </w:r>
    </w:p>
    <w:p>
      <w:pPr>
        <w:spacing w:after="40"/>
        <w:ind w:left="510" w:hanging="510"/>
        <w:jc w:val="both"/>
      </w:pPr>
      <w:r>
        <w:rPr>
          <w:sz w:val="19"/>
        </w:rPr>
        <w:t>[6]</w:t>
        <w:tab/>
      </w:r>
      <w:r>
        <w:rPr>
          <w:sz w:val="19"/>
        </w:rPr>
        <w:t xml:space="preserve">R. Hasimoto-Beltran, M. Canul-Ku, G. M. Díaz Méndez, F. J. Ocampo-Torres, and B. Esquivel-Trava, "Ocean oil spill detection from SAR images based on multi-channel deep learning semantic segmentation," </w:t>
      </w:r>
      <w:r>
        <w:rPr>
          <w:i/>
          <w:sz w:val="19"/>
        </w:rPr>
        <w:t>Marine Pollution Bulletin</w:t>
      </w:r>
      <w:r>
        <w:rPr>
          <w:sz w:val="19"/>
        </w:rPr>
        <w:t>, vol. 188, p. 114651, 2023, doi: 10.1016/j.marpolbul.2023.114651.</w:t>
      </w:r>
    </w:p>
    <w:p>
      <w:pPr>
        <w:spacing w:after="40"/>
        <w:ind w:left="510" w:hanging="510"/>
        <w:jc w:val="both"/>
      </w:pPr>
      <w:r>
        <w:rPr>
          <w:sz w:val="19"/>
        </w:rPr>
        <w:t>[7]</w:t>
        <w:tab/>
      </w:r>
      <w:r>
        <w:rPr>
          <w:sz w:val="19"/>
        </w:rPr>
        <w:t xml:space="preserve">C. Li, D. Kim, S. Park, J. Kim, and J. Song, "A self-evolving deep learning algorithm for automatic oil spill detection in Sentinel-1 SAR images," </w:t>
      </w:r>
      <w:r>
        <w:rPr>
          <w:i/>
          <w:sz w:val="19"/>
        </w:rPr>
        <w:t>Remote Sensing of Environment</w:t>
      </w:r>
      <w:r>
        <w:rPr>
          <w:sz w:val="19"/>
        </w:rPr>
        <w:t>, vol. 299, p. 113872, 2023, doi: 10.1016/j.rse.2023.113872.</w:t>
      </w:r>
    </w:p>
    <w:p>
      <w:pPr>
        <w:spacing w:after="40"/>
        <w:ind w:left="510" w:hanging="510"/>
        <w:jc w:val="both"/>
      </w:pPr>
      <w:r>
        <w:rPr>
          <w:sz w:val="19"/>
        </w:rPr>
        <w:t>[8]</w:t>
        <w:tab/>
      </w:r>
      <w:r>
        <w:rPr>
          <w:sz w:val="19"/>
        </w:rPr>
        <w:t xml:space="preserve">L. Liao, Q. Zhao, and W. Song, "Monitoring of oil spill risk in coastal areas based on polarimetric SAR satellite images and deep learning theory," </w:t>
      </w:r>
      <w:r>
        <w:rPr>
          <w:i/>
          <w:sz w:val="19"/>
        </w:rPr>
        <w:t>Sustainability</w:t>
      </w:r>
      <w:r>
        <w:rPr>
          <w:sz w:val="19"/>
        </w:rPr>
        <w:t>, vol. 15, no. 19, p. 14504, 2023, doi: 10.3390/su151914504.</w:t>
      </w:r>
    </w:p>
    <w:p>
      <w:pPr>
        <w:spacing w:after="40"/>
        <w:ind w:left="510" w:hanging="510"/>
        <w:jc w:val="both"/>
      </w:pPr>
      <w:r>
        <w:rPr>
          <w:sz w:val="19"/>
        </w:rPr>
        <w:t>[9]</w:t>
        <w:tab/>
      </w:r>
      <w:r>
        <w:rPr>
          <w:sz w:val="19"/>
        </w:rPr>
        <w:t xml:space="preserve">K. Das, P. Janardhan, and M. R. Singh, "Oil spill detection in SAR images: A U-Net semantic segmentation framework with multiple backbones," in </w:t>
      </w:r>
      <w:r>
        <w:rPr>
          <w:i/>
          <w:sz w:val="19"/>
        </w:rPr>
        <w:t>Water and Environment, Volume 2</w:t>
      </w:r>
      <w:r>
        <w:rPr>
          <w:sz w:val="19"/>
        </w:rPr>
        <w:t>, Lecture Notes in Civil Engineering, vol. 414. Singapore: Springer, 2024, pp. 65–77, doi: 10.1007/978-981-97-7502-6_6.</w:t>
      </w:r>
    </w:p>
    <w:p>
      <w:pPr>
        <w:spacing w:after="40"/>
        <w:ind w:left="510" w:hanging="510"/>
        <w:jc w:val="both"/>
      </w:pPr>
      <w:r>
        <w:rPr>
          <w:sz w:val="19"/>
        </w:rPr>
        <w:t>[10]</w:t>
        <w:tab/>
      </w:r>
      <w:r>
        <w:rPr>
          <w:sz w:val="19"/>
        </w:rPr>
        <w:t xml:space="preserve">S. Petalas, T. Psomouli, N. Kokkos, and G. Sylaios, "Operational oil-spill detection in the framework of digital twin using SAR imagery and deep learning," in </w:t>
      </w:r>
      <w:r>
        <w:rPr>
          <w:i/>
          <w:sz w:val="19"/>
        </w:rPr>
        <w:t>Proc. OCEANS 2025 Brest</w:t>
      </w:r>
      <w:r>
        <w:rPr>
          <w:sz w:val="19"/>
        </w:rPr>
        <w:t>, 2025, pp. 1–6, doi: 10.1109/OCEANS58557.2025.11104698.</w:t>
      </w:r>
    </w:p>
    <w:p>
      <w:pPr>
        <w:spacing w:after="40"/>
        <w:ind w:left="510" w:hanging="510"/>
        <w:jc w:val="both"/>
      </w:pPr>
      <w:r>
        <w:rPr>
          <w:sz w:val="19"/>
        </w:rPr>
        <w:t>[11]</w:t>
        <w:tab/>
      </w:r>
      <w:r>
        <w:rPr>
          <w:sz w:val="19"/>
        </w:rPr>
        <w:t xml:space="preserve">O. Ronneberger, P. Fischer, and T. Brox, "U-Net: Convolutional networks for biomedical image segmentation," in </w:t>
      </w:r>
      <w:r>
        <w:rPr>
          <w:i/>
          <w:sz w:val="19"/>
        </w:rPr>
        <w:t>Proc. MICCAI 2015</w:t>
      </w:r>
      <w:r>
        <w:rPr>
          <w:sz w:val="19"/>
        </w:rPr>
        <w:t>, LNCS, vol. 9351. Cham: Springer, 2015, pp. 234–241, doi: 10.1007/978-3-319-24574-4_28.</w:t>
      </w:r>
    </w:p>
    <w:p>
      <w:pPr>
        <w:spacing w:after="40"/>
        <w:ind w:left="510" w:hanging="510"/>
        <w:jc w:val="both"/>
      </w:pPr>
      <w:r>
        <w:rPr>
          <w:sz w:val="19"/>
        </w:rPr>
        <w:t>[12]</w:t>
        <w:tab/>
      </w:r>
      <w:r>
        <w:rPr>
          <w:sz w:val="19"/>
        </w:rPr>
        <w:t xml:space="preserve">B. Jacob </w:t>
      </w:r>
      <w:r>
        <w:rPr>
          <w:i/>
          <w:sz w:val="19"/>
        </w:rPr>
        <w:t>et al.</w:t>
      </w:r>
      <w:r>
        <w:rPr>
          <w:sz w:val="19"/>
        </w:rPr>
        <w:t xml:space="preserve">, "Quantization and training of neural networks for efficient integer-arithmetic-only inference," in </w:t>
      </w:r>
      <w:r>
        <w:rPr>
          <w:i/>
          <w:sz w:val="19"/>
        </w:rPr>
        <w:t>Proc. IEEE/CVF CVPR</w:t>
      </w:r>
      <w:r>
        <w:rPr>
          <w:sz w:val="19"/>
        </w:rPr>
        <w:t>, 2018, pp. 2704–2713, doi: 10.1109/CVPR.2018.00286.</w:t>
      </w:r>
    </w:p>
    <w:p>
      <w:pPr>
        <w:spacing w:after="40"/>
        <w:ind w:left="510" w:hanging="510"/>
        <w:jc w:val="both"/>
      </w:pPr>
      <w:r>
        <w:rPr>
          <w:sz w:val="19"/>
        </w:rPr>
        <w:t>[13]</w:t>
        <w:tab/>
      </w:r>
      <w:r>
        <w:rPr>
          <w:sz w:val="19"/>
        </w:rPr>
        <w:t>BitsandLayers, "Deep-SAR SOS Oil Spill Detection Dataset," Kaggle, v1, 2026. [Online]. Available: https://www.kaggle.com/datasets/bitsandlayers/sar-oil-spill-segmentation-dataset-sos (diakses 24 Sep. 2026). Lisensi CC BY 4.0.</w:t>
      </w:r>
    </w:p>
    <w:p>
      <w:pPr>
        <w:spacing w:after="40"/>
        <w:ind w:left="510" w:hanging="510"/>
        <w:jc w:val="both"/>
      </w:pPr>
      <w:r>
        <w:rPr>
          <w:sz w:val="19"/>
        </w:rPr>
        <w:t>[14]</w:t>
        <w:tab/>
      </w:r>
      <w:r>
        <w:rPr>
          <w:sz w:val="19"/>
        </w:rPr>
        <w:t>ONNX Runtime developers, "ONNX Runtime (onnxruntime-web) v1.30.0," 2026. [Online]. Available: https://onnxruntime.ai</w:t>
      </w:r>
    </w:p>
    <w:p>
      <w:r>
        <w:br w:type="page"/>
      </w:r>
    </w:p>
    <w:p>
      <w:pPr>
        <w:pStyle w:val="Heading1"/>
      </w:pPr>
      <w:r>
        <w:t>Lampiran A. Contribution Statement</w:t>
      </w:r>
    </w:p>
    <w:p>
      <w:pPr>
        <w:jc w:val="both"/>
      </w:pPr>
      <w:r>
        <w:t>Tabel A1 merinci peran, tanggung jawab, dan persentase kontribusi tiap anggota (total 100%). Ketua mendapat porsi lebih besar karena merangkap koordinasi tim dan pemodelan inti.</w:t>
      </w:r>
    </w:p>
    <w:p>
      <w:pPr>
        <w:keepNext/>
        <w:spacing w:after="60" w:before="120"/>
        <w:jc w:val="center"/>
      </w:pPr>
      <w:r>
        <w:rPr>
          <w:b/>
          <w:sz w:val="19"/>
        </w:rPr>
        <w:t>Tabel A1.</w:t>
      </w:r>
      <w:r>
        <w:rPr>
          <w:sz w:val="19"/>
        </w:rPr>
        <w:t xml:space="preserve"> Pembagian peran dan kontribusi anggota Kelompok 1 CAYMAN.</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494"/>
            <w:shd w:val="clear" w:color="auto" w:fill="E7EEF7"/>
            <w:tcBorders>
              <w:top w:val="single" w:sz="10" w:color="000000" w:space="0"/>
              <w:bottom w:val="single" w:sz="6" w:color="000000" w:space="0"/>
            </w:tcBorders>
          </w:tcPr>
          <w:p>
            <w:pPr>
              <w:keepNext/>
              <w:spacing w:after="20" w:line="240" w:lineRule="auto"/>
              <w:jc w:val="left"/>
            </w:pPr>
            <w:r>
              <w:rPr>
                <w:b/>
                <w:sz w:val="17"/>
              </w:rPr>
              <w:t>Nama (NPM)</w:t>
            </w:r>
          </w:p>
        </w:tc>
        <w:tc>
          <w:tcPr>
            <w:tcW w:type="dxa" w:w="1814"/>
            <w:shd w:val="clear" w:color="auto" w:fill="E7EEF7"/>
            <w:tcBorders>
              <w:top w:val="single" w:sz="10" w:color="000000" w:space="0"/>
              <w:bottom w:val="single" w:sz="6" w:color="000000" w:space="0"/>
            </w:tcBorders>
          </w:tcPr>
          <w:p>
            <w:pPr>
              <w:keepNext/>
              <w:spacing w:after="20" w:line="240" w:lineRule="auto"/>
              <w:jc w:val="center"/>
            </w:pPr>
            <w:r>
              <w:rPr>
                <w:b/>
                <w:sz w:val="17"/>
              </w:rPr>
              <w:t>Peran</w:t>
            </w:r>
          </w:p>
        </w:tc>
        <w:tc>
          <w:tcPr>
            <w:tcW w:type="dxa" w:w="3628"/>
            <w:shd w:val="clear" w:color="auto" w:fill="E7EEF7"/>
            <w:tcBorders>
              <w:top w:val="single" w:sz="10" w:color="000000" w:space="0"/>
              <w:bottom w:val="single" w:sz="6" w:color="000000" w:space="0"/>
            </w:tcBorders>
          </w:tcPr>
          <w:p>
            <w:pPr>
              <w:keepNext/>
              <w:spacing w:after="20" w:line="240" w:lineRule="auto"/>
              <w:jc w:val="center"/>
            </w:pPr>
            <w:r>
              <w:rPr>
                <w:b/>
                <w:sz w:val="17"/>
              </w:rPr>
              <w:t>Tanggung jawab</w:t>
            </w:r>
          </w:p>
        </w:tc>
        <w:tc>
          <w:tcPr>
            <w:tcW w:type="dxa" w:w="1020"/>
            <w:shd w:val="clear" w:color="auto" w:fill="E7EEF7"/>
            <w:tcBorders>
              <w:top w:val="single" w:sz="10" w:color="000000" w:space="0"/>
              <w:bottom w:val="single" w:sz="6" w:color="000000" w:space="0"/>
            </w:tcBorders>
          </w:tcPr>
          <w:p>
            <w:pPr>
              <w:keepNext/>
              <w:spacing w:after="20" w:line="240" w:lineRule="auto"/>
              <w:jc w:val="center"/>
            </w:pPr>
            <w:r>
              <w:rPr>
                <w:b/>
                <w:sz w:val="17"/>
              </w:rPr>
              <w:t>Kontribusi</w:t>
            </w:r>
          </w:p>
        </w:tc>
      </w:tr>
      <w:tr>
        <w:trPr>
          <w:cantSplit/>
        </w:trPr>
        <w:tc>
          <w:tcPr>
            <w:tcW w:type="dxa" w:w="2494"/>
          </w:tcPr>
          <w:p>
            <w:pPr>
              <w:keepNext/>
              <w:spacing w:after="20" w:line="240" w:lineRule="auto"/>
              <w:jc w:val="left"/>
            </w:pPr>
            <w:r>
              <w:rPr>
                <w:sz w:val="17"/>
              </w:rPr>
              <w:t>Ade Rizky Darmawan (23083010080), Ketua</w:t>
            </w:r>
          </w:p>
        </w:tc>
        <w:tc>
          <w:tcPr>
            <w:tcW w:type="dxa" w:w="1814"/>
          </w:tcPr>
          <w:p>
            <w:pPr>
              <w:keepNext/>
              <w:spacing w:after="20" w:line="240" w:lineRule="auto"/>
              <w:jc w:val="center"/>
            </w:pPr>
            <w:r>
              <w:rPr>
                <w:sz w:val="17"/>
              </w:rPr>
              <w:t>Model Architect Specialist</w:t>
            </w:r>
          </w:p>
        </w:tc>
        <w:tc>
          <w:tcPr>
            <w:tcW w:type="dxa" w:w="3628"/>
          </w:tcPr>
          <w:p>
            <w:pPr>
              <w:keepNext/>
              <w:spacing w:after="20" w:line="240" w:lineRule="auto"/>
              <w:jc w:val="center"/>
            </w:pPr>
            <w:r>
              <w:rPr>
                <w:sz w:val="17"/>
              </w:rPr>
              <w:t>Koordinasi tim; perancangan arsitektur U-Net Lite, training pipeline di GPU, pemilihan loss dan threshold, evaluasi metrik</w:t>
            </w:r>
          </w:p>
        </w:tc>
        <w:tc>
          <w:tcPr>
            <w:tcW w:type="dxa" w:w="1020"/>
          </w:tcPr>
          <w:p>
            <w:pPr>
              <w:keepNext/>
              <w:spacing w:after="20" w:line="240" w:lineRule="auto"/>
              <w:jc w:val="center"/>
            </w:pPr>
            <w:r>
              <w:rPr>
                <w:sz w:val="17"/>
              </w:rPr>
              <w:t>20%</w:t>
            </w:r>
          </w:p>
        </w:tc>
      </w:tr>
      <w:tr>
        <w:trPr>
          <w:cantSplit/>
        </w:trPr>
        <w:tc>
          <w:tcPr>
            <w:tcW w:type="dxa" w:w="2494"/>
          </w:tcPr>
          <w:p>
            <w:pPr>
              <w:keepNext/>
              <w:spacing w:after="20" w:line="240" w:lineRule="auto"/>
              <w:jc w:val="left"/>
            </w:pPr>
            <w:r>
              <w:rPr>
                <w:sz w:val="17"/>
              </w:rPr>
              <w:t>Arkananta Daniswara Handoyo (23083010059)</w:t>
            </w:r>
          </w:p>
        </w:tc>
        <w:tc>
          <w:tcPr>
            <w:tcW w:type="dxa" w:w="1814"/>
          </w:tcPr>
          <w:p>
            <w:pPr>
              <w:keepNext/>
              <w:spacing w:after="20" w:line="240" w:lineRule="auto"/>
              <w:jc w:val="center"/>
            </w:pPr>
            <w:r>
              <w:rPr>
                <w:sz w:val="17"/>
              </w:rPr>
              <w:t>Data &amp; Pipeline Specialist</w:t>
            </w:r>
          </w:p>
        </w:tc>
        <w:tc>
          <w:tcPr>
            <w:tcW w:type="dxa" w:w="3628"/>
          </w:tcPr>
          <w:p>
            <w:pPr>
              <w:keepNext/>
              <w:spacing w:after="20" w:line="240" w:lineRule="auto"/>
              <w:jc w:val="center"/>
            </w:pPr>
            <w:r>
              <w:rPr>
                <w:sz w:val="17"/>
              </w:rPr>
              <w:t>Akuisisi dataset SOS, audit data (pasangan, label, duplikat), preprocessing, pembagian train/val/test</w:t>
            </w:r>
          </w:p>
        </w:tc>
        <w:tc>
          <w:tcPr>
            <w:tcW w:type="dxa" w:w="1020"/>
          </w:tcPr>
          <w:p>
            <w:pPr>
              <w:keepNext/>
              <w:spacing w:after="20" w:line="240" w:lineRule="auto"/>
              <w:jc w:val="center"/>
            </w:pPr>
            <w:r>
              <w:rPr>
                <w:sz w:val="17"/>
              </w:rPr>
              <w:t>16%</w:t>
            </w:r>
          </w:p>
        </w:tc>
      </w:tr>
      <w:tr>
        <w:trPr>
          <w:cantSplit/>
        </w:trPr>
        <w:tc>
          <w:tcPr>
            <w:tcW w:type="dxa" w:w="2494"/>
          </w:tcPr>
          <w:p>
            <w:pPr>
              <w:keepNext/>
              <w:spacing w:after="20" w:line="240" w:lineRule="auto"/>
              <w:jc w:val="left"/>
            </w:pPr>
            <w:r>
              <w:rPr>
                <w:sz w:val="17"/>
              </w:rPr>
              <w:t>Muhammad Arsyad Alzam (23083010082)</w:t>
            </w:r>
          </w:p>
        </w:tc>
        <w:tc>
          <w:tcPr>
            <w:tcW w:type="dxa" w:w="1814"/>
          </w:tcPr>
          <w:p>
            <w:pPr>
              <w:keepNext/>
              <w:spacing w:after="20" w:line="240" w:lineRule="auto"/>
              <w:jc w:val="center"/>
            </w:pPr>
            <w:r>
              <w:rPr>
                <w:sz w:val="17"/>
              </w:rPr>
              <w:t>Deployment &amp; Edge Specialist</w:t>
            </w:r>
          </w:p>
        </w:tc>
        <w:tc>
          <w:tcPr>
            <w:tcW w:type="dxa" w:w="3628"/>
          </w:tcPr>
          <w:p>
            <w:pPr>
              <w:keepNext/>
              <w:spacing w:after="20" w:line="240" w:lineRule="auto"/>
              <w:jc w:val="center"/>
            </w:pPr>
            <w:r>
              <w:rPr>
                <w:sz w:val="17"/>
              </w:rPr>
              <w:t>Ekspor ONNX, kuantisasi FP16/INT8, benchmark latensi, onnxruntime-web, deployment Vercel, manajemen GitHub</w:t>
            </w:r>
          </w:p>
        </w:tc>
        <w:tc>
          <w:tcPr>
            <w:tcW w:type="dxa" w:w="1020"/>
          </w:tcPr>
          <w:p>
            <w:pPr>
              <w:keepNext/>
              <w:spacing w:after="20" w:line="240" w:lineRule="auto"/>
              <w:jc w:val="center"/>
            </w:pPr>
            <w:r>
              <w:rPr>
                <w:sz w:val="17"/>
              </w:rPr>
              <w:t>16%</w:t>
            </w:r>
          </w:p>
        </w:tc>
      </w:tr>
      <w:tr>
        <w:trPr>
          <w:cantSplit/>
        </w:trPr>
        <w:tc>
          <w:tcPr>
            <w:tcW w:type="dxa" w:w="2494"/>
          </w:tcPr>
          <w:p>
            <w:pPr>
              <w:keepNext/>
              <w:spacing w:after="20" w:line="240" w:lineRule="auto"/>
              <w:jc w:val="left"/>
            </w:pPr>
            <w:r>
              <w:rPr>
                <w:sz w:val="17"/>
              </w:rPr>
              <w:t>Choirul Amin (22083010050)</w:t>
            </w:r>
          </w:p>
        </w:tc>
        <w:tc>
          <w:tcPr>
            <w:tcW w:type="dxa" w:w="1814"/>
          </w:tcPr>
          <w:p>
            <w:pPr>
              <w:keepNext/>
              <w:spacing w:after="20" w:line="240" w:lineRule="auto"/>
              <w:jc w:val="center"/>
            </w:pPr>
            <w:r>
              <w:rPr>
                <w:sz w:val="17"/>
              </w:rPr>
              <w:t>Frontend &amp; UX Specialist</w:t>
            </w:r>
          </w:p>
        </w:tc>
        <w:tc>
          <w:tcPr>
            <w:tcW w:type="dxa" w:w="3628"/>
          </w:tcPr>
          <w:p>
            <w:pPr>
              <w:keepNext/>
              <w:spacing w:after="20" w:line="240" w:lineRule="auto"/>
              <w:jc w:val="center"/>
            </w:pPr>
            <w:r>
              <w:rPr>
                <w:sz w:val="17"/>
              </w:rPr>
              <w:t>Desain dan pengembangan UI web, visualisasi hasil segmentasi, fitur Try Sample Data dan estimasi km², landing page tim</w:t>
            </w:r>
          </w:p>
        </w:tc>
        <w:tc>
          <w:tcPr>
            <w:tcW w:type="dxa" w:w="1020"/>
          </w:tcPr>
          <w:p>
            <w:pPr>
              <w:keepNext/>
              <w:spacing w:after="20" w:line="240" w:lineRule="auto"/>
              <w:jc w:val="center"/>
            </w:pPr>
            <w:r>
              <w:rPr>
                <w:sz w:val="17"/>
              </w:rPr>
              <w:t>16%</w:t>
            </w:r>
          </w:p>
        </w:tc>
      </w:tr>
      <w:tr>
        <w:trPr>
          <w:cantSplit/>
        </w:trPr>
        <w:tc>
          <w:tcPr>
            <w:tcW w:type="dxa" w:w="2494"/>
          </w:tcPr>
          <w:p>
            <w:pPr>
              <w:keepNext/>
              <w:spacing w:after="20" w:line="240" w:lineRule="auto"/>
              <w:jc w:val="left"/>
            </w:pPr>
            <w:r>
              <w:rPr>
                <w:sz w:val="17"/>
              </w:rPr>
              <w:t>Hana Titania Sastrian (23083010056)</w:t>
            </w:r>
          </w:p>
        </w:tc>
        <w:tc>
          <w:tcPr>
            <w:tcW w:type="dxa" w:w="1814"/>
          </w:tcPr>
          <w:p>
            <w:pPr>
              <w:keepNext/>
              <w:spacing w:after="20" w:line="240" w:lineRule="auto"/>
              <w:jc w:val="center"/>
            </w:pPr>
            <w:r>
              <w:rPr>
                <w:sz w:val="17"/>
              </w:rPr>
              <w:t>Lead Technical Writer</w:t>
            </w:r>
          </w:p>
        </w:tc>
        <w:tc>
          <w:tcPr>
            <w:tcW w:type="dxa" w:w="3628"/>
          </w:tcPr>
          <w:p>
            <w:pPr>
              <w:keepNext/>
              <w:spacing w:after="20" w:line="240" w:lineRule="auto"/>
              <w:jc w:val="center"/>
            </w:pPr>
            <w:r>
              <w:rPr>
                <w:sz w:val="17"/>
              </w:rPr>
              <w:t>Penyusunan laporan ilmiah, penelusuran dan pengelolaan referensi, dokumentasi README</w:t>
            </w:r>
          </w:p>
        </w:tc>
        <w:tc>
          <w:tcPr>
            <w:tcW w:type="dxa" w:w="1020"/>
          </w:tcPr>
          <w:p>
            <w:pPr>
              <w:keepNext/>
              <w:spacing w:after="20" w:line="240" w:lineRule="auto"/>
              <w:jc w:val="center"/>
            </w:pPr>
            <w:r>
              <w:rPr>
                <w:sz w:val="17"/>
              </w:rPr>
              <w:t>16%</w:t>
            </w:r>
          </w:p>
        </w:tc>
      </w:tr>
      <w:tr>
        <w:trPr>
          <w:cantSplit/>
        </w:trPr>
        <w:tc>
          <w:tcPr>
            <w:tcW w:type="dxa" w:w="2494"/>
          </w:tcPr>
          <w:p>
            <w:pPr>
              <w:keepNext/>
              <w:spacing w:after="20" w:line="240" w:lineRule="auto"/>
              <w:jc w:val="left"/>
            </w:pPr>
            <w:r>
              <w:rPr>
                <w:sz w:val="17"/>
              </w:rPr>
              <w:t>Zaydan Arief Athallah (23083010063)</w:t>
            </w:r>
          </w:p>
        </w:tc>
        <w:tc>
          <w:tcPr>
            <w:tcW w:type="dxa" w:w="1814"/>
          </w:tcPr>
          <w:p>
            <w:pPr>
              <w:keepNext/>
              <w:spacing w:after="20" w:line="240" w:lineRule="auto"/>
              <w:jc w:val="center"/>
            </w:pPr>
            <w:r>
              <w:rPr>
                <w:sz w:val="17"/>
              </w:rPr>
              <w:t>Research &amp; Business Impact Analyst</w:t>
            </w:r>
          </w:p>
        </w:tc>
        <w:tc>
          <w:tcPr>
            <w:tcW w:type="dxa" w:w="3628"/>
          </w:tcPr>
          <w:p>
            <w:pPr>
              <w:keepNext/>
              <w:spacing w:after="20" w:line="240" w:lineRule="auto"/>
              <w:jc w:val="center"/>
            </w:pPr>
            <w:r>
              <w:rPr>
                <w:sz w:val="17"/>
              </w:rPr>
              <w:t>Kajian state of the art, analisis dampak operasional HSSE dan estimasi bisnis, materi presentasi</w:t>
            </w:r>
          </w:p>
        </w:tc>
        <w:tc>
          <w:tcPr>
            <w:tcW w:type="dxa" w:w="1020"/>
          </w:tcPr>
          <w:p>
            <w:pPr>
              <w:keepNext/>
              <w:spacing w:after="20" w:line="240" w:lineRule="auto"/>
              <w:jc w:val="center"/>
            </w:pPr>
            <w:r>
              <w:rPr>
                <w:sz w:val="17"/>
              </w:rPr>
              <w:t>16%</w:t>
            </w:r>
          </w:p>
        </w:tc>
      </w:tr>
      <w:tr>
        <w:trPr>
          <w:cantSplit/>
        </w:trPr>
        <w:tc>
          <w:tcPr>
            <w:tcW w:type="dxa" w:w="2494"/>
            <w:tcBorders>
              <w:bottom w:val="single" w:sz="10" w:color="000000" w:space="0"/>
            </w:tcBorders>
          </w:tcPr>
          <w:p>
            <w:pPr>
              <w:spacing w:after="20" w:line="240" w:lineRule="auto"/>
              <w:jc w:val="left"/>
            </w:pPr>
            <w:r>
              <w:rPr>
                <w:b/>
                <w:sz w:val="17"/>
              </w:rPr>
              <w:t>Total</w:t>
            </w:r>
          </w:p>
        </w:tc>
        <w:tc>
          <w:tcPr>
            <w:tcW w:type="dxa" w:w="1814"/>
            <w:tcBorders>
              <w:bottom w:val="single" w:sz="10" w:color="000000" w:space="0"/>
            </w:tcBorders>
          </w:tcPr>
          <w:p>
            <w:pPr>
              <w:spacing w:after="20" w:line="240" w:lineRule="auto"/>
              <w:jc w:val="center"/>
            </w:pPr>
          </w:p>
        </w:tc>
        <w:tc>
          <w:tcPr>
            <w:tcW w:type="dxa" w:w="3628"/>
            <w:tcBorders>
              <w:bottom w:val="single" w:sz="10" w:color="000000" w:space="0"/>
            </w:tcBorders>
          </w:tcPr>
          <w:p>
            <w:pPr>
              <w:spacing w:after="20" w:line="240" w:lineRule="auto"/>
              <w:jc w:val="center"/>
            </w:pPr>
          </w:p>
        </w:tc>
        <w:tc>
          <w:tcPr>
            <w:tcW w:type="dxa" w:w="1020"/>
            <w:tcBorders>
              <w:bottom w:val="single" w:sz="10" w:color="000000" w:space="0"/>
            </w:tcBorders>
          </w:tcPr>
          <w:p>
            <w:pPr>
              <w:spacing w:after="20" w:line="240" w:lineRule="auto"/>
              <w:jc w:val="center"/>
            </w:pPr>
            <w:r>
              <w:rPr>
                <w:b/>
                <w:sz w:val="17"/>
              </w:rPr>
              <w:t>100%</w:t>
            </w:r>
          </w:p>
        </w:tc>
      </w:tr>
    </w:tbl>
    <w:p>
      <w:pPr>
        <w:spacing w:after="40"/>
      </w:pPr>
    </w:p>
    <w:p>
      <w:pPr>
        <w:pStyle w:val="Heading1"/>
      </w:pPr>
      <w:r>
        <w:t>Lampiran B. Artefak Proyek</w:t>
      </w:r>
    </w:p>
    <w:p>
      <w:pPr>
        <w:pStyle w:val="ListBullet"/>
        <w:spacing w:after="40"/>
        <w:ind w:left="510"/>
        <w:jc w:val="both"/>
      </w:pPr>
      <w:r>
        <w:t>Repositori GitHub (publik): https://github.com/aderizkydarmawan/cayman-oil-spill-sar, berisi notebook Colab, skrip model/ekspor, hasil audit, metrik (JSON/CSV), model ONNX, dan kode web.</w:t>
      </w:r>
    </w:p>
    <w:p>
      <w:pPr>
        <w:pStyle w:val="ListBullet"/>
        <w:spacing w:after="40"/>
        <w:ind w:left="510"/>
        <w:jc w:val="both"/>
      </w:pPr>
      <w:r>
        <w:t xml:space="preserve">Aplikasi web: https://cayman-kelompok1.vercel.app, yang memuat demo inferensi, </w:t>
      </w:r>
      <w:r>
        <w:rPr>
          <w:i/>
        </w:rPr>
        <w:t>Try Sample Data</w:t>
      </w:r>
      <w:r>
        <w:t>, estimasi luas km², dan profil tim.</w:t>
      </w:r>
    </w:p>
    <w:p>
      <w:pPr>
        <w:pStyle w:val="ListBullet"/>
        <w:spacing w:after="40"/>
        <w:ind w:left="510"/>
        <w:jc w:val="both"/>
      </w:pPr>
      <w:r>
        <w:t xml:space="preserve">Reproduksi: buka notebooks/Kasus38_SAR_OilSpill_UNetLite.ipynb di Google Colab (runtime T4 GPU) lalu jalankan </w:t>
      </w:r>
      <w:r>
        <w:rPr>
          <w:i/>
        </w:rPr>
        <w:t>Run all</w:t>
      </w:r>
      <w:r>
        <w:t>.</w:t>
      </w:r>
    </w:p>
    <w:sectPr w:rsidR="00FC693F" w:rsidRPr="0006063C" w:rsidSect="00034616">
      <w:headerReference w:type="default" r:id="rId10"/>
      <w:footerReference w:type="default" r:id="rId11"/>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7"/>
      </w:rPr>
      <w:t>Tugas Besar Deep Learning · Kelompok 1 CAYMAN · Kasus 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8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imes New Roman" w:hAnsi="Times New Roman" w:eastAsia="Times New Roman" w:cs="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