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</w:pPr>
      <w:r>
        <w:rPr>
          <w:rFonts w:ascii="Calibri" w:cs="Calibri" w:eastAsia="Calibri" w:hAnsi="Calibri"/>
          <w:b/>
          <w:bCs/>
          <w:color w:val="0F1319"/>
          <w:sz w:val="40"/>
          <w:szCs w:val="40"/>
        </w:rPr>
        <w:t xml:space="preserve">Jess Ferretti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 (she/her)</w:t>
      </w:r>
    </w:p>
    <w:p>
      <w:pPr>
        <w:spacing w:after="60" w:before="40"/>
      </w:pPr>
      <w:r>
        <w:rPr>
          <w:rFonts w:ascii="Calibri" w:cs="Calibri" w:eastAsia="Calibri" w:hAnsi="Calibri"/>
          <w:b/>
          <w:bCs/>
          <w:color w:val="1F8A65"/>
          <w:sz w:val="22"/>
          <w:szCs w:val="22"/>
        </w:rPr>
        <w:t xml:space="preserve">Fractional VP of Sales  ·  Digital Health</w:t>
      </w:r>
    </w:p>
    <w:p>
      <w:pPr>
        <w:spacing w:after="0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516.385.0411  ·  ader.jess@gmail.com  ·  linkedin.com/in/jess-ferretti-324611b</w:t>
      </w:r>
    </w:p>
    <w:p>
      <w:pPr>
        <w:pBdr>
          <w:bottom w:val="single" w:color="D5DAE1" w:sz="6" w:space="6"/>
        </w:pBdr>
        <w:spacing w:after="40" w:before="20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NYC Metro / Long Island  ·  Works fully remote, national reach</w:t>
      </w:r>
    </w:p>
    <w:p>
      <w:pPr>
        <w:keepNext/>
        <w:pBdr>
          <w:bottom w:val="single" w:color="1F8A65" w:sz="6" w:space="4"/>
        </w:pBdr>
        <w:spacing w:after="130" w:before="260"/>
      </w:pPr>
      <w:r>
        <w:rPr>
          <w:rFonts w:ascii="Calibri" w:cs="Calibri" w:eastAsia="Calibri" w:hAnsi="Calibri"/>
          <w:b/>
          <w:bCs/>
          <w:color w:val="1F8A65"/>
          <w:spacing w:val="30"/>
          <w:sz w:val="18"/>
          <w:szCs w:val="18"/>
        </w:rPr>
        <w:t xml:space="preserve">WHAT I DO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I help digital health companies build the sales engine they do not have yet.</w:t>
      </w:r>
    </w:p>
    <w:p>
      <w:pPr>
        <w:spacing w:after="60" w:before="6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Twenty-three years in enterprise sales, quotas carried to $12M, and five consecutive companies selling mental health, substance use, recovery, and specialty pharmacy products to self-insured employers and health plans. I know the buyer — CHROs, Total Rewards leaders, benefits consultants, health plan decision-makers — because I have sold to them from six different seats over eight years.</w:t>
      </w:r>
    </w:p>
    <w:p>
      <w:pPr>
        <w:spacing w:after="60" w:before="6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What that looks like depends on the company. Sometimes it is the whole engine — positioning, process, CRM, first hires. Sometimes it is the one piece that is stuck: a narrative that is not landing, a pipeline that will not forecast, a founder who needs someone in the room on the enterprise deals. I would rather start with the real problem than with a package.</w:t>
      </w:r>
    </w:p>
    <w:p>
      <w:pPr>
        <w:spacing w:after="60" w:before="6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I am also publicly sober and in recovery. Selling into a category built to treat that condition, it is a commercial credential, not a personal footnote: it is why founders trust the positioning work and why buyers take the meeting.</w:t>
      </w:r>
    </w:p>
    <w:p>
      <w:pPr>
        <w:keepNext/>
        <w:pBdr>
          <w:bottom w:val="single" w:color="1F8A65" w:sz="6" w:space="4"/>
        </w:pBdr>
        <w:spacing w:after="130" w:before="260"/>
      </w:pPr>
      <w:r>
        <w:rPr>
          <w:rFonts w:ascii="Calibri" w:cs="Calibri" w:eastAsia="Calibri" w:hAnsi="Calibri"/>
          <w:b/>
          <w:bCs/>
          <w:color w:val="1F8A65"/>
          <w:spacing w:val="30"/>
          <w:sz w:val="18"/>
          <w:szCs w:val="18"/>
        </w:rPr>
        <w:t xml:space="preserve">EXPERIENCE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The Carietti Group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Co-Founder &amp; Principal, Sales &amp; Business Development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March 2026 – Present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Sales and business development practice serving digital health companies · Remote</w:t>
      </w:r>
    </w:p>
    <w:p>
      <w:pPr>
        <w:spacing w:after="60" w:before="6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I work with founders and early commercial teams at the point where selling has to become a system instead of a set of individual efforts. Engagements are scoped to what the company actually needs — a focused project, an ongoing fractional seat, or a full build through to hiring the leader who takes it over.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What I take on: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ICP definition and market segmentation grounded in where the product actually wins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Sales narrative, pitch, discovery framework, and objection handling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Outbound cadences, email templates, and the messaging library behind them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Sales process, stage definitions, qualification criteria, and forecast discipline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Sales tech stack selection and a CRM stood up, configured, and live — not a recommendation deck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Enablement, ramp, and onboarding for the reps who follow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Recruiting and hiring the VP of Sales who takes it from there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How I work: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Founders work directly with me. No junior associates, no bench, no account manager.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I carry the number myself during the build. The playbook gets written from live pipeline, not from theory.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I would rather scope small and earn the rest than sell a package that does not fit.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The goal is always to make myself unnecessary — to build something that outlasts the engagement.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Sobrynth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VP of Sales, Fractional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May 2026 – Present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Workplace substance use disorder benefit sold to self-insured employers · Carietti Group engagement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Own commercial strategy and enterprise pipeline for a workplace SUD benefit selling into self-insured employers, benefits consultants, and brokers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Built the employer segmentation model and identified construction as the priority wedge: the US occupation with the highest drug overdose mortality rate (162.6 per 100k, roughly 3x the average worker), 12% alcohol use disorder against a 7.5% national rate, and 150% higher SUD diagnosis rates than other full-time workers — the highest-need, most underserved employer segment in the country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Translate clinical outcomes into the benefits-economics language a CHRO and a broker actually buy on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VIVIO Health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Sr. Director of Sales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2026 – Present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Specialty drug management for large self-insured employers and health plans · Carietti Group engagement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Sell specialty pharmacy cost management into large self-insured employers, health plans, and their consultant channel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Operate at the most technical end of the benefits sale — pharmacy spend, clinical review, and plan design — where the buying committee is finance, clinical, and HR at the same table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You Are Accountable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VP, Business Development &amp; Provider Relations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March 2025 – March 2026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Seed-stage substance use disorder recovery platform · Remote</w:t>
      </w:r>
    </w:p>
    <w:p>
      <w:pPr>
        <w:spacing w:after="60" w:before="60"/>
      </w:pPr>
      <w:r>
        <w:rPr>
          <w:rFonts w:ascii="Calibri" w:cs="Calibri" w:eastAsia="Calibri" w:hAnsi="Calibri"/>
          <w:i/>
          <w:iCs/>
          <w:color w:val="0F1319"/>
          <w:sz w:val="19"/>
          <w:szCs w:val="19"/>
        </w:rPr>
        <w:t xml:space="preserve">The in-house version of what I now do fractionally: a sales function built from nothing at a seed-stage company.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Built the enterprise sales strategy from the ground up, expanding beyond recovery-native buyers into new employer verticals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Opened 60+ new employer opportunities in the first year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Designed and implemented the CRM architecture and sales process from scratch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Established the go-to-market motion across employer, provider, and channel segments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Led and developed the sales team driving cross-industry expansion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Positioned the organization for scalable growth through structured pipeline management and a repeatable enterprise motion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Koa Health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Head of Enterprise Sales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April 2024 – February 2025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Digital therapeutics and mental health, sold to employers · Remote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Reported directly to the CRO; drove US sales into employee populations of 2,000+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Made the company’s first-ever US sale, to a large agricultural organization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Evaluated and commercialized dormant IP — crisis prediction tooling, body dysmorphia programming, PTSD digital therapeutics — turning shelved assets into sellable product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Partnered with the C-suite and board to roadmap and prioritize enhancements to already-commercialized products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Built differentiation campaigns with Marketing in a saturated category — clinical efficacy, political stress, and a video series on employee experience of PTSD, substance use, LGBTQIA+ resistance at work, and neurodivergence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Spring Health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Sr. Director, Strategic Accounts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June 2023 – April 2024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Mental health, sold to employers and health plans · Remote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Sold into and supported employee populations of 10,000+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Personal pipeline reported at 3x the size of any other rep’s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Created the prospecting process and metrics, then trained the team to execute against them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Built substantial benefits consultant relationships on a working understanding of the benefits and healthcare ecosystem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Events Chair, Sober @ Spring ERG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BI WORLDWIDE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Sr. Director, Strategy &amp; Innovation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March 2018 – June 2023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Global employee, channel, and customer engagement agency · Remote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Formulated and deployed business transformation across a </w:t>
      </w: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$12,000,000 client portfolio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Built long-term strategic roadmaps for Fortune 100, 500, and 1,000 clients across sales, customer loyalty, employee engagement, and channel partner engagement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Developed the company’s thought leadership strategy around prospecting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Depth across healthcare, automotive, retail, CPG, and manufacturing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Two-time President’s Club winner; Pacesetter Award, 2019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Dealer Product Services (DPS)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Sr. Director, New York / East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October 2012 – March 2018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Automotive dealer management software and workflow · Remote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Managed and grew a $4.5M territory at 10% year over year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Promoted to Sr. Director, East Coast — direct reports and a $50,000,000 territory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Drove direct partnerships with BMW, Mercedes-Benz USA, and Mini Cooper on national strategy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The only woman to achieve President’s Club every single year of her tenure</w:t>
      </w:r>
    </w:p>
    <w:p>
      <w:pPr>
        <w:keepNext/>
        <w:keepLines/>
        <w:tabs>
          <w:tab w:val="right" w:pos="10456"/>
        </w:tabs>
        <w:spacing w:after="0" w:before="230"/>
      </w:pPr>
      <w:r>
        <w:rPr>
          <w:rFonts w:ascii="Calibri" w:cs="Calibri" w:eastAsia="Calibri" w:hAnsi="Calibri"/>
          <w:b/>
          <w:bCs/>
          <w:color w:val="0F1319"/>
          <w:sz w:val="21"/>
          <w:szCs w:val="21"/>
        </w:rPr>
        <w:t xml:space="preserve">Ferrandino &amp; Son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— </w:t>
      </w:r>
      <w:r>
        <w:rPr>
          <w:rFonts w:ascii="Calibri" w:cs="Calibri" w:eastAsia="Calibri" w:hAnsi="Calibri"/>
          <w:color w:val="0F1319"/>
          <w:sz w:val="21"/>
          <w:szCs w:val="21"/>
        </w:rPr>
        <w:t xml:space="preserve">Director of Regional Sales</w:t>
      </w:r>
      <w:r>
        <w:rPr>
          <w:rFonts w:ascii="Calibri" w:cs="Calibri" w:eastAsia="Calibri" w:hAnsi="Calibri"/>
        </w:rPr>
        <w:tab/>
      </w:r>
      <w:r>
        <w:rPr>
          <w:rFonts w:ascii="Calibri" w:cs="Calibri" w:eastAsia="Calibri" w:hAnsi="Calibri"/>
          <w:color w:val="5A6472"/>
          <w:sz w:val="18"/>
          <w:szCs w:val="18"/>
        </w:rPr>
        <w:t xml:space="preserve">October 2008 – October 2012</w:t>
      </w:r>
    </w:p>
    <w:p>
      <w:pPr>
        <w:keepNext/>
        <w:spacing w:after="60" w:before="20"/>
      </w:pPr>
      <w:r>
        <w:rPr>
          <w:rFonts w:ascii="Calibri" w:cs="Calibri" w:eastAsia="Calibri" w:hAnsi="Calibri"/>
          <w:i/>
          <w:iCs/>
          <w:color w:val="5A6472"/>
          <w:sz w:val="18"/>
          <w:szCs w:val="18"/>
        </w:rPr>
        <w:t xml:space="preserve">National commercial general contractor and facility maintenance · Farmingdale, NY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Built the company’s first regionally focused sales team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Grew partnerships with the American Museum of Natural History, MoMA, Union Square Hospitality Group, Hofstra University, and The Intrepid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Took on marketing responsibility in the final year, building the client communication strategy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The origin of the construction and trades relationships now driving the highest-need employer segment in workplace substance use</w:t>
      </w:r>
    </w:p>
    <w:p>
      <w:pPr>
        <w:keepNext/>
        <w:pBdr>
          <w:bottom w:val="single" w:color="1F8A65" w:sz="6" w:space="4"/>
        </w:pBdr>
        <w:spacing w:after="130" w:before="260"/>
      </w:pPr>
      <w:r>
        <w:rPr>
          <w:rFonts w:ascii="Calibri" w:cs="Calibri" w:eastAsia="Calibri" w:hAnsi="Calibri"/>
          <w:b/>
          <w:bCs/>
          <w:color w:val="1F8A65"/>
          <w:spacing w:val="30"/>
          <w:sz w:val="18"/>
          <w:szCs w:val="18"/>
        </w:rPr>
        <w:t xml:space="preserve">WHERE I SELL</w:t>
      </w:r>
    </w:p>
    <w:p>
      <w:pPr>
        <w:spacing w:after="60" w:before="60"/>
        <w:ind w:left="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Categories</w:t>
      </w:r>
      <w:r>
        <w:rPr>
          <w:rFonts w:ascii="Calibri" w:cs="Calibri" w:eastAsia="Calibri" w:hAnsi="Calibri"/>
          <w:color w:val="0F1319"/>
          <w:sz w:val="19"/>
          <w:szCs w:val="19"/>
        </w:rPr>
        <w:t xml:space="preserve">  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Digital health · Mental health · Substance use and recovery · Digital therapeutics · Specialty pharmacy · Employee benefits and total rewards</w:t>
      </w:r>
    </w:p>
    <w:p>
      <w:pPr>
        <w:spacing w:after="60" w:before="60"/>
        <w:ind w:left="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Buyers</w:t>
      </w:r>
      <w:r>
        <w:rPr>
          <w:rFonts w:ascii="Calibri" w:cs="Calibri" w:eastAsia="Calibri" w:hAnsi="Calibri"/>
          <w:color w:val="0F1319"/>
          <w:sz w:val="19"/>
          <w:szCs w:val="19"/>
        </w:rPr>
        <w:t xml:space="preserve">  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CHROs and Heads of Total Rewards · Benefits and wellbeing leaders · Health plan decision-makers · Benefits consultants and brokers · Self-insured employers, Fortune 100 through 1000</w:t>
      </w:r>
    </w:p>
    <w:p>
      <w:pPr>
        <w:spacing w:after="60" w:before="60"/>
        <w:ind w:left="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Motions</w:t>
      </w:r>
      <w:r>
        <w:rPr>
          <w:rFonts w:ascii="Calibri" w:cs="Calibri" w:eastAsia="Calibri" w:hAnsi="Calibri"/>
          <w:color w:val="0F1319"/>
          <w:sz w:val="19"/>
          <w:szCs w:val="19"/>
        </w:rPr>
        <w:t xml:space="preserve">  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Founder-led to first sales team · Enterprise and complex committee sales · Consultant and broker channel · Direct-to-employer</w:t>
      </w:r>
    </w:p>
    <w:p>
      <w:pPr>
        <w:spacing w:after="60" w:before="60"/>
        <w:ind w:left="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Build</w:t>
      </w:r>
      <w:r>
        <w:rPr>
          <w:rFonts w:ascii="Calibri" w:cs="Calibri" w:eastAsia="Calibri" w:hAnsi="Calibri"/>
          <w:color w:val="0F1319"/>
          <w:sz w:val="19"/>
          <w:szCs w:val="19"/>
        </w:rPr>
        <w:t xml:space="preserve">  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ICP and segmentation · Sales narrative · Outbound cadences · Sales process and forecasting · Sales tech stack and CRM implementation · Enablement and ramp · Hiring VP-level sales leaders</w:t>
      </w:r>
    </w:p>
    <w:p>
      <w:pPr>
        <w:keepNext/>
        <w:pBdr>
          <w:bottom w:val="single" w:color="1F8A65" w:sz="6" w:space="4"/>
        </w:pBdr>
        <w:spacing w:after="130" w:before="260"/>
      </w:pPr>
      <w:r>
        <w:rPr>
          <w:rFonts w:ascii="Calibri" w:cs="Calibri" w:eastAsia="Calibri" w:hAnsi="Calibri"/>
          <w:b/>
          <w:bCs/>
          <w:color w:val="1F8A65"/>
          <w:spacing w:val="30"/>
          <w:sz w:val="18"/>
          <w:szCs w:val="18"/>
        </w:rPr>
        <w:t xml:space="preserve">EDUCATION &amp; CERTIFICATIONS</w:t>
      </w:r>
    </w:p>
    <w:p>
      <w:pPr>
        <w:spacing w:after="60" w:before="60"/>
        <w:ind w:left="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Hofstra University</w:t>
      </w:r>
      <w:r>
        <w:rPr>
          <w:rFonts w:ascii="Calibri" w:cs="Calibri" w:eastAsia="Calibri" w:hAnsi="Calibri"/>
          <w:color w:val="0F1319"/>
          <w:sz w:val="19"/>
          <w:szCs w:val="19"/>
        </w:rPr>
        <w:t xml:space="preserve">  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BA Business Management · BA Creative Writing</w:t>
      </w:r>
    </w:p>
    <w:p>
      <w:pPr>
        <w:spacing w:after="60" w:before="60"/>
        <w:ind w:left="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Certified in</w:t>
      </w:r>
      <w:r>
        <w:rPr>
          <w:rFonts w:ascii="Calibri" w:cs="Calibri" w:eastAsia="Calibri" w:hAnsi="Calibri"/>
          <w:color w:val="0F1319"/>
          <w:sz w:val="19"/>
          <w:szCs w:val="19"/>
        </w:rPr>
        <w:t xml:space="preserve">  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Behavioral Economics · Trauma-Informed Leadership · LGBTQIA+ Leadership</w:t>
      </w:r>
    </w:p>
    <w:p>
      <w:pPr>
        <w:keepNext/>
        <w:pBdr>
          <w:bottom w:val="single" w:color="1F8A65" w:sz="6" w:space="4"/>
        </w:pBdr>
        <w:spacing w:after="130" w:before="260"/>
      </w:pPr>
      <w:r>
        <w:rPr>
          <w:rFonts w:ascii="Calibri" w:cs="Calibri" w:eastAsia="Calibri" w:hAnsi="Calibri"/>
          <w:b/>
          <w:bCs/>
          <w:color w:val="1F8A65"/>
          <w:spacing w:val="30"/>
          <w:sz w:val="18"/>
          <w:szCs w:val="18"/>
        </w:rPr>
        <w:t xml:space="preserve">AWARDS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President’s Club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—  2012, 2013, 2014, 2015, 2016, 2017 · DPS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Manager of the Year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—  2014, 2017 · DPS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Rookie of the Year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—  2012 · DPS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Pacesetter Award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—  2019 · BI WORLDWIDE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Keynote Speaker, Thank You Award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—  2020 · BI WORLDWIDE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Calibri" w:cs="Calibri" w:eastAsia="Calibri" w:hAnsi="Calibri"/>
          <w:b/>
          <w:bCs/>
          <w:color w:val="0F1319"/>
          <w:sz w:val="19"/>
          <w:szCs w:val="19"/>
        </w:rPr>
        <w:t xml:space="preserve">The Markswoman Award</w:t>
      </w:r>
      <w:r>
        <w:rPr>
          <w:rFonts w:ascii="Calibri" w:cs="Calibri" w:eastAsia="Calibri" w:hAnsi="Calibri"/>
          <w:color w:val="5A6472"/>
          <w:sz w:val="19"/>
          <w:szCs w:val="19"/>
        </w:rPr>
        <w:t xml:space="preserve">  —  2022 · HiringThing</w:t>
      </w:r>
    </w:p>
    <w:p>
      <w:pPr>
        <w:keepNext/>
        <w:pBdr>
          <w:bottom w:val="single" w:color="1F8A65" w:sz="6" w:space="4"/>
        </w:pBdr>
        <w:spacing w:after="130" w:before="260"/>
      </w:pPr>
      <w:r>
        <w:rPr>
          <w:rFonts w:ascii="Calibri" w:cs="Calibri" w:eastAsia="Calibri" w:hAnsi="Calibri"/>
          <w:b/>
          <w:bCs/>
          <w:color w:val="1F8A65"/>
          <w:spacing w:val="30"/>
          <w:sz w:val="18"/>
          <w:szCs w:val="18"/>
        </w:rPr>
        <w:t xml:space="preserve">PERSONAL</w:t>
      </w:r>
    </w:p>
    <w:p>
      <w:pPr>
        <w:spacing w:after="60" w:before="60"/>
      </w:pPr>
      <w:r>
        <w:rPr>
          <w:rFonts w:ascii="Calibri" w:cs="Calibri" w:eastAsia="Calibri" w:hAnsi="Calibri"/>
          <w:color w:val="0F1319"/>
          <w:sz w:val="19"/>
          <w:szCs w:val="19"/>
        </w:rPr>
        <w:t xml:space="preserve">Born and raised on Long Island. Mom of two girls and a proud member of the LGBTQIA+ community. Performed professional theatre right out of college before deciding to drive change in the corporate world instead — which is still, more or less, the job.</w:t>
      </w:r>
    </w:p>
    <w:sectPr>
      <w:pgSz w:w="12240" w:h="15840" w:orient="portrait"/>
      <w:pgMar w:top="720" w:right="892" w:bottom="720" w:left="8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  <w:rPr>
        <w:rFonts w:ascii="Calibri" w:cs="Calibri" w:eastAsia="Calibri" w:hAnsi="Calibri"/>
        <w:color w:val="1F8A65"/>
        <w:sz w:val="19"/>
        <w:szCs w:val="1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319"/>
        <w:sz w:val="19"/>
        <w:szCs w:val="19"/>
      </w:rPr>
    </w:rPrDefault>
    <w:pPrDefault>
      <w:pPr>
        <w:spacing w:line="25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Jess Ferretti — Fractional VP of Sales, Digital Health</dc:title>
  <dc:creator>Jess Ferretti</dc:creator>
  <cp:lastModifiedBy>Un-named</cp:lastModifiedBy>
  <cp:revision>1</cp:revision>
  <dcterms:created xsi:type="dcterms:W3CDTF">2026-09-02T16:06:04.885Z</dcterms:created>
  <dcterms:modified xsi:type="dcterms:W3CDTF">2026-09-02T16:06:04.900Z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