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Vendor Assessment Methodology</w:t>
      </w:r>
    </w:p>
    <w:p>
      <w:pPr>
        <w:spacing w:after="200"/>
      </w:pPr>
      <w:r>
        <w:t>This document defines how the AI Vendor Assurance Agent conducts a structured assessment. The agent supports analysis and documentation; authorised people retain responsibility for procurement, legal, security, privacy and risk decisions.</w:t>
      </w:r>
    </w:p>
    <w:p>
      <w:pPr>
        <w:pStyle w:val="Heading1"/>
        <w:keepNext/>
      </w:pPr>
      <w:r>
        <w:t>Assessment principles</w:t>
      </w:r>
    </w:p>
    <w:p>
      <w:pPr>
        <w:pStyle w:val="ListBullet"/>
        <w:spacing w:after="60"/>
      </w:pPr>
      <w:r>
        <w:t>Context before scoring. Evaluate the vendor in relation to the intended use, affected people, business process and operating environment.</w:t>
      </w:r>
    </w:p>
    <w:p>
      <w:pPr>
        <w:pStyle w:val="ListBullet"/>
        <w:spacing w:after="60"/>
      </w:pPr>
      <w:r>
        <w:t>Inherent risk before controls. Rate the exposure that exists if safeguards are absent or ineffective, then assess whether evidence supports risk reduction.</w:t>
      </w:r>
    </w:p>
    <w:p>
      <w:pPr>
        <w:pStyle w:val="ListBullet"/>
        <w:spacing w:after="60"/>
      </w:pPr>
      <w:r>
        <w:t>Evidence before assurance. Separate verified documents and test results from vendor claims, user statements, assumptions and missing information.</w:t>
      </w:r>
    </w:p>
    <w:p>
      <w:pPr>
        <w:pStyle w:val="ListBullet"/>
        <w:spacing w:after="60"/>
      </w:pPr>
      <w:r>
        <w:t>Proportionate diligence. Increase depth when the service is rights affecting, safety relevant, business critical, data intensive, highly autonomous or difficult to reverse.</w:t>
      </w:r>
    </w:p>
    <w:p>
      <w:pPr>
        <w:pStyle w:val="ListBullet"/>
        <w:spacing w:after="60"/>
      </w:pPr>
      <w:r>
        <w:t>Human accountability. The agent may recommend an outcome but must not provide final legal, procurement, security or regulatory approval.</w:t>
      </w:r>
    </w:p>
    <w:p>
      <w:pPr>
        <w:pStyle w:val="Heading1"/>
        <w:keepNext/>
      </w:pPr>
      <w:r>
        <w:t>Assessment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2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 task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7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Record the vendor, service, business purpose, owner, users and decision supported.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Map the AI supply chain</w:t>
            </w:r>
          </w:p>
        </w:tc>
        <w:tc>
          <w:tcPr>
            <w:tcW w:type="dxa" w:w="72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Identify models, APIs, hosting, data sources, subprocessors and fourth parties.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Screen applicability</w:t>
            </w:r>
          </w:p>
        </w:tc>
        <w:tc>
          <w:tcPr>
            <w:tcW w:type="dxa" w:w="7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Identify relevant organisational policies, sector obligations and possible EU AI Act roles or risk indicators.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Rate inherent risk</w:t>
            </w:r>
          </w:p>
        </w:tc>
        <w:tc>
          <w:tcPr>
            <w:tcW w:type="dxa" w:w="72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Evaluate impact and exposure before considering safeguards.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Request evidence</w:t>
            </w:r>
          </w:p>
        </w:tc>
        <w:tc>
          <w:tcPr>
            <w:tcW w:type="dxa" w:w="7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Select evidence and due diligence questions that match the risk drivers.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Assess controls</w:t>
            </w:r>
          </w:p>
        </w:tc>
        <w:tc>
          <w:tcPr>
            <w:tcW w:type="dxa" w:w="72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Determine whether controls are designed, implemented and evidenced.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Determine residual risk</w:t>
            </w:r>
          </w:p>
        </w:tc>
        <w:tc>
          <w:tcPr>
            <w:tcW w:type="dxa" w:w="7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Reassess risk after supported safeguards and record uncertainty.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194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Recommend and escalate</w:t>
            </w:r>
          </w:p>
        </w:tc>
        <w:tc>
          <w:tcPr>
            <w:tcW w:type="dxa" w:w="72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Recommend proceed, proceed with conditions, specialist review or do not proceed.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Monitor</w:t>
            </w:r>
          </w:p>
        </w:tc>
        <w:tc>
          <w:tcPr>
            <w:tcW w:type="dxa" w:w="72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Set review triggers, accountable owners and evidence refresh dates.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intake information</w:t>
      </w:r>
    </w:p>
    <w:p>
      <w:pPr>
        <w:pStyle w:val="ListBullet"/>
        <w:spacing w:after="60"/>
      </w:pPr>
      <w:r>
        <w:t>Vendor and service name; organisational owner; intended business outcome; intended users and affected persons.</w:t>
      </w:r>
    </w:p>
    <w:p>
      <w:pPr>
        <w:pStyle w:val="ListBullet"/>
        <w:spacing w:after="60"/>
      </w:pPr>
      <w:r>
        <w:t>AI functionality, model or model family, deployment model, hosting location and integration points.</w:t>
      </w:r>
    </w:p>
    <w:p>
      <w:pPr>
        <w:pStyle w:val="ListBullet"/>
        <w:spacing w:after="60"/>
      </w:pPr>
      <w:r>
        <w:t>Data categories, sources, provenance, geographic locations, retention and whether personal, sensitive or confidential data is involved.</w:t>
      </w:r>
    </w:p>
    <w:p>
      <w:pPr>
        <w:pStyle w:val="ListBullet"/>
        <w:spacing w:after="60"/>
      </w:pPr>
      <w:r>
        <w:t>Decision autonomy, human oversight, appeal or override arrangements, and consequences of error or failure.</w:t>
      </w:r>
    </w:p>
    <w:p>
      <w:pPr>
        <w:pStyle w:val="ListBullet"/>
        <w:spacing w:after="60"/>
      </w:pPr>
      <w:r>
        <w:t>Business criticality, availability requirements, exit options and substitutability.</w:t>
      </w:r>
    </w:p>
    <w:p>
      <w:pPr>
        <w:pStyle w:val="ListBullet"/>
        <w:spacing w:after="60"/>
      </w:pPr>
      <w:r>
        <w:t>Subprocessors, external models, APIs, plugins, agents and material fourth-party dependencies.</w:t>
      </w:r>
    </w:p>
    <w:p>
      <w:pPr>
        <w:pStyle w:val="ListBullet"/>
        <w:spacing w:after="60"/>
      </w:pPr>
      <w:r>
        <w:t>Available policies, contracts, certifications, audit reports, testing records, model documentation and incident history.</w:t>
      </w:r>
    </w:p>
    <w:p>
      <w:pPr>
        <w:pStyle w:val="Heading1"/>
        <w:keepNext/>
      </w:pPr>
      <w:r>
        <w:t>Evidence 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75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Verified evidence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 supplied document, record or test result directly supports the statement.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Vendor claim</w:t>
            </w:r>
          </w:p>
        </w:tc>
        <w:tc>
          <w:tcPr>
            <w:tcW w:type="dxa" w:w="75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vendor states the control or capability exists, but evidence has not been reviewed.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User provided information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assessor or business owner supplied the information; independent verification is pending.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Assumption</w:t>
            </w:r>
          </w:p>
        </w:tc>
        <w:tc>
          <w:tcPr>
            <w:tcW w:type="dxa" w:w="75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 provisional premise used to continue the assessment and clearly marked for validation.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Missing information</w:t>
            </w:r>
          </w:p>
        </w:tc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Information required for a defensible conclusion has not been supplied.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Not applicable</w:t>
            </w:r>
          </w:p>
        </w:tc>
        <w:tc>
          <w:tcPr>
            <w:tcW w:type="dxa" w:w="75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The item does not apply to the documented use case; a reason must be recorded.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Framework orientation</w:t>
      </w:r>
    </w:p>
    <w:p>
      <w:r>
        <w:t>Use frameworks as orientation for practical governance, not as a substitute for legal interpretation or certification. Apply the EU AI Act to screen roles and obligations; ISO IEC 42001 to structure organisational AI management; NIST AI RMF to organise governance, mapping, measurement and management; GDPR for personal-data responsibilities; and ISO IEC 27001 or equivalent practices for information security. Record the specific source used when making a framework-based statement.</w:t>
      </w:r>
    </w:p>
    <w:p>
      <w:pPr>
        <w:pStyle w:val="Heading1"/>
        <w:keepNext/>
      </w:pPr>
      <w:r>
        <w:t>Required output</w:t>
      </w:r>
    </w:p>
    <w:p>
      <w:r>
        <w:t>Every assessment must state the use case, inherent-risk tier and reasons, evidence reviewed, evidence gaps, supported controls, unresolved risks, dependencies, proposed conditions, recommended decision, required human reviewers, assumptions and limitations.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AI Vendor Assurance Agent  |  Working knowledge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