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Vendor Evidence and Control Catalogue</w:t>
      </w:r>
    </w:p>
    <w:p>
      <w:pPr>
        <w:spacing w:after="200"/>
      </w:pPr>
      <w:r>
        <w:t>This catalogue helps the AI Vendor Assurance Agent request proportionate evidence and connect risks to practical controls. Evidence must be assessed for scope, recency, relevance and reliability; possession of a document does not by itself establish effective control operation.</w:t>
      </w:r>
    </w:p>
    <w:p>
      <w:pPr>
        <w:pStyle w:val="Heading1"/>
        <w:keepNext/>
      </w:pPr>
      <w:r>
        <w:t>Evidence quality checks</w:t>
      </w:r>
    </w:p>
    <w:p>
      <w:pPr>
        <w:pStyle w:val="ListBullet"/>
        <w:spacing w:after="60"/>
      </w:pPr>
      <w:r>
        <w:t>Scope: Does the evidence cover the assessed service, model, region, environment and subprocessors?</w:t>
      </w:r>
    </w:p>
    <w:p>
      <w:pPr>
        <w:pStyle w:val="ListBullet"/>
        <w:spacing w:after="60"/>
      </w:pPr>
      <w:r>
        <w:t>Recency: Is it current enough for the vendor, model version and risk being assessed?</w:t>
      </w:r>
    </w:p>
    <w:p>
      <w:pPr>
        <w:pStyle w:val="ListBullet"/>
        <w:spacing w:after="60"/>
      </w:pPr>
      <w:r>
        <w:t>Authority: Who produced, approved or independently assessed it?</w:t>
      </w:r>
    </w:p>
    <w:p>
      <w:pPr>
        <w:pStyle w:val="ListBullet"/>
        <w:spacing w:after="60"/>
      </w:pPr>
      <w:r>
        <w:t>Traceability: Can the claim be linked to a test, record, owner, date and acceptance criterion?</w:t>
      </w:r>
    </w:p>
    <w:p>
      <w:pPr>
        <w:pStyle w:val="ListBullet"/>
        <w:spacing w:after="60"/>
      </w:pPr>
      <w:r>
        <w:t>Exceptions: What exclusions, qualifications, unresolved findings or customer responsibilities apply?</w:t>
      </w:r>
    </w:p>
    <w:p>
      <w:pPr>
        <w:pStyle w:val="Heading1"/>
        <w:keepNext/>
      </w:pPr>
      <w:r>
        <w:t>Core evidence catalogue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0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Examples of relevant evidence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Governance and accountability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AI policy; roles and authority map; AI inventory entry; risk acceptance record; training records; management review.</w:t>
            </w:r>
          </w:p>
        </w:tc>
      </w:tr>
      <w:tr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 case and system description</w:t>
            </w:r>
          </w:p>
        </w:tc>
        <w:tc>
          <w:tcPr>
            <w:tcW w:type="dxa" w:w="70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Purpose statement; architecture; model and product documentation; intended users; limitations; prohibited uses; change history.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Data governance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Data sources and provenance; lawful basis; data-flow map; retention; transfer mechanism; data-quality checks; DPA.</w:t>
            </w:r>
          </w:p>
        </w:tc>
      </w:tr>
      <w:tr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Performance and responsible AI</w:t>
            </w:r>
          </w:p>
        </w:tc>
        <w:tc>
          <w:tcPr>
            <w:tcW w:type="dxa" w:w="70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Metric definitions; validation results; subgroup analysis; robustness testing; explainability approach; known failure modes.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Human oversight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Review points; competence requirements; override and fallback procedures; appeal process; monitoring responsibilities.</w:t>
            </w:r>
          </w:p>
        </w:tc>
      </w:tr>
      <w:tr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70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Security architecture; access control; threat model; vulnerability management; logging; penetration or assurance reports; incident response.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Resilience and continuity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Availability commitments; backup and recovery tests; service continuity; degradation modes; manual fallback; exit plan.</w:t>
            </w:r>
          </w:p>
        </w:tc>
      </w:tr>
      <w:tr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Third parties</w:t>
            </w:r>
          </w:p>
        </w:tc>
        <w:tc>
          <w:tcPr>
            <w:tcW w:type="dxa" w:w="70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Subprocessor list; external model and API register; flow-down requirements; change notification; concentration and substitution analysis.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Compliance and assurance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Applicable-requirements register; DPIA or equivalent assessment; audit reports; certifications and scope statements; remediation records.</w:t>
            </w:r>
          </w:p>
        </w:tc>
      </w:tr>
      <w:tr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Contract and lifecycle</w:t>
            </w:r>
          </w:p>
        </w:tc>
        <w:tc>
          <w:tcPr>
            <w:tcW w:type="dxa" w:w="70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Service levels; audit rights; incident notification; data-use restrictions; IP terms; deletion and portability; termination assistance.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Control catalogue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 family</w:t>
            </w:r>
          </w:p>
        </w:tc>
        <w:tc>
          <w:tcPr>
            <w:tcW w:type="dxa" w:w="43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control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Indicative evidence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Inventory and ownership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Register the AI service, purpose, owner, provider and dependencies before use.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Approved inventory record and named accountable owner.</w:t>
            </w:r>
          </w:p>
        </w:tc>
      </w:tr>
      <w:tr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Risk classification</w:t>
            </w:r>
          </w:p>
        </w:tc>
        <w:tc>
          <w:tcPr>
            <w:tcW w:type="dxa" w:w="43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Classify use and impact before procurement or deployment and repeat after material change.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Completed assessment with rationale and approvals.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Data controls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Limit data to approved purposes; validate provenance, quality, access, retention and deletion.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Data map, DPA, access records and validation results.</w:t>
            </w:r>
          </w:p>
        </w:tc>
      </w:tr>
      <w:tr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Performance controls</w:t>
            </w:r>
          </w:p>
        </w:tc>
        <w:tc>
          <w:tcPr>
            <w:tcW w:type="dxa" w:w="43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Define metrics and acceptance thresholds for the intended context; test limitations and affected groups.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Test plan, results, thresholds, exceptions and sign-off.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Human oversight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Provide competent review, meaningful intervention, override, escalation and fallback.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Procedure, training evidence, logs and exercise results.</w:t>
            </w:r>
          </w:p>
        </w:tc>
      </w:tr>
      <w:tr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Security controls</w:t>
            </w:r>
          </w:p>
        </w:tc>
        <w:tc>
          <w:tcPr>
            <w:tcW w:type="dxa" w:w="43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Apply secure configuration, identity and access management, logging, testing and incident response.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Configuration evidence, logs, test reports and tickets.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Third-party controls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Identify subprocessors and external models; require notification, flow-down duties and audit rights.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Dependency register, contract clauses and review records.</w:t>
            </w:r>
          </w:p>
        </w:tc>
      </w:tr>
      <w:tr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Change management</w:t>
            </w:r>
          </w:p>
        </w:tc>
        <w:tc>
          <w:tcPr>
            <w:tcW w:type="dxa" w:w="43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Assess material model, data, feature, hosting and subprocessor changes before release.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Change notices, impact assessment and approval history.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Monitoring and incidents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Monitor performance, misuse, drift, complaints, security events and control failures.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Dashboards, incident log, complaint trends and review minutes.</w:t>
            </w:r>
          </w:p>
        </w:tc>
      </w:tr>
      <w:tr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Exit and continuity</w:t>
            </w:r>
          </w:p>
        </w:tc>
        <w:tc>
          <w:tcPr>
            <w:tcW w:type="dxa" w:w="43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Maintain portability, deletion, replacement and operational fallback arrangements.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Exit plan, export test, deletion evidence and continuity exercise.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Contextual due diligence questions</w:t>
      </w:r>
    </w:p>
    <w:p>
      <w:pPr>
        <w:pStyle w:val="ListBullet"/>
        <w:spacing w:after="60"/>
      </w:pPr>
      <w:r>
        <w:t>Which components and operating conditions support the claimed performance, and when does performance deteriorate?</w:t>
      </w:r>
    </w:p>
    <w:p>
      <w:pPr>
        <w:pStyle w:val="ListBullet"/>
        <w:spacing w:after="60"/>
      </w:pPr>
      <w:r>
        <w:t>What data was used to develop, fine-tune, evaluate and operate the service, and how was provenance established?</w:t>
      </w:r>
    </w:p>
    <w:p>
      <w:pPr>
        <w:pStyle w:val="ListBullet"/>
        <w:spacing w:after="60"/>
      </w:pPr>
      <w:r>
        <w:t>Which decisions or actions can the system influence or execute, and where can a person intervene effectively?</w:t>
      </w:r>
    </w:p>
    <w:p>
      <w:pPr>
        <w:pStyle w:val="ListBullet"/>
        <w:spacing w:after="60"/>
      </w:pPr>
      <w:r>
        <w:t>Which external models, APIs, tools, plugins, subprocessors or hosting providers are required for the service to function?</w:t>
      </w:r>
    </w:p>
    <w:p>
      <w:pPr>
        <w:pStyle w:val="ListBullet"/>
        <w:spacing w:after="60"/>
      </w:pPr>
      <w:r>
        <w:t>How are model, policy and dependency changes communicated, assessed and rolled back?</w:t>
      </w:r>
    </w:p>
    <w:p>
      <w:pPr>
        <w:pStyle w:val="ListBullet"/>
        <w:spacing w:after="60"/>
      </w:pPr>
      <w:r>
        <w:t>What incidents, material complaints, regulatory findings or unresolved assurance issues have affected the service?</w:t>
      </w:r>
    </w:p>
    <w:p>
      <w:pPr>
        <w:pStyle w:val="ListBullet"/>
        <w:spacing w:after="60"/>
      </w:pPr>
      <w:r>
        <w:t>Which controls are operated by the vendor and which remain the customer’s responsibility?</w:t>
      </w:r>
    </w:p>
    <w:p>
      <w:pPr>
        <w:pStyle w:val="ListBullet"/>
        <w:spacing w:after="60"/>
      </w:pPr>
      <w:r>
        <w:t>How can the customer retrieve data, stop processing, migrate the service and verify deletion at exit?</w:t>
      </w:r>
    </w:p>
    <w:p>
      <w:pPr>
        <w:pStyle w:val="Heading1"/>
        <w:keepNext/>
      </w:pPr>
      <w:r>
        <w:t>Monitoring triggers</w:t>
      </w:r>
    </w:p>
    <w:p>
      <w:r>
        <w:t>Reassess when the use case, model, data, autonomy, integration, jurisdiction, subprocessor, ownership or regulatory context changes; when performance falls below an agreed threshold; after a material incident or complaint; before contract renewal; and at the review frequency assigned to the risk tier.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AI Vendor Assurance Agent  |  Working knowledge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