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b/>
        </w:rPr>
        <w:t xml:space="preserve">ESP-MAD intégré – Suivi des révisions </w:t>
      </w:r>
      <w:r>
        <w:rPr>
          <w:b/>
        </w:rPr>
        <w:t>&amp; Tips</w:t>
      </w:r>
    </w:p>
    <w:p>
      <w:pPr>
        <w:pStyle w:val="Normal"/>
        <w:rPr>
          <w:b/>
        </w:rPr>
      </w:pPr>
      <w:r>
        <w:rPr>
          <w:b/>
        </w:rPr>
        <w:t>Compilation de la documentation</w:t>
      </w:r>
    </w:p>
    <w:p>
      <w:pPr>
        <w:pStyle w:val="Normal"/>
        <w:rPr>
          <w:b w:val="false"/>
          <w:bCs w:val="false"/>
        </w:rPr>
      </w:pPr>
      <w:r>
        <w:rPr>
          <w:b w:val="false"/>
          <w:bCs w:val="false"/>
        </w:rPr>
        <w:t xml:space="preserve">La documentation est réalisé à l’aide de sphinx-doc (à installer par </w:t>
      </w:r>
      <w:r>
        <w:rPr>
          <w:b w:val="false"/>
          <w:bCs w:val="false"/>
          <w:i/>
          <w:iCs/>
        </w:rPr>
        <w:t>pip install -U sphinx</w:t>
      </w:r>
      <w:r>
        <w:rPr>
          <w:b w:val="false"/>
          <w:bCs w:val="false"/>
        </w:rPr>
        <w:t>).</w:t>
      </w:r>
    </w:p>
    <w:p>
      <w:pPr>
        <w:pStyle w:val="Normal"/>
        <w:rPr>
          <w:b w:val="false"/>
          <w:bCs w:val="false"/>
        </w:rPr>
      </w:pPr>
      <w:r>
        <w:rPr>
          <w:b w:val="false"/>
          <w:bCs w:val="false"/>
        </w:rPr>
        <w:t>La documentation est réalisée au formation RestructuredTex.</w:t>
      </w:r>
    </w:p>
    <w:p>
      <w:pPr>
        <w:pStyle w:val="Normal"/>
        <w:rPr>
          <w:b w:val="false"/>
          <w:bCs w:val="false"/>
        </w:rPr>
      </w:pPr>
      <w:r>
        <w:rPr>
          <w:b w:val="false"/>
          <w:bCs w:val="false"/>
        </w:rPr>
        <w:t>Le Theme utilisé qui est sphinx_rtd_theme, doit être installé également (</w:t>
      </w:r>
      <w:r>
        <w:rPr>
          <w:b w:val="false"/>
          <w:bCs w:val="false"/>
          <w:i/>
          <w:iCs/>
        </w:rPr>
        <w:t>pip install sphinx_rtd_theme</w:t>
      </w:r>
      <w:r>
        <w:rPr>
          <w:b w:val="false"/>
          <w:bCs w:val="false"/>
        </w:rPr>
        <w:t>).</w:t>
      </w:r>
    </w:p>
    <w:p>
      <w:pPr>
        <w:pStyle w:val="Normal"/>
        <w:rPr>
          <w:b w:val="false"/>
          <w:bCs w:val="false"/>
        </w:rPr>
      </w:pPr>
      <w:r>
        <w:rPr>
          <w:b w:val="false"/>
          <w:bCs w:val="false"/>
        </w:rPr>
        <w:t xml:space="preserve">La compilation de la documentation s’effectue dans la directorie docs/ par : </w:t>
      </w:r>
      <w:r>
        <w:rPr>
          <w:b w:val="false"/>
          <w:bCs w:val="false"/>
          <w:i/>
          <w:iCs/>
        </w:rPr>
        <w:t>make html</w:t>
      </w:r>
      <w:r>
        <w:rPr>
          <w:b w:val="false"/>
          <w:bCs w:val="false"/>
        </w:rPr>
        <w:t>.</w:t>
      </w:r>
    </w:p>
    <w:p>
      <w:pPr>
        <w:pStyle w:val="Normal"/>
        <w:rPr>
          <w:b w:val="false"/>
          <w:bCs w:val="false"/>
        </w:rPr>
      </w:pPr>
      <w:r>
        <w:rPr>
          <w:b w:val="false"/>
          <w:bCs w:val="false"/>
        </w:rPr>
        <w:t xml:space="preserve">Sphinx utilise le fichier de configuration </w:t>
      </w:r>
      <w:r>
        <w:rPr>
          <w:b w:val="false"/>
          <w:bCs w:val="false"/>
          <w:i/>
          <w:iCs/>
        </w:rPr>
        <w:t xml:space="preserve">conf.py </w:t>
      </w:r>
      <w:r>
        <w:rPr>
          <w:b w:val="false"/>
          <w:bCs w:val="false"/>
        </w:rPr>
        <w:t>pour sa compilation.</w:t>
      </w:r>
    </w:p>
    <w:p>
      <w:pPr>
        <w:pStyle w:val="Normal"/>
        <w:rPr>
          <w:b/>
        </w:rPr>
      </w:pPr>
      <w:r>
        <w:rPr>
          <w:b/>
        </w:rPr>
        <w:t>Hard - Rev. A :</w:t>
      </w:r>
    </w:p>
    <w:p>
      <w:pPr>
        <w:pStyle w:val="ListParagraph"/>
        <w:numPr>
          <w:ilvl w:val="0"/>
          <w:numId w:val="2"/>
        </w:numPr>
        <w:rPr/>
      </w:pPr>
      <w:r>
        <w:rPr/>
        <w:t>Création de la carte à partir du design d’Adafruit de l’ESP32</w:t>
      </w:r>
    </w:p>
    <w:p>
      <w:pPr>
        <w:pStyle w:val="ListParagraph"/>
        <w:numPr>
          <w:ilvl w:val="0"/>
          <w:numId w:val="2"/>
        </w:numPr>
        <w:rPr/>
      </w:pPr>
      <w:r>
        <w:rPr/>
        <w:t>Ajout d’un switch pour coupure</w:t>
      </w:r>
    </w:p>
    <w:p>
      <w:pPr>
        <w:pStyle w:val="ListParagraph"/>
        <w:numPr>
          <w:ilvl w:val="0"/>
          <w:numId w:val="2"/>
        </w:numPr>
        <w:rPr/>
      </w:pPr>
      <w:r>
        <w:rPr/>
        <w:t>Ajout du MPU6050 en interface avec le microcontroleur.</w:t>
      </w:r>
    </w:p>
    <w:p>
      <w:pPr>
        <w:pStyle w:val="Normal"/>
        <w:rPr/>
      </w:pPr>
      <w:r>
        <w:rPr>
          <w:b/>
        </w:rPr>
        <w:t xml:space="preserve">Hard - Rev. B </w:t>
      </w:r>
      <w:r>
        <w:rPr/>
        <w:t>– prise en compte</w:t>
      </w:r>
      <w:r>
        <w:rPr>
          <w:b/>
        </w:rPr>
        <w:t xml:space="preserve"> des commentaires flax, rude_ulm, NicoM :</w:t>
      </w:r>
    </w:p>
    <w:tbl>
      <w:tblPr>
        <w:tblStyle w:val="Grilledutableau"/>
        <w:tblW w:w="9288" w:type="dxa"/>
        <w:jc w:val="left"/>
        <w:tblInd w:w="113" w:type="dxa"/>
        <w:tblLayout w:type="fixed"/>
        <w:tblCellMar>
          <w:top w:w="0" w:type="dxa"/>
          <w:left w:w="108" w:type="dxa"/>
          <w:bottom w:w="0" w:type="dxa"/>
          <w:right w:w="108" w:type="dxa"/>
        </w:tblCellMar>
        <w:tblLook w:val="04a0"/>
      </w:tblPr>
      <w:tblGrid>
        <w:gridCol w:w="8473"/>
        <w:gridCol w:w="814"/>
      </w:tblGrid>
      <w:tr>
        <w:trPr/>
        <w:tc>
          <w:tcPr>
            <w:tcW w:w="8473" w:type="dxa"/>
            <w:tcBorders/>
            <w:shd w:color="auto" w:fill="1F497D" w:themeFill="text2" w:val="clear"/>
          </w:tcPr>
          <w:p>
            <w:pPr>
              <w:pStyle w:val="Normal"/>
              <w:widowControl/>
              <w:spacing w:lineRule="auto" w:line="240" w:before="0" w:after="0"/>
              <w:jc w:val="center"/>
              <w:rPr>
                <w:b/>
                <w:color w:themeColor="background1" w:val="FFFFFF"/>
              </w:rPr>
            </w:pPr>
            <w:r>
              <w:rPr>
                <w:rFonts w:eastAsia="Calibri" w:cs=""/>
                <w:b/>
                <w:color w:themeColor="background1" w:val="FFFFFF"/>
                <w:kern w:val="0"/>
                <w:sz w:val="22"/>
                <w:szCs w:val="22"/>
                <w:lang w:eastAsia="en-US" w:bidi="ar-SA"/>
              </w:rPr>
              <w:t>Todo</w:t>
            </w:r>
          </w:p>
        </w:tc>
        <w:tc>
          <w:tcPr>
            <w:tcW w:w="814" w:type="dxa"/>
            <w:tcBorders/>
            <w:shd w:color="auto" w:fill="1F497D" w:themeFill="text2" w:val="clear"/>
          </w:tcPr>
          <w:p>
            <w:pPr>
              <w:pStyle w:val="Normal"/>
              <w:widowControl/>
              <w:spacing w:lineRule="auto" w:line="240" w:before="0" w:after="0"/>
              <w:jc w:val="center"/>
              <w:rPr>
                <w:b/>
                <w:color w:themeColor="background1" w:val="FFFFFF"/>
              </w:rPr>
            </w:pPr>
            <w:r>
              <w:rPr>
                <w:rFonts w:eastAsia="Calibri" w:cs=""/>
                <w:b/>
                <w:color w:themeColor="background1" w:val="FFFFFF"/>
                <w:kern w:val="0"/>
                <w:sz w:val="22"/>
                <w:szCs w:val="22"/>
                <w:lang w:eastAsia="en-US" w:bidi="ar-SA"/>
              </w:rPr>
              <w:t>Statut</w:t>
            </w:r>
          </w:p>
        </w:tc>
      </w:tr>
      <w:tr>
        <w:trPr/>
        <w:tc>
          <w:tcPr>
            <w:tcW w:w="8473" w:type="dxa"/>
            <w:tcBorders/>
            <w:shd w:color="auto" w:fill="auto" w:val="clear"/>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t>Faire un calcul de surface sur la base des surfaces d’empreinte des composants</w:t>
            </w:r>
          </w:p>
        </w:tc>
        <w:tc>
          <w:tcPr>
            <w:tcW w:w="814" w:type="dxa"/>
            <w:tcBorders/>
            <w:shd w:color="auto" w:fill="auto" w:val="clear"/>
          </w:tcPr>
          <w:p>
            <w:pPr>
              <w:pStyle w:val="Normal"/>
              <w:widowControl/>
              <w:spacing w:lineRule="auto" w:line="240" w:before="0" w:after="0"/>
              <w:jc w:val="left"/>
              <w:rPr>
                <w:color w:val="00A65D"/>
              </w:rPr>
            </w:pPr>
            <w:r>
              <w:rPr>
                <w:rFonts w:eastAsia="Calibri" w:cs=""/>
                <w:color w:val="00A65D"/>
                <w:kern w:val="0"/>
                <w:sz w:val="22"/>
                <w:szCs w:val="22"/>
                <w:lang w:eastAsia="en-US" w:bidi="ar-SA"/>
              </w:rPr>
              <w:t>Fait</w:t>
            </w:r>
          </w:p>
        </w:tc>
      </w:tr>
      <w:tr>
        <w:trPr/>
        <w:tc>
          <w:tcPr>
            <w:tcW w:w="8473" w:type="dxa"/>
            <w:tcBorders/>
            <w:shd w:color="auto" w:fill="auto" w:val="clear"/>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t xml:space="preserve">Ajout d’une protection ESD sur l’USB </w:t>
            </w:r>
          </w:p>
        </w:tc>
        <w:tc>
          <w:tcPr>
            <w:tcW w:w="814" w:type="dxa"/>
            <w:tcBorders/>
            <w:shd w:color="auto" w:fill="auto" w:val="clear"/>
          </w:tcPr>
          <w:p>
            <w:pPr>
              <w:pStyle w:val="Normal"/>
              <w:widowControl/>
              <w:spacing w:lineRule="auto" w:line="240" w:before="0" w:after="0"/>
              <w:jc w:val="left"/>
              <w:rPr>
                <w:color w:val="00B050"/>
              </w:rPr>
            </w:pPr>
            <w:r>
              <w:rPr>
                <w:rFonts w:eastAsia="Calibri" w:cs=""/>
                <w:color w:val="00B050"/>
                <w:kern w:val="0"/>
                <w:sz w:val="22"/>
                <w:szCs w:val="22"/>
                <w:lang w:eastAsia="en-US" w:bidi="ar-SA"/>
              </w:rPr>
              <w:t>Fait</w:t>
            </w:r>
          </w:p>
        </w:tc>
      </w:tr>
      <w:tr>
        <w:trPr/>
        <w:tc>
          <w:tcPr>
            <w:tcW w:w="8473" w:type="dxa"/>
            <w:tcBorders/>
            <w:shd w:color="auto" w:fill="auto" w:val="clear"/>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t>Déplacer le switch S11 sur VBAT plutôt que de le laisser sur le OUT de la sortie 3,3v</w:t>
            </w:r>
          </w:p>
        </w:tc>
        <w:tc>
          <w:tcPr>
            <w:tcW w:w="814" w:type="dxa"/>
            <w:tcBorders/>
            <w:shd w:color="auto" w:fill="auto" w:val="clear"/>
          </w:tcPr>
          <w:p>
            <w:pPr>
              <w:pStyle w:val="Normal"/>
              <w:widowControl/>
              <w:spacing w:lineRule="auto" w:line="240" w:before="0" w:after="0"/>
              <w:jc w:val="left"/>
              <w:rPr>
                <w:color w:val="00B050"/>
              </w:rPr>
            </w:pPr>
            <w:r>
              <w:rPr>
                <w:rFonts w:eastAsia="Calibri" w:cs=""/>
                <w:color w:val="00B050"/>
                <w:kern w:val="0"/>
                <w:sz w:val="22"/>
                <w:szCs w:val="22"/>
                <w:lang w:eastAsia="en-US" w:bidi="ar-SA"/>
              </w:rPr>
              <w:t>Fait</w:t>
            </w:r>
          </w:p>
        </w:tc>
      </w:tr>
      <w:tr>
        <w:trPr/>
        <w:tc>
          <w:tcPr>
            <w:tcW w:w="8473" w:type="dxa"/>
            <w:tcBorders/>
            <w:shd w:color="auto" w:fill="auto" w:val="clear"/>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t>Remplacer Q2/R5 et Q3/R6 par des transistors avec résistance de base intégré. Chez NXP c’est  par des transistors avec résistance de base intégrée. Chez NXP c'est PDTA114 et PDTC114 :</w:t>
              <w:br/>
            </w:r>
            <w:hyperlink r:id="rId2">
              <w:r>
                <w:rPr>
                  <w:rStyle w:val="Style9"/>
                  <w:rFonts w:eastAsia="Calibri" w:cs=""/>
                  <w:kern w:val="0"/>
                  <w:sz w:val="22"/>
                  <w:szCs w:val="22"/>
                  <w:lang w:eastAsia="en-US" w:bidi="ar-SA"/>
                </w:rPr>
                <w:t>https://www.nexperia.com/products/bipolar-transistors/resistor-equipped-transistors-rets/rets-100-ma-single/series/PDTC114T-SERIES.html</w:t>
              </w:r>
            </w:hyperlink>
            <w:r>
              <w:rPr>
                <w:rFonts w:eastAsia="Calibri" w:cs=""/>
                <w:kern w:val="0"/>
                <w:sz w:val="22"/>
                <w:szCs w:val="22"/>
                <w:lang w:eastAsia="en-US" w:bidi="ar-SA"/>
              </w:rPr>
              <w:br/>
            </w:r>
            <w:hyperlink r:id="rId3">
              <w:r>
                <w:rPr>
                  <w:rStyle w:val="Style9"/>
                  <w:rFonts w:eastAsia="Calibri" w:cs=""/>
                  <w:kern w:val="0"/>
                  <w:sz w:val="22"/>
                  <w:szCs w:val="22"/>
                  <w:lang w:eastAsia="en-US" w:bidi="ar-SA"/>
                </w:rPr>
                <w:t>https://www.nexperia.com/products/bipolar-transistors/resistor-equipped-transistors-rets/rets-100-ma-single/series/PDTA114T-SERIES.html</w:t>
              </w:r>
            </w:hyperlink>
          </w:p>
        </w:tc>
        <w:tc>
          <w:tcPr>
            <w:tcW w:w="814" w:type="dxa"/>
            <w:tcBorders/>
            <w:shd w:color="auto" w:fill="auto" w:val="clear"/>
          </w:tcPr>
          <w:p>
            <w:pPr>
              <w:pStyle w:val="Normal"/>
              <w:widowControl/>
              <w:spacing w:lineRule="auto" w:line="240" w:before="0" w:after="0"/>
              <w:jc w:val="left"/>
              <w:rPr>
                <w:color w:val="00B050"/>
              </w:rPr>
            </w:pPr>
            <w:r>
              <w:rPr>
                <w:rFonts w:eastAsia="Calibri" w:cs=""/>
                <w:color w:val="00B050"/>
                <w:kern w:val="0"/>
                <w:sz w:val="22"/>
                <w:szCs w:val="22"/>
                <w:lang w:eastAsia="en-US" w:bidi="ar-SA"/>
              </w:rPr>
              <w:t>Fait</w:t>
            </w:r>
          </w:p>
          <w:p>
            <w:pPr>
              <w:pStyle w:val="Normal"/>
              <w:widowControl/>
              <w:spacing w:lineRule="auto" w:line="240" w:before="0" w:after="0"/>
              <w:jc w:val="left"/>
              <w:rPr>
                <w:color w:val="FF0000"/>
              </w:rPr>
            </w:pPr>
            <w:r>
              <w:rPr>
                <w:rFonts w:eastAsia="Calibri" w:cs=""/>
                <w:color w:val="FF0000"/>
                <w:kern w:val="0"/>
                <w:sz w:val="22"/>
                <w:szCs w:val="22"/>
                <w:lang w:eastAsia="en-US" w:bidi="ar-SA"/>
              </w:rPr>
            </w:r>
          </w:p>
        </w:tc>
      </w:tr>
      <w:tr>
        <w:trPr/>
        <w:tc>
          <w:tcPr>
            <w:tcW w:w="8473" w:type="dxa"/>
            <w:tcBorders/>
            <w:shd w:color="auto" w:fill="auto" w:val="clear"/>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t>Il serait judicieux d'ajouter un condensateur en parallèle de SW1, genre 10nF ou 100nF.</w:t>
            </w:r>
          </w:p>
        </w:tc>
        <w:tc>
          <w:tcPr>
            <w:tcW w:w="814" w:type="dxa"/>
            <w:tcBorders/>
            <w:shd w:color="auto" w:fill="auto" w:val="clear"/>
          </w:tcPr>
          <w:p>
            <w:pPr>
              <w:pStyle w:val="Normal"/>
              <w:widowControl/>
              <w:spacing w:lineRule="auto" w:line="240" w:before="0" w:after="0"/>
              <w:jc w:val="left"/>
              <w:rPr>
                <w:color w:val="00B050"/>
              </w:rPr>
            </w:pPr>
            <w:r>
              <w:rPr>
                <w:rFonts w:eastAsia="Calibri" w:cs=""/>
                <w:color w:val="00B050"/>
                <w:kern w:val="0"/>
                <w:sz w:val="22"/>
                <w:szCs w:val="22"/>
                <w:lang w:eastAsia="en-US" w:bidi="ar-SA"/>
              </w:rPr>
              <w:t>Fait</w:t>
            </w:r>
          </w:p>
        </w:tc>
      </w:tr>
      <w:tr>
        <w:trPr/>
        <w:tc>
          <w:tcPr>
            <w:tcW w:w="8473" w:type="dxa"/>
            <w:tcBorders/>
            <w:shd w:color="auto" w:fill="auto" w:val="clear"/>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t>Idem capa de filtrage en parallèle de R4, voir ce que préconise la datasheet du MCU, en général on met 100nF mais si l'ADC l'encaisse on peut mettre moins.</w:t>
            </w:r>
          </w:p>
        </w:tc>
        <w:tc>
          <w:tcPr>
            <w:tcW w:w="814" w:type="dxa"/>
            <w:tcBorders/>
            <w:shd w:color="auto" w:fill="auto" w:val="clear"/>
          </w:tcPr>
          <w:p>
            <w:pPr>
              <w:pStyle w:val="Normal"/>
              <w:widowControl/>
              <w:spacing w:lineRule="auto" w:line="240" w:before="0" w:after="0"/>
              <w:jc w:val="left"/>
              <w:rPr>
                <w:color w:val="00B050"/>
              </w:rPr>
            </w:pPr>
            <w:r>
              <w:rPr>
                <w:rFonts w:eastAsia="Calibri" w:cs=""/>
                <w:color w:val="00B050"/>
                <w:kern w:val="0"/>
                <w:sz w:val="22"/>
                <w:szCs w:val="22"/>
                <w:lang w:eastAsia="en-US" w:bidi="ar-SA"/>
              </w:rPr>
              <w:t>Fait</w:t>
            </w:r>
          </w:p>
        </w:tc>
      </w:tr>
      <w:tr>
        <w:trPr/>
        <w:tc>
          <w:tcPr>
            <w:tcW w:w="8473" w:type="dxa"/>
            <w:tcBorders/>
            <w:shd w:color="auto" w:fill="auto" w:val="clear"/>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t>SiLabs recommande le CP2102N à la place du CP2104</w:t>
            </w:r>
          </w:p>
        </w:tc>
        <w:tc>
          <w:tcPr>
            <w:tcW w:w="814" w:type="dxa"/>
            <w:tcBorders/>
            <w:shd w:color="auto" w:fill="auto" w:val="clear"/>
          </w:tcPr>
          <w:p>
            <w:pPr>
              <w:pStyle w:val="Normal"/>
              <w:widowControl/>
              <w:spacing w:lineRule="auto" w:line="240" w:before="0" w:after="0"/>
              <w:jc w:val="left"/>
              <w:rPr>
                <w:color w:val="00B050"/>
              </w:rPr>
            </w:pPr>
            <w:r>
              <w:rPr>
                <w:rFonts w:eastAsia="Calibri" w:cs=""/>
                <w:color w:val="00B050"/>
                <w:kern w:val="0"/>
                <w:sz w:val="22"/>
                <w:szCs w:val="22"/>
                <w:lang w:eastAsia="en-US" w:bidi="ar-SA"/>
              </w:rPr>
              <w:t>Fait</w:t>
            </w:r>
          </w:p>
        </w:tc>
      </w:tr>
      <w:tr>
        <w:trPr/>
        <w:tc>
          <w:tcPr>
            <w:tcW w:w="8473" w:type="dxa"/>
            <w:tcBorders/>
            <w:shd w:color="auto" w:fill="auto" w:val="clear"/>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t>1k pour R12 me paraît élevé. Je ne sais pas quelle LED bleue tu comptes utiliser mais elle ne va pas voir passer beaucoup de courant (forcément moins que 3,3 mA) et donc ne pas s'allumer très fort. Idem pour R7 et R9. Surtout R7, puisqu'elle est sur Vusb donc qu'il n'y a pas de contrainte de consommation contrairement aux deux autres qui tirent sur la batterie.</w:t>
            </w:r>
          </w:p>
        </w:tc>
        <w:tc>
          <w:tcPr>
            <w:tcW w:w="814" w:type="dxa"/>
            <w:tcBorders/>
            <w:shd w:color="auto" w:fill="auto" w:val="clear"/>
          </w:tcPr>
          <w:p>
            <w:pPr>
              <w:pStyle w:val="Normal"/>
              <w:widowControl/>
              <w:spacing w:lineRule="auto" w:line="240" w:before="0" w:after="0"/>
              <w:jc w:val="left"/>
              <w:rPr>
                <w:color w:val="00B050"/>
              </w:rPr>
            </w:pPr>
            <w:r>
              <w:rPr>
                <w:rFonts w:eastAsia="Calibri" w:cs=""/>
                <w:color w:val="00B050"/>
                <w:kern w:val="0"/>
                <w:sz w:val="22"/>
                <w:szCs w:val="22"/>
                <w:lang w:eastAsia="en-US" w:bidi="ar-SA"/>
              </w:rPr>
              <w:t>Fait</w:t>
            </w:r>
          </w:p>
        </w:tc>
      </w:tr>
      <w:tr>
        <w:trPr/>
        <w:tc>
          <w:tcPr>
            <w:tcW w:w="8473" w:type="dxa"/>
            <w:tcBorders/>
            <w:shd w:color="auto" w:fill="auto" w:val="clear"/>
          </w:tcPr>
          <w:p>
            <w:pPr>
              <w:pStyle w:val="Normal"/>
              <w:widowControl/>
              <w:spacing w:lineRule="auto" w:line="240" w:before="0" w:after="0"/>
              <w:jc w:val="left"/>
              <w:rPr>
                <w:rFonts w:ascii="Calibri" w:hAnsi="Calibri" w:eastAsia="Calibri" w:cs=""/>
                <w:kern w:val="0"/>
                <w:sz w:val="22"/>
                <w:szCs w:val="22"/>
                <w:lang w:eastAsia="en-US" w:bidi="ar-SA"/>
              </w:rPr>
            </w:pPr>
            <w:r>
              <w:rPr>
                <w:rFonts w:eastAsia="Calibri" w:cs=""/>
                <w:kern w:val="0"/>
                <w:sz w:val="22"/>
                <w:szCs w:val="22"/>
                <w:lang w:eastAsia="en-US" w:bidi="ar-SA"/>
              </w:rPr>
              <w:t>Remarque annexe : il est toujours bon d'indiquer dans le nom d'un signal s'il est actif à 0 ou à 1, généralement en ajoutant un suffixe (*, # ou _n par exemple), ça aide beaucoup la compréhension. Dans ton schéma, RESET est actif à 0, il serait donc judicieux de le renommer en RESET*, RESET#, RESET_n...</w:t>
            </w:r>
          </w:p>
        </w:tc>
        <w:tc>
          <w:tcPr>
            <w:tcW w:w="814" w:type="dxa"/>
            <w:tcBorders/>
            <w:shd w:color="auto" w:fill="auto" w:val="clear"/>
          </w:tcPr>
          <w:p>
            <w:pPr>
              <w:pStyle w:val="Normal"/>
              <w:widowControl/>
              <w:spacing w:lineRule="auto" w:line="240" w:before="0" w:after="0"/>
              <w:jc w:val="left"/>
              <w:rPr>
                <w:color w:val="00B050"/>
              </w:rPr>
            </w:pPr>
            <w:r>
              <w:rPr>
                <w:rFonts w:eastAsia="Calibri" w:cs=""/>
                <w:color w:val="00B050"/>
                <w:kern w:val="0"/>
                <w:sz w:val="22"/>
                <w:szCs w:val="22"/>
                <w:lang w:eastAsia="en-US" w:bidi="ar-SA"/>
              </w:rPr>
              <w:t>Non fait.</w:t>
            </w:r>
          </w:p>
        </w:tc>
      </w:tr>
    </w:tbl>
    <w:p>
      <w:pPr>
        <w:pStyle w:val="Normal"/>
        <w:rPr>
          <w:b/>
        </w:rPr>
      </w:pPr>
      <w:r>
        <w:rPr>
          <w:b/>
        </w:rPr>
      </w:r>
    </w:p>
    <w:p>
      <w:pPr>
        <w:pStyle w:val="Normal"/>
        <w:rPr/>
      </w:pPr>
      <w:r>
        <w:rPr>
          <w:b/>
          <w:bCs/>
        </w:rPr>
        <w:t>Soft - 1.0.3</w:t>
      </w:r>
      <w:r>
        <w:rPr/>
        <w:t xml:space="preserve"> – Esp_mad_task_measure passé en composant externe</w:t>
      </w:r>
    </w:p>
    <w:p>
      <w:pPr>
        <w:pStyle w:val="Normal"/>
        <w:rPr>
          <w:b/>
        </w:rPr>
      </w:pPr>
      <w:r>
        <w:rPr>
          <w:b/>
        </w:rPr>
        <w:t>Hard – Rev G :</w:t>
      </w:r>
    </w:p>
    <w:p>
      <w:pPr>
        <w:pStyle w:val="ListParagraph"/>
        <w:numPr>
          <w:ilvl w:val="0"/>
          <w:numId w:val="3"/>
        </w:numPr>
        <w:rPr/>
      </w:pPr>
      <w:r>
        <w:rPr/>
        <w:t>Suppression C5 en parallèle du bouton BOOT. Sans cette modification la carte ne démarrait pas sans un appui sur le bouton EN.</w:t>
      </w:r>
    </w:p>
    <w:p>
      <w:pPr>
        <w:pStyle w:val="Normal"/>
        <w:rPr>
          <w:b/>
        </w:rPr>
      </w:pPr>
      <w:r>
        <w:rPr>
          <w:b/>
        </w:rPr>
        <w:t xml:space="preserve">Hard  – RevF : </w:t>
      </w:r>
    </w:p>
    <w:p>
      <w:pPr>
        <w:pStyle w:val="ListParagraph"/>
        <w:numPr>
          <w:ilvl w:val="0"/>
          <w:numId w:val="3"/>
        </w:numPr>
        <w:rPr/>
      </w:pPr>
      <w:r>
        <w:rPr/>
        <w:t>Remplacement interrupteur SMT MLL1200S trop petit, par un interrupteur E-switch EG1213 avec un activateur de 5 mm</w:t>
      </w:r>
    </w:p>
    <w:p>
      <w:pPr>
        <w:pStyle w:val="Normal"/>
        <w:rPr/>
      </w:pPr>
      <w:r>
        <w:rPr>
          <w:b/>
          <w:bCs/>
        </w:rPr>
        <w:t xml:space="preserve">Soft – </w:t>
      </w:r>
      <w:r>
        <w:rPr>
          <w:b/>
          <w:bCs/>
        </w:rPr>
        <w:t xml:space="preserve">2.0.0 – </w:t>
      </w:r>
      <w:r>
        <w:rPr>
          <w:b w:val="false"/>
          <w:bCs w:val="false"/>
        </w:rPr>
        <w:t>Portage sous ESP-DF v5.5.1 :</w:t>
      </w:r>
    </w:p>
    <w:p>
      <w:pPr>
        <w:pStyle w:val="ListParagraph"/>
        <w:widowControl/>
        <w:numPr>
          <w:ilvl w:val="0"/>
          <w:numId w:val="3"/>
        </w:numPr>
        <w:bidi w:val="0"/>
        <w:spacing w:lineRule="auto" w:line="276"/>
        <w:jc w:val="left"/>
        <w:rPr>
          <w:lang w:val="fr-FR"/>
        </w:rPr>
      </w:pPr>
      <w:r>
        <w:rPr>
          <w:lang w:val="fr-FR"/>
        </w:rPr>
        <w:t>La gestion des évènements avec les event_loop a été modifiée</w:t>
      </w:r>
    </w:p>
    <w:p>
      <w:pPr>
        <w:pStyle w:val="ListParagraph"/>
        <w:widowControl/>
        <w:numPr>
          <w:ilvl w:val="0"/>
          <w:numId w:val="3"/>
        </w:numPr>
        <w:bidi w:val="0"/>
        <w:spacing w:lineRule="auto" w:line="276"/>
        <w:jc w:val="left"/>
        <w:rPr>
          <w:lang w:val="fr-FR"/>
        </w:rPr>
      </w:pPr>
      <w:r>
        <w:rPr>
          <w:lang w:val="fr-FR"/>
        </w:rPr>
        <w:t>Mise en œuvre du nouveau driver Wifi.</w:t>
      </w:r>
    </w:p>
    <w:p>
      <w:pPr>
        <w:pStyle w:val="ListParagraph"/>
        <w:widowControl/>
        <w:numPr>
          <w:ilvl w:val="0"/>
          <w:numId w:val="3"/>
        </w:numPr>
        <w:bidi w:val="0"/>
        <w:spacing w:lineRule="auto" w:line="276"/>
        <w:jc w:val="left"/>
        <w:rPr>
          <w:lang w:val="fr-FR"/>
        </w:rPr>
      </w:pPr>
      <w:r>
        <w:rPr>
          <w:lang w:val="fr-FR"/>
        </w:rPr>
        <w:t>Déplacement du fichier .readthedocs.yaml pour compatibilité avec ReadTheDocs</w:t>
      </w:r>
    </w:p>
    <w:p>
      <w:pPr>
        <w:pStyle w:val="ListParagraph"/>
        <w:widowControl/>
        <w:numPr>
          <w:ilvl w:val="0"/>
          <w:numId w:val="3"/>
        </w:numPr>
        <w:bidi w:val="0"/>
        <w:spacing w:lineRule="auto" w:line="276"/>
        <w:jc w:val="left"/>
        <w:rPr>
          <w:lang w:val="fr-FR"/>
        </w:rPr>
      </w:pPr>
      <w:r>
        <w:rPr>
          <w:lang w:val="fr-FR"/>
        </w:rPr>
        <w:t>Ajout de sphinx_rtd_theme dans Requirements.txt pour ReadTheDocs (non inclus par défaut par ReadTheDocs au niveau de sa compilation).</w:t>
      </w:r>
    </w:p>
    <w:p>
      <w:pPr>
        <w:pStyle w:val="Normal"/>
        <w:spacing w:before="0" w:after="200"/>
        <w:rPr/>
      </w:pPr>
      <w:r>
        <w:rPr/>
      </w:r>
    </w:p>
    <w:sectPr>
      <w:type w:val="nextPage"/>
      <w:pgSz w:w="11906" w:h="16838"/>
      <w:pgMar w:left="1417" w:right="1417" w:gutter="0" w:header="0" w:top="1417" w:footer="0" w:bottom="1417"/>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46385b"/>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character" w:styleId="DefaultParagraphFont" w:default="1">
    <w:name w:val="Default Paragraph Font"/>
    <w:uiPriority w:val="1"/>
    <w:semiHidden/>
    <w:unhideWhenUsed/>
    <w:qFormat/>
    <w:rPr/>
  </w:style>
  <w:style w:type="character" w:styleId="LienInternet" w:customStyle="1">
    <w:name w:val="Lien Internet"/>
    <w:basedOn w:val="DefaultParagraphFont"/>
    <w:uiPriority w:val="99"/>
    <w:semiHidden/>
    <w:unhideWhenUsed/>
    <w:qFormat/>
    <w:rsid w:val="008d531c"/>
    <w:rPr>
      <w:color w:val="0000FF"/>
      <w:u w:val="single"/>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rsid w:val="00bb1e68"/>
    <w:pPr>
      <w:spacing w:before="0" w:after="140"/>
    </w:pPr>
    <w:rPr/>
  </w:style>
  <w:style w:type="paragraph" w:styleId="List">
    <w:name w:val="List"/>
    <w:basedOn w:val="BodyText"/>
    <w:rsid w:val="00bb1e68"/>
    <w:pPr/>
    <w:rPr>
      <w:rFonts w:cs="Lohit Devanagari"/>
    </w:rPr>
  </w:style>
  <w:style w:type="paragraph" w:styleId="Caption" w:customStyle="1">
    <w:name w:val="caption"/>
    <w:basedOn w:val="Normal"/>
    <w:qFormat/>
    <w:rsid w:val="00bb1e68"/>
    <w:pPr>
      <w:suppressLineNumbers/>
      <w:spacing w:before="120" w:after="120"/>
    </w:pPr>
    <w:rPr>
      <w:rFonts w:cs="Lohit Devanagari"/>
      <w:i/>
      <w:iCs/>
      <w:sz w:val="24"/>
      <w:szCs w:val="24"/>
    </w:rPr>
  </w:style>
  <w:style w:type="paragraph" w:styleId="Index" w:customStyle="1">
    <w:name w:val="Index"/>
    <w:basedOn w:val="Normal"/>
    <w:qFormat/>
    <w:rsid w:val="00bb1e68"/>
    <w:pPr>
      <w:suppressLineNumbers/>
    </w:pPr>
    <w:rPr>
      <w:rFonts w:cs="Lohit Devanagari"/>
    </w:rPr>
  </w:style>
  <w:style w:type="paragraph" w:styleId="Title">
    <w:name w:val="Title"/>
    <w:basedOn w:val="Normal"/>
    <w:next w:val="BodyText"/>
    <w:qFormat/>
    <w:rsid w:val="00bb1e68"/>
    <w:pPr>
      <w:keepNext w:val="true"/>
      <w:spacing w:before="240" w:after="120"/>
    </w:pPr>
    <w:rPr>
      <w:rFonts w:ascii="Liberation Sans" w:hAnsi="Liberation Sans" w:eastAsia="Noto Sans CJK SC" w:cs="Lohit Devanagari"/>
      <w:sz w:val="28"/>
      <w:szCs w:val="28"/>
    </w:rPr>
  </w:style>
  <w:style w:type="paragraph" w:styleId="ListParagraph">
    <w:name w:val="List Paragraph"/>
    <w:basedOn w:val="Normal"/>
    <w:uiPriority w:val="34"/>
    <w:qFormat/>
    <w:rsid w:val="008d531c"/>
    <w:pPr>
      <w:spacing w:before="0" w:after="200"/>
      <w:ind w:left="720"/>
      <w:contextualSpacing/>
    </w:pPr>
    <w:rPr/>
  </w:style>
  <w:style w:type="numbering" w:styleId="NoList" w:default="1">
    <w:name w:val="No List"/>
    <w:uiPriority w:val="99"/>
    <w:semiHidden/>
    <w:unhideWhenUsed/>
    <w:qFormat/>
  </w:style>
  <w:style w:type="table" w:default="1" w:styleId="TableauNormal">
    <w:name w:val="Normal Table"/>
    <w:uiPriority w:val="99"/>
    <w:semiHidden/>
    <w:unhideWhenUsed/>
    <w:qFormat/>
    <w:tblPr>
      <w:tblCellMar>
        <w:top w:w="0" w:type="dxa"/>
        <w:left w:w="108" w:type="dxa"/>
        <w:bottom w:w="0" w:type="dxa"/>
        <w:right w:w="108" w:type="dxa"/>
      </w:tblCellMar>
    </w:tblPr>
  </w:style>
  <w:style w:type="table" w:styleId="Grilledutableau">
    <w:name w:val="Table Grid"/>
    <w:basedOn w:val="TableauNormal"/>
    <w:uiPriority w:val="59"/>
    <w:rsid w:val="008d531c"/>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experia.com/products/bipolar-transistors/resistor-equipped-transistors-rets/rets-100-ma-single/series/PDTC114T-SERIES.html" TargetMode="External"/><Relationship Id="rId3" Type="http://schemas.openxmlformats.org/officeDocument/2006/relationships/hyperlink" Target="https://www.nexperia.com/products/bipolar-transistors/resistor-equipped-transistors-rets/rets-100-ma-single/series/PDTA114T-SERIES.html"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219</TotalTime>
  <Application>LibreOffice/25.2.3.2$Linux_AARCH64 LibreOffice_project/520$Build-2</Application>
  <AppVersion>15.0000</AppVersion>
  <DocSecurity>0</DocSecurity>
  <Pages>2</Pages>
  <Words>481</Words>
  <Characters>2629</Characters>
  <CharactersWithSpaces>3070</CharactersWithSpaces>
  <Paragraphs>42</Paragraphs>
  <Company>MiDePin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2019-10-06T15:03:00Z</dcterms:created>
  <dc:creator>Eliot DESANDRE</dc:creator>
  <dc:description/>
  <dc:language>fr-FR</dc:language>
  <cp:lastModifiedBy/>
  <dcterms:modified xsi:type="dcterms:W3CDTF">2026-02-04T19:49:57Z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