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ESP-MAD intégré – Suivi des révisions</w:t>
      </w:r>
    </w:p>
    <w:p>
      <w:pPr>
        <w:pStyle w:val="Normal"/>
        <w:rPr>
          <w:b/>
          <w:b/>
        </w:rPr>
      </w:pPr>
      <w:r>
        <w:rPr>
          <w:b/>
        </w:rPr>
        <w:t>Rév. A :</w:t>
      </w:r>
    </w:p>
    <w:p>
      <w:pPr>
        <w:pStyle w:val="ListParagraph"/>
        <w:numPr>
          <w:ilvl w:val="0"/>
          <w:numId w:val="1"/>
        </w:numPr>
        <w:rPr/>
      </w:pPr>
      <w:r>
        <w:rPr/>
        <w:t>Création de la carte à partir du design d’Adafruit de l’ESP32</w:t>
      </w:r>
    </w:p>
    <w:p>
      <w:pPr>
        <w:pStyle w:val="ListParagraph"/>
        <w:numPr>
          <w:ilvl w:val="0"/>
          <w:numId w:val="1"/>
        </w:numPr>
        <w:rPr/>
      </w:pPr>
      <w:r>
        <w:rPr/>
        <w:t>Ajout d’un switch pour coupure</w:t>
      </w:r>
    </w:p>
    <w:p>
      <w:pPr>
        <w:pStyle w:val="ListParagraph"/>
        <w:numPr>
          <w:ilvl w:val="0"/>
          <w:numId w:val="1"/>
        </w:numPr>
        <w:rPr/>
      </w:pPr>
      <w:r>
        <w:rPr/>
        <w:t>Ajout du MPU6050 en interface avec le microcontroleur.</w:t>
      </w:r>
    </w:p>
    <w:p>
      <w:pPr>
        <w:pStyle w:val="Normal"/>
        <w:rPr/>
      </w:pPr>
      <w:r>
        <w:rPr>
          <w:b/>
        </w:rPr>
        <w:t xml:space="preserve">Rév. B </w:t>
      </w:r>
      <w:r>
        <w:rPr/>
        <w:t>– prise en compte</w:t>
      </w:r>
      <w:r>
        <w:rPr>
          <w:b/>
        </w:rPr>
        <w:t xml:space="preserve"> des comm</w:t>
      </w:r>
      <w:r>
        <w:rPr>
          <w:b/>
        </w:rPr>
        <w:t>e</w:t>
      </w:r>
      <w:r>
        <w:rPr>
          <w:b/>
        </w:rPr>
        <w:t>ntaires flax, rude_ulm, NicoM :</w:t>
      </w:r>
    </w:p>
    <w:tbl>
      <w:tblPr>
        <w:tblStyle w:val="Grilledutableau"/>
        <w:tblW w:w="9288" w:type="dxa"/>
        <w:jc w:val="left"/>
        <w:tblInd w:w="0" w:type="dxa"/>
        <w:tblCellMar>
          <w:top w:w="0" w:type="dxa"/>
          <w:left w:w="108" w:type="dxa"/>
          <w:bottom w:w="0" w:type="dxa"/>
          <w:right w:w="108" w:type="dxa"/>
        </w:tblCellMar>
        <w:tblLook w:val="04a0"/>
      </w:tblPr>
      <w:tblGrid>
        <w:gridCol w:w="8472"/>
        <w:gridCol w:w="815"/>
      </w:tblGrid>
      <w:tr>
        <w:trPr/>
        <w:tc>
          <w:tcPr>
            <w:tcW w:w="8472" w:type="dxa"/>
            <w:tcBorders/>
            <w:shd w:color="auto" w:fill="1F497D" w:themeFill="text2" w:val="clear"/>
          </w:tcPr>
          <w:p>
            <w:pPr>
              <w:pStyle w:val="Normal"/>
              <w:spacing w:lineRule="auto" w:line="240" w:before="0" w:after="0"/>
              <w:jc w:val="center"/>
              <w:rPr>
                <w:b/>
                <w:b/>
                <w:color w:val="FFFFFF" w:themeColor="background1"/>
              </w:rPr>
            </w:pPr>
            <w:r>
              <w:rPr>
                <w:b/>
                <w:color w:val="FFFFFF" w:themeColor="background1"/>
              </w:rPr>
              <w:t>Todo</w:t>
            </w:r>
          </w:p>
        </w:tc>
        <w:tc>
          <w:tcPr>
            <w:tcW w:w="815" w:type="dxa"/>
            <w:tcBorders/>
            <w:shd w:color="auto" w:fill="1F497D" w:themeFill="text2" w:val="clear"/>
          </w:tcPr>
          <w:p>
            <w:pPr>
              <w:pStyle w:val="Normal"/>
              <w:spacing w:lineRule="auto" w:line="240" w:before="0" w:after="0"/>
              <w:jc w:val="center"/>
              <w:rPr>
                <w:b/>
                <w:b/>
                <w:color w:val="FFFFFF" w:themeColor="background1"/>
              </w:rPr>
            </w:pPr>
            <w:r>
              <w:rPr>
                <w:b/>
                <w:color w:val="FFFFFF" w:themeColor="background1"/>
              </w:rPr>
              <w:t>Statut</w:t>
            </w:r>
          </w:p>
        </w:tc>
      </w:tr>
      <w:tr>
        <w:trPr/>
        <w:tc>
          <w:tcPr>
            <w:tcW w:w="8472" w:type="dxa"/>
            <w:tcBorders/>
            <w:shd w:fill="auto" w:val="clear"/>
          </w:tcPr>
          <w:p>
            <w:pPr>
              <w:pStyle w:val="Normal"/>
              <w:spacing w:lineRule="auto" w:line="240" w:before="0" w:after="0"/>
              <w:rPr/>
            </w:pPr>
            <w:r>
              <w:rPr/>
              <w:t>Faire un calcul de surface sur la base des surfaces d’empreinte des composants</w:t>
            </w:r>
          </w:p>
        </w:tc>
        <w:tc>
          <w:tcPr>
            <w:tcW w:w="815" w:type="dxa"/>
            <w:tcBorders/>
            <w:shd w:fill="auto" w:val="clear"/>
          </w:tcPr>
          <w:p>
            <w:pPr>
              <w:pStyle w:val="Normal"/>
              <w:spacing w:lineRule="auto" w:line="240" w:before="0" w:after="0"/>
              <w:rPr>
                <w:color w:val="00A65D"/>
              </w:rPr>
            </w:pPr>
            <w:r>
              <w:rPr>
                <w:color w:val="00A65D"/>
              </w:rPr>
              <w:t>Fait</w:t>
            </w:r>
          </w:p>
        </w:tc>
      </w:tr>
      <w:tr>
        <w:trPr/>
        <w:tc>
          <w:tcPr>
            <w:tcW w:w="8472" w:type="dxa"/>
            <w:tcBorders/>
            <w:shd w:fill="auto" w:val="clear"/>
          </w:tcPr>
          <w:p>
            <w:pPr>
              <w:pStyle w:val="Normal"/>
              <w:spacing w:lineRule="auto" w:line="240" w:before="0" w:after="0"/>
              <w:rPr/>
            </w:pPr>
            <w:r>
              <w:rPr/>
              <w:t xml:space="preserve">Ajout d’une protection ESD sur l’USB </w:t>
            </w:r>
          </w:p>
        </w:tc>
        <w:tc>
          <w:tcPr>
            <w:tcW w:w="815" w:type="dxa"/>
            <w:tcBorders/>
            <w:shd w:fill="auto" w:val="clear"/>
          </w:tcPr>
          <w:p>
            <w:pPr>
              <w:pStyle w:val="Normal"/>
              <w:spacing w:lineRule="auto" w:line="240" w:before="0" w:after="0"/>
              <w:rPr>
                <w:color w:val="00B050"/>
              </w:rPr>
            </w:pPr>
            <w:r>
              <w:rPr>
                <w:color w:val="00B050"/>
              </w:rPr>
              <w:t>Fait</w:t>
            </w:r>
          </w:p>
        </w:tc>
      </w:tr>
      <w:tr>
        <w:trPr/>
        <w:tc>
          <w:tcPr>
            <w:tcW w:w="8472" w:type="dxa"/>
            <w:tcBorders/>
            <w:shd w:fill="auto" w:val="clear"/>
          </w:tcPr>
          <w:p>
            <w:pPr>
              <w:pStyle w:val="Normal"/>
              <w:spacing w:lineRule="auto" w:line="240" w:before="0" w:after="0"/>
              <w:rPr/>
            </w:pPr>
            <w:r>
              <w:rPr/>
              <w:t>Déplacer le switch S11 sur VBAT plutôt que de le laisser sur le OUT de la sortie 3,3v</w:t>
            </w:r>
          </w:p>
        </w:tc>
        <w:tc>
          <w:tcPr>
            <w:tcW w:w="815" w:type="dxa"/>
            <w:tcBorders/>
            <w:shd w:fill="auto" w:val="clear"/>
          </w:tcPr>
          <w:p>
            <w:pPr>
              <w:pStyle w:val="Normal"/>
              <w:spacing w:lineRule="auto" w:line="240" w:before="0" w:after="0"/>
              <w:rPr>
                <w:color w:val="00B050"/>
              </w:rPr>
            </w:pPr>
            <w:r>
              <w:rPr>
                <w:color w:val="00B050"/>
              </w:rPr>
              <w:t>Fait</w:t>
            </w:r>
          </w:p>
        </w:tc>
      </w:tr>
      <w:tr>
        <w:trPr/>
        <w:tc>
          <w:tcPr>
            <w:tcW w:w="8472" w:type="dxa"/>
            <w:tcBorders/>
            <w:shd w:fill="auto" w:val="clear"/>
          </w:tcPr>
          <w:p>
            <w:pPr>
              <w:pStyle w:val="Normal"/>
              <w:spacing w:lineRule="auto" w:line="240" w:before="0" w:after="0"/>
              <w:rPr/>
            </w:pPr>
            <w:r>
              <w:rPr/>
              <w:t>Remplacer Q2/R5 et Q3/R6 par des transistors avec résistance de base intégré. Chez NXP c’est  par des transistors avec résistance de base intégrée. Chez NXP c'est PDTA114 et PDTC114 :</w:t>
              <w:br/>
            </w:r>
            <w:hyperlink r:id="rId2">
              <w:r>
                <w:rPr>
                  <w:rStyle w:val="ListLabel7"/>
                </w:rPr>
                <w:t>https://www.nexperia.com/products/bipolar-transistors/resistor-equipped-transistors-rets/rets-100-ma-single/series/PDTC114T-SERIES.html</w:t>
              </w:r>
            </w:hyperlink>
            <w:r>
              <w:rPr/>
              <w:br/>
            </w:r>
            <w:hyperlink r:id="rId3">
              <w:r>
                <w:rPr>
                  <w:rStyle w:val="ListLabel7"/>
                </w:rPr>
                <w:t>https://www.nexperia.com/products/bipolar-transistors/resistor-equipped-transistors-rets/rets-100-ma-single/series/PDTA114T-SERIES.html</w:t>
              </w:r>
            </w:hyperlink>
          </w:p>
        </w:tc>
        <w:tc>
          <w:tcPr>
            <w:tcW w:w="815" w:type="dxa"/>
            <w:tcBorders/>
            <w:shd w:fill="auto" w:val="clear"/>
          </w:tcPr>
          <w:p>
            <w:pPr>
              <w:pStyle w:val="Normal"/>
              <w:spacing w:lineRule="auto" w:line="240" w:before="0" w:after="0"/>
              <w:rPr>
                <w:color w:val="00B050"/>
              </w:rPr>
            </w:pPr>
            <w:r>
              <w:rPr>
                <w:color w:val="00B050"/>
              </w:rPr>
              <w:t>Fait</w:t>
            </w:r>
          </w:p>
          <w:p>
            <w:pPr>
              <w:pStyle w:val="Normal"/>
              <w:spacing w:lineRule="auto" w:line="240" w:before="0" w:after="0"/>
              <w:rPr>
                <w:color w:val="FF0000"/>
              </w:rPr>
            </w:pPr>
            <w:r>
              <w:rPr>
                <w:color w:val="FF0000"/>
              </w:rPr>
            </w:r>
          </w:p>
        </w:tc>
      </w:tr>
      <w:tr>
        <w:trPr/>
        <w:tc>
          <w:tcPr>
            <w:tcW w:w="8472" w:type="dxa"/>
            <w:tcBorders/>
            <w:shd w:fill="auto" w:val="clear"/>
          </w:tcPr>
          <w:p>
            <w:pPr>
              <w:pStyle w:val="Normal"/>
              <w:spacing w:lineRule="auto" w:line="240" w:before="0" w:after="0"/>
              <w:rPr/>
            </w:pPr>
            <w:r>
              <w:rPr/>
              <w:t>Il serait judicieux d'ajouter un condensateur en parallèle de SW1, genre 10nF ou 100nF.</w:t>
            </w:r>
          </w:p>
        </w:tc>
        <w:tc>
          <w:tcPr>
            <w:tcW w:w="815" w:type="dxa"/>
            <w:tcBorders/>
            <w:shd w:fill="auto" w:val="clear"/>
          </w:tcPr>
          <w:p>
            <w:pPr>
              <w:pStyle w:val="Normal"/>
              <w:spacing w:lineRule="auto" w:line="240" w:before="0" w:after="0"/>
              <w:rPr>
                <w:color w:val="00B050"/>
              </w:rPr>
            </w:pPr>
            <w:r>
              <w:rPr>
                <w:color w:val="00B050"/>
              </w:rPr>
              <w:t>Fait</w:t>
            </w:r>
          </w:p>
        </w:tc>
      </w:tr>
      <w:tr>
        <w:trPr/>
        <w:tc>
          <w:tcPr>
            <w:tcW w:w="8472" w:type="dxa"/>
            <w:tcBorders/>
            <w:shd w:fill="auto" w:val="clear"/>
          </w:tcPr>
          <w:p>
            <w:pPr>
              <w:pStyle w:val="Normal"/>
              <w:spacing w:lineRule="auto" w:line="240" w:before="0" w:after="0"/>
              <w:rPr/>
            </w:pPr>
            <w:r>
              <w:rPr/>
              <w:t>Idem capa de filtrage en parallèle de R4, voir ce que préconise la datasheet su MCU, en général on met 100nF mais si l'ADC l'encaisse on peut mettre moins.</w:t>
            </w:r>
          </w:p>
        </w:tc>
        <w:tc>
          <w:tcPr>
            <w:tcW w:w="815" w:type="dxa"/>
            <w:tcBorders/>
            <w:shd w:fill="auto" w:val="clear"/>
          </w:tcPr>
          <w:p>
            <w:pPr>
              <w:pStyle w:val="Normal"/>
              <w:spacing w:lineRule="auto" w:line="240" w:before="0" w:after="0"/>
              <w:rPr>
                <w:color w:val="00B050"/>
              </w:rPr>
            </w:pPr>
            <w:r>
              <w:rPr>
                <w:color w:val="00B050"/>
              </w:rPr>
              <w:t>Fait</w:t>
            </w:r>
          </w:p>
        </w:tc>
      </w:tr>
      <w:tr>
        <w:trPr/>
        <w:tc>
          <w:tcPr>
            <w:tcW w:w="8472" w:type="dxa"/>
            <w:tcBorders/>
            <w:shd w:fill="auto" w:val="clear"/>
          </w:tcPr>
          <w:p>
            <w:pPr>
              <w:pStyle w:val="Normal"/>
              <w:spacing w:lineRule="auto" w:line="240" w:before="0" w:after="0"/>
              <w:rPr/>
            </w:pPr>
            <w:r>
              <w:rPr/>
              <w:t>SiLabs recommande le CP2102N à la place du CP2104</w:t>
            </w:r>
          </w:p>
        </w:tc>
        <w:tc>
          <w:tcPr>
            <w:tcW w:w="815" w:type="dxa"/>
            <w:tcBorders/>
            <w:shd w:fill="auto" w:val="clear"/>
          </w:tcPr>
          <w:p>
            <w:pPr>
              <w:pStyle w:val="Normal"/>
              <w:spacing w:lineRule="auto" w:line="240" w:before="0" w:after="0"/>
              <w:rPr>
                <w:color w:val="00B050"/>
              </w:rPr>
            </w:pPr>
            <w:r>
              <w:rPr>
                <w:color w:val="00B050"/>
              </w:rPr>
              <w:t>Fait</w:t>
            </w:r>
          </w:p>
        </w:tc>
      </w:tr>
      <w:tr>
        <w:trPr/>
        <w:tc>
          <w:tcPr>
            <w:tcW w:w="8472" w:type="dxa"/>
            <w:tcBorders/>
            <w:shd w:fill="auto" w:val="clear"/>
          </w:tcPr>
          <w:p>
            <w:pPr>
              <w:pStyle w:val="Normal"/>
              <w:spacing w:lineRule="auto" w:line="240" w:before="0" w:after="0"/>
              <w:rPr/>
            </w:pPr>
            <w:r>
              <w:rPr/>
              <w:t>1k pour R12 me paraît élevé. Je ne sais pas quelle LED bleue tu comptes utiliser mais elle ne va pas voir passer beaucoup de courant (forcément moins que 3,3 mA) et donc ne pas s'allumer très fort. Idem pour R7 et R9. Surtout R7, puisqu'elle est sur Vusb donc qu'il n'y a pas de contrainte de consommation contrairement aux deux autres qui tirent sur la batterie.</w:t>
            </w:r>
          </w:p>
        </w:tc>
        <w:tc>
          <w:tcPr>
            <w:tcW w:w="815" w:type="dxa"/>
            <w:tcBorders/>
            <w:shd w:fill="auto" w:val="clear"/>
          </w:tcPr>
          <w:p>
            <w:pPr>
              <w:pStyle w:val="Normal"/>
              <w:spacing w:lineRule="auto" w:line="240" w:before="0" w:after="0"/>
              <w:rPr>
                <w:color w:val="FF0000"/>
              </w:rPr>
            </w:pPr>
            <w:r>
              <w:rPr>
                <w:color w:val="FF0000"/>
              </w:rPr>
              <w:t>A faire</w:t>
            </w:r>
          </w:p>
        </w:tc>
      </w:tr>
      <w:tr>
        <w:trPr/>
        <w:tc>
          <w:tcPr>
            <w:tcW w:w="8472" w:type="dxa"/>
            <w:tcBorders/>
            <w:shd w:fill="auto" w:val="clear"/>
          </w:tcPr>
          <w:p>
            <w:pPr>
              <w:pStyle w:val="Normal"/>
              <w:spacing w:lineRule="auto" w:line="240" w:before="0" w:after="0"/>
              <w:rPr/>
            </w:pPr>
            <w:r>
              <w:rPr/>
              <w:t>Remarque annexe : il est toujours bon d'indiquer dans le nom d'un signal s'il est actif à 0 ou à 1, généralement en ajoutant un suffixe (*, # ou _n par exemple), ça aide beaucoup la compréhension. Dans ton schéma, RESET est actif à 0, il serait donc judicieux de le renommer en RESET*, RESET#, RESET_n...</w:t>
            </w:r>
          </w:p>
        </w:tc>
        <w:tc>
          <w:tcPr>
            <w:tcW w:w="815" w:type="dxa"/>
            <w:tcBorders/>
            <w:shd w:fill="auto" w:val="clear"/>
          </w:tcPr>
          <w:p>
            <w:pPr>
              <w:pStyle w:val="Normal"/>
              <w:spacing w:lineRule="auto" w:line="240" w:before="0" w:after="0"/>
              <w:rPr>
                <w:color w:val="FF0000"/>
              </w:rPr>
            </w:pPr>
            <w:r>
              <w:rPr>
                <w:color w:val="FF0000"/>
              </w:rPr>
              <w:t>A faire</w:t>
            </w:r>
          </w:p>
        </w:tc>
      </w:tr>
    </w:tbl>
    <w:p>
      <w:pPr>
        <w:pStyle w:val="Normal"/>
        <w:rPr>
          <w:b/>
          <w:b/>
        </w:rPr>
      </w:pPr>
      <w:r>
        <w:rPr>
          <w:b/>
        </w:rPr>
      </w:r>
    </w:p>
    <w:p>
      <w:pPr>
        <w:pStyle w:val="Normal"/>
        <w:spacing w:before="0" w:after="200"/>
        <w:rPr/>
      </w:pPr>
      <w:r>
        <w:rPr>
          <w:b/>
          <w:bCs/>
        </w:rPr>
        <w:t>1.0.3</w:t>
      </w:r>
      <w:r>
        <w:rPr/>
        <w:t xml:space="preserve"> – Esp_mad_task_measure passé en composant externe</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385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semiHidden/>
    <w:unhideWhenUsed/>
    <w:rsid w:val="008d531c"/>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d531c"/>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table" w:styleId="Grilledutableau">
    <w:name w:val="Table Grid"/>
    <w:basedOn w:val="TableauNormal"/>
    <w:uiPriority w:val="59"/>
    <w:rsid w:val="008d531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experia.com/products/bipolar-transistors/resistor-equipped-transistors-rets/rets-100-ma-single/series/PDTC114T-SERIES.html" TargetMode="External"/><Relationship Id="rId3" Type="http://schemas.openxmlformats.org/officeDocument/2006/relationships/hyperlink" Target="https://www.nexperia.com/products/bipolar-transistors/resistor-equipped-transistors-rets/rets-100-ma-single/series/PDTA114T-SERIES.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Application>LibreOffice/6.0.7.3$Linux_X86_64 LibreOffice_project/00m0$Build-3</Application>
  <Pages>1</Pages>
  <Words>309</Words>
  <Characters>1694</Characters>
  <CharactersWithSpaces>1978</CharactersWithSpaces>
  <Paragraphs>27</Paragraphs>
  <Company>MiDePin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2019-10-06T15:03:00Z</dcterms:created>
  <dc:creator>Eliot DESANDRE</dc:creator>
  <dc:description/>
  <dc:language>fr-FR</dc:language>
  <cp:lastModifiedBy/>
  <dcterms:modified xsi:type="dcterms:W3CDTF">2020-12-12T20:30:58Z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MiDePin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