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CLIENT NOTES: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Maria Garcia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718-555-5678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Queens, NY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Identity Theft. Fraudulent account opened in her name.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Furnisher:</w:t>
      </w:r>
      <w:r w:rsidDel="00000000" w:rsidR="00000000" w:rsidRPr="00000000">
        <w:rPr>
          <w:rtl w:val="0"/>
        </w:rPr>
        <w:t xml:space="preserve"> Bank of America, N.A.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Inaccurate Account:</w:t>
      </w:r>
      <w:r w:rsidDel="00000000" w:rsidR="00000000" w:rsidRPr="00000000">
        <w:rPr>
          <w:rtl w:val="0"/>
        </w:rPr>
        <w:t xml:space="preserve"> Bank of America credit card with a balance over $12,500. Account is delinquent and in collections.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 was a victim of a data breach in late 2024.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Started getting collection calls in March 2025 for a BofA account she never opened.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Checked her credit reports and found the fraudulent account listed on all three.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Filed a police report with NYPD on April 1, 2025.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Completed an FTC Identity Theft Affidavit.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Sent disputes with police report and affidavit to all three CRAs (Experian, Equifax, TransUnion) on April 5, 2025.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BofA and the CRAs all "verified" the account as hers, completely ignoring the police report and affidavit which are supposed to block fraudulent information.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Damages: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Denied Housing:</w:t>
      </w:r>
      <w:r w:rsidDel="00000000" w:rsidR="00000000" w:rsidRPr="00000000">
        <w:rPr>
          <w:rtl w:val="0"/>
        </w:rPr>
        <w:t xml:space="preserve"> Denied a rental apartment in May 2025. Landlord cited the collection account.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Adverse Credit Offer:</w:t>
      </w:r>
      <w:r w:rsidDel="00000000" w:rsidR="00000000" w:rsidRPr="00000000">
        <w:rPr>
          <w:rtl w:val="0"/>
        </w:rPr>
        <w:t xml:space="preserve"> Offered a car loan at 22.5% interest from Capital One in June 2025. Have the adverse action letter.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Extreme emotional distress, anxiety, and fear. Feels her identity is no longer secure.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