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NAME: EMAN YOUSSEF</w:t>
        <w:br w:type="textWrapping"/>
        <w:t xml:space="preserve">ADDRESS:</w:t>
        <w:br w:type="textWrapping"/>
        <w:t xml:space="preserve">22-15 22nd Street</w:t>
        <w:br w:type="textWrapping"/>
        <w:t xml:space="preserve">East Elmhurst, NY 11370</w:t>
        <w:br w:type="textWrapping"/>
        <w:t xml:space="preserve">PHONE:</w:t>
        <w:br w:type="textWrapping"/>
        <w:t xml:space="preserve">555-123-4567</w:t>
        <w:br w:type="textWrapping"/>
        <w:t xml:space="preserve">CASE_NUMBER: 1:25-cv-01987</w:t>
        <w:br w:type="textWrapping"/>
        <w:t xml:space="preserve">COURT_NAME: UNITED STATES DISTRICT COURT</w:t>
        <w:br w:type="textWrapping"/>
        <w:t xml:space="preserve">COURT_DISTRICT: EASTERN DISTRICT OF NEW YORK</w:t>
        <w:br w:type="textWrapping"/>
        <w:t xml:space="preserve">FILING_DATE: April 9, 2025</w:t>
        <w:br w:type="textWrapping"/>
        <w:t xml:space="preserve">DEFENDANTS:</w:t>
        <w:br w:type="textWrapping"/>
        <w:t xml:space="preserve">- TD BANK, N.A. (Delaware corporation, authorized to do business in New York)</w:t>
        <w:br w:type="textWrapping"/>
        <w:t xml:space="preserve">- EQUIFAX INFORMATION SERVICES, LLC (Georgia corporation, authorized to do business in New York)</w:t>
        <w:br w:type="textWrapping"/>
        <w:t xml:space="preserve">- EXPERIAN INFORMATION SOLUTIONS, INC. (Ohio corporation, authorized to do business in New York)</w:t>
        <w:br w:type="textWrapping"/>
        <w:t xml:space="preserve">- TRANS UNION, LLC (Delaware corporation, authorized to do business in New York)</w:t>
      </w:r>
    </w:p>
    <w:p w:rsidR="00000000" w:rsidDel="00000000" w:rsidP="00000000" w:rsidRDefault="00000000" w:rsidRPr="00000000" w14:paraId="00000002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7"/>
          <w:szCs w:val="17"/>
          <w:rtl w:val="0"/>
        </w:rPr>
        <w:t xml:space="preserve">STRUCTURED_DATA:</w:t>
        <w:br w:type="textWrapping"/>
        <w:t xml:space="preserve">KEY_DATES:</w:t>
        <w:br w:type="textWrapping"/>
        <w:t xml:space="preserve">- Account Opening: July 2023</w:t>
        <w:br w:type="textWrapping"/>
        <w:t xml:space="preserve">- Travel Period: June 30, 2024 through July 30, 2024</w:t>
        <w:br w:type="textWrapping"/>
        <w:t xml:space="preserve">- Fraudulent Charges: July 15-31, 2024</w:t>
        <w:br w:type="textWrapping"/>
        <w:t xml:space="preserve">- Camera Store Charges: July 17, 23, and 26, 2024</w:t>
        <w:br w:type="textWrapping"/>
        <w:t xml:space="preserve">- Credit Discovery: December 2024</w:t>
        <w:br w:type="textWrapping"/>
        <w:t xml:space="preserve">- Dispute Date: December 9, 2024</w:t>
        <w:br w:type="textWrapping"/>
        <w:t xml:space="preserve">- Filing Date: April 9, 2025</w:t>
        <w:br w:type="textWrapping"/>
        <w:br w:type="textWrapping"/>
        <w:t xml:space="preserve">DAMAGES:</w:t>
        <w:br w:type="textWrapping"/>
        <w:t xml:space="preserve">Financial Harm:</w:t>
        <w:br w:type="textWrapping"/>
        <w:t xml:space="preserve">- Being denied credit</w:t>
        <w:br w:type="textWrapping"/>
        <w:t xml:space="preserve">- Having current credit limits reduced</w:t>
        <w:br w:type="textWrapping"/>
        <w:t xml:space="preserve">- Limiting opportunities for credit</w:t>
        <w:br w:type="textWrapping"/>
        <w:t xml:space="preserve">Reputational Harm:</w:t>
        <w:br w:type="textWrapping"/>
        <w:t xml:space="preserve">- Damage to reputation</w:t>
        <w:br w:type="textWrapping"/>
        <w:t xml:space="preserve">- Adverse impact on credit rating</w:t>
        <w:br w:type="textWrapping"/>
        <w:t xml:space="preserve">Emotional Harm:</w:t>
        <w:br w:type="textWrapping"/>
        <w:t xml:space="preserve">- Emotional distress</w:t>
        <w:br w:type="textWrapping"/>
        <w:t xml:space="preserve">- Annoyance</w:t>
        <w:br w:type="textWrapping"/>
        <w:t xml:space="preserve">- Aggravation</w:t>
        <w:br w:type="textWrapping"/>
        <w:t xml:space="preserve">- Frustration</w:t>
        <w:br w:type="textWrapping"/>
        <w:t xml:space="preserve">Personal Costs:</w:t>
        <w:br w:type="textWrapping"/>
        <w:t xml:space="preserve">- Expenditure of time and resources</w:t>
        <w:br w:type="textWrapping"/>
        <w:br w:type="textWrapping"/>
        <w:t xml:space="preserve">LEGAL_CLAIMS:</w:t>
        <w:br w:type="textWrapping"/>
        <w:t xml:space="preserve">Count 1 - FCRA Violations:</w:t>
        <w:br w:type="textWrapping"/>
        <w:t xml:space="preserve">- 15 U.S.C. § 1681i: Failure to conduct reasonable reinvestigations (Equifax, Experian, TransUnion)</w:t>
        <w:br w:type="textWrapping"/>
        <w:t xml:space="preserve">- 15 U.S.C. § 1681i(a)(4): Failure to review all relevant information (Equifax, Experian, TransUnion)</w:t>
        <w:br w:type="textWrapping"/>
        <w:t xml:space="preserve">- 15 U.S.C. § 1681i(a)(5): Failure to delete disputed erroneous information (Equifax, Experian, TransUnion)</w:t>
        <w:br w:type="textWrapping"/>
        <w:t xml:space="preserve">- 15 U.S.C. § 1681s-2(b): Failure to conduct reasonable reinvestigations (TD Bank)</w:t>
        <w:br w:type="textWrapping"/>
        <w:t xml:space="preserve">- 15 U.S.C. § 1681s-2(b)(1)(B): Failure to review relevant information (TD Bank)</w:t>
        <w:br w:type="textWrapping"/>
        <w:t xml:space="preserve">Count 2 - NY FCRA Violations:</w:t>
        <w:br w:type="textWrapping"/>
        <w:t xml:space="preserve">- N.Y. GBL § 380–j(a)(3): Including known erroneous information (Equifax, Experian, TransUnion)</w:t>
        <w:br w:type="textWrapping"/>
        <w:t xml:space="preserve">- N.Y. GBL § 380-f: Failure to conduct reasonable reinvestigations (Equifax, Experian, TransUnion)</w:t>
        <w:br w:type="textWrapping"/>
        <w:t xml:space="preserve">- N.Y. GBL §§ 380-f(b) and (d): Failure to delete disputed information (Equifax, Experian, TransUnion)</w:t>
        <w:br w:type="textWrapping"/>
        <w:br w:type="textWrapping"/>
        <w:t xml:space="preserve">RELIEF_SOUGHT:</w:t>
        <w:br w:type="textWrapping"/>
        <w:t xml:space="preserve">- Actual damages</w:t>
        <w:br w:type="textWrapping"/>
        <w:t xml:space="preserve">- Statutory damages</w:t>
        <w:br w:type="textWrapping"/>
        <w:t xml:space="preserve">- Punitive damages</w:t>
        <w:br w:type="textWrapping"/>
        <w:t xml:space="preserve">- Litigation costs</w:t>
        <w:br w:type="textWrapping"/>
        <w:t xml:space="preserve">- Reasonable attorney's fees</w:t>
        <w:br w:type="textWrapping"/>
        <w:t xml:space="preserve">- Injunctive relief requiring removal of erroneous information</w:t>
        <w:br w:type="textWrapping"/>
        <w:t xml:space="preserve">- Implementation of compliance policies</w:t>
        <w:br w:type="textWrapping"/>
        <w:t xml:space="preserve">- Jury trial demanded</w:t>
        <w:br w:type="textWrapping"/>
        <w:br w:type="textWrapping"/>
        <w:t xml:space="preserve">BACKGROUND:</w:t>
        <w:br w:type="textWrapping"/>
        <w:t xml:space="preserve">1. Plaintiff Eman Youssef is an individual consumer under the FCRA and NY FCRA, residing in the State of New York, borough of Manhattan.</w:t>
        <w:br w:type="textWrapping"/>
        <w:t xml:space="preserve">2. Plaintiff opened a TD Bank credit card account on or around July 2023 with an ,000 credit limit.</w:t>
        <w:br w:type="textWrapping"/>
        <w:t xml:space="preserve">3. Plaintiff travelled to Egypt with her family from June 30, 2024 through July 30, 2024.</w:t>
        <w:br w:type="textWrapping"/>
        <w:t xml:space="preserve">4. Before leaving, Plaintiff informed TD Bank of her trip and verified her cards would work in Egypt.</w:t>
        <w:br w:type="textWrapping"/>
        <w:t xml:space="preserve">5. Plaintiff had two physical cards and brought both to Egypt.</w:t>
        <w:br w:type="textWrapping"/>
        <w:t xml:space="preserve">6. Imposters used her account to make over ,700 in fraudulent charges between July 15-31, 2024.</w:t>
        <w:br w:type="textWrapping"/>
        <w:t xml:space="preserve">7. Majority of charges were made at three different camera stores on July 17, 23, and 26.</w:t>
        <w:br w:type="textWrapping"/>
        <w:t xml:space="preserve">8. Plaintiff had never made similar significant purchases in the past.</w:t>
        <w:br w:type="textWrapping"/>
        <w:t xml:space="preserve">9. Plaintiff disputed charges with TD Bank five times using multiple methods.</w:t>
        <w:br w:type="textWrapping"/>
        <w:t xml:space="preserve">10. TD Bank wrongly suggested her non-existent son made the charges.</w:t>
        <w:br w:type="textWrapping"/>
        <w:t xml:space="preserve">11. Plaintiff filed a police report and obtained video footage of the thieves.</w:t>
        <w:br w:type="textWrapping"/>
        <w:t xml:space="preserve">12. TD Bank refused to correct charges, insisting they were valid due to chip usage.</w:t>
        <w:br w:type="textWrapping"/>
        <w:t xml:space="preserve">13. Plaintiff sent written disputes to all three credit reporting agencies on December 9, 2024.</w:t>
        <w:br w:type="textWrapping"/>
        <w:t xml:space="preserve">14. Credit reporting agencies forwarded disputes to TD Bank who merely verified the amounts.</w:t>
        <w:br w:type="textWrapping"/>
        <w:t xml:space="preserve">15. Each credit reporting agency failed to conduct reasonable investigation.</w:t>
        <w:br w:type="textWrapping"/>
        <w:t xml:space="preserve">16. All defendant credit reporting agencies continue to inaccurately report the fraudulent charges.</w:t>
        <w:br w:type="textWrapping"/>
        <w:t xml:space="preserve">17. Plaintiff has been denied credit due to the inaccurate reporting.</w:t>
        <w:br w:type="textWrapping"/>
        <w:t xml:space="preserve">18. Plaintiff has had current credit limits reduced.</w:t>
        <w:br w:type="textWrapping"/>
        <w:t xml:space="preserve">19. Plaintiff has suffered damage to reputation and adverse impact on credit rating.</w:t>
        <w:br w:type="textWrapping"/>
        <w:t xml:space="preserve">20. Plaintiff has experienced emotional distress, annoyance, aggravation, and frustration.</w:t>
        <w:br w:type="textWrapping"/>
        <w:t xml:space="preserve">21. Plaintiff has expended substantial time and resources attempting to resolve these issues.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2240" w:w="7920" w:orient="portrait"/>
      <w:pgMar w:bottom="1440" w:top="1440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