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rPr>
          <w:rFonts w:ascii="Open Sans" w:hAnsi="Open Sans" w:eastAsia="Open Sans" w:cs="Open Sans"/>
        </w:rPr>
      </w:pPr>
      <w:r>
        <w:rPr>
          <w:rFonts w:eastAsia="Open Sans" w:cs="Open Sans" w:ascii="Open Sans" w:hAnsi="Open Sans"/>
        </w:rPr>
        <w:t>Spreadsheet Manual</w:t>
      </w:r>
    </w:p>
    <w:p>
      <w:pPr>
        <w:pStyle w:val="Normal1"/>
        <w:spacing w:lineRule="auto" w:line="240"/>
        <w:rPr>
          <w:rFonts w:ascii="Open Sans" w:hAnsi="Open Sans" w:eastAsia="Open Sans" w:cs="Open Sans"/>
        </w:rPr>
      </w:pPr>
      <w:r>
        <w:rPr>
          <w:rFonts w:eastAsia="Open Sans" w:cs="Open Sans" w:ascii="Open Sans" w:hAnsi="Open Sans"/>
        </w:rPr>
      </w:r>
    </w:p>
    <w:p>
      <w:pPr>
        <w:pStyle w:val="Normal1"/>
        <w:spacing w:lineRule="auto" w:line="240"/>
        <w:rPr>
          <w:rFonts w:ascii="Open Sans" w:hAnsi="Open Sans" w:eastAsia="Open Sans" w:cs="Open Sans"/>
        </w:rPr>
      </w:pPr>
      <w:r>
        <w:rPr>
          <w:rFonts w:eastAsia="Open Sans" w:cs="Open Sans" w:ascii="Open Sans" w:hAnsi="Open Sans"/>
        </w:rPr>
        <w:t>The document “</w:t>
      </w:r>
      <w:r>
        <w:rPr>
          <w:rFonts w:eastAsia="Open Sans" w:cs="Open Sans" w:ascii="Open Sans" w:hAnsi="Open Sans"/>
        </w:rPr>
        <w:t>Datasheet-samplesizes.csv</w:t>
      </w:r>
      <w:r>
        <w:rPr>
          <w:rFonts w:eastAsia="Open Sans" w:cs="Open Sans" w:ascii="Open Sans" w:hAnsi="Open Sans"/>
        </w:rPr>
        <w:t>” consists of a spreadsheet containing the data from all four journals combined. This manual seeks to explain the variables coded in the spreadsheet. In every spreadsheet, one line represents one study. The coding is heavily oriented on the study from Schweizer and Furley (2016), in order to ensure a high comparability between the results.</w:t>
      </w:r>
    </w:p>
    <w:p>
      <w:pPr>
        <w:pStyle w:val="Normal1"/>
        <w:spacing w:lineRule="auto" w:line="240"/>
        <w:rPr>
          <w:rFonts w:ascii="Open Sans" w:hAnsi="Open Sans" w:eastAsia="Open Sans" w:cs="Open Sans"/>
        </w:rPr>
      </w:pPr>
      <w:r>
        <w:rPr>
          <w:rFonts w:eastAsia="Open Sans" w:cs="Open Sans" w:ascii="Open Sans" w:hAnsi="Open Sans"/>
        </w:rPr>
        <w:t>The word “paper” describes the actual pdf that was published. One paper can include multiple “studies”.</w:t>
      </w:r>
    </w:p>
    <w:p>
      <w:pPr>
        <w:pStyle w:val="Normal1"/>
        <w:spacing w:lineRule="auto" w:line="240"/>
        <w:rPr>
          <w:rFonts w:ascii="Open Sans" w:hAnsi="Open Sans" w:eastAsia="Open Sans" w:cs="Open Sans"/>
        </w:rPr>
      </w:pPr>
      <w:r>
        <w:rPr>
          <w:rFonts w:eastAsia="Open Sans" w:cs="Open Sans" w:ascii="Open Sans" w:hAnsi="Open Sans"/>
        </w:rPr>
      </w:r>
    </w:p>
    <w:tbl>
      <w:tblPr>
        <w:tblStyle w:val="Table1"/>
        <w:tblW w:w="9638" w:type="dxa"/>
        <w:jc w:val="left"/>
        <w:tblInd w:w="0" w:type="dxa"/>
        <w:tblLayout w:type="fixed"/>
        <w:tblCellMar>
          <w:top w:w="100" w:type="dxa"/>
          <w:left w:w="100" w:type="dxa"/>
          <w:bottom w:w="100" w:type="dxa"/>
          <w:right w:w="100" w:type="dxa"/>
        </w:tblCellMar>
        <w:tblLook w:val="0600"/>
      </w:tblPr>
      <w:tblGrid>
        <w:gridCol w:w="3212"/>
        <w:gridCol w:w="6426"/>
      </w:tblGrid>
      <w:tr>
        <w:trPr/>
        <w:tc>
          <w:tcPr>
            <w:tcW w:w="3212" w:type="dxa"/>
            <w:tcBorders>
              <w:top w:val="single" w:sz="8" w:space="0" w:color="000000"/>
              <w:left w:val="single" w:sz="8" w:space="0" w:color="000000"/>
              <w:bottom w:val="single" w:sz="8" w:space="0" w:color="000000"/>
              <w:right w:val="single" w:sz="8" w:space="0" w:color="000000"/>
            </w:tcBorders>
            <w:shd w:fill="CFE2F3"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b/>
              </w:rPr>
            </w:pPr>
            <w:r>
              <w:rPr>
                <w:rFonts w:eastAsia="Open Sans" w:cs="Open Sans" w:ascii="Open Sans" w:hAnsi="Open Sans"/>
                <w:b/>
              </w:rPr>
              <w:t>Column</w:t>
            </w:r>
          </w:p>
        </w:tc>
        <w:tc>
          <w:tcPr>
            <w:tcW w:w="6426" w:type="dxa"/>
            <w:tcBorders>
              <w:top w:val="single" w:sz="8" w:space="0" w:color="000000"/>
              <w:left w:val="single" w:sz="8" w:space="0" w:color="000000"/>
              <w:bottom w:val="single" w:sz="8" w:space="0" w:color="000000"/>
              <w:right w:val="single" w:sz="8" w:space="0" w:color="000000"/>
            </w:tcBorders>
            <w:shd w:fill="CFE2F3"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b/>
              </w:rPr>
            </w:pPr>
            <w:r>
              <w:rPr>
                <w:rFonts w:eastAsia="Open Sans" w:cs="Open Sans" w:ascii="Open Sans" w:hAnsi="Open Sans"/>
                <w:b/>
              </w:rPr>
              <w:t>Explanation</w:t>
            </w:r>
          </w:p>
        </w:tc>
      </w:tr>
      <w:tr>
        <w:trPr/>
        <w:tc>
          <w:tcPr>
            <w:tcW w:w="32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Nr</w:t>
            </w:r>
          </w:p>
        </w:tc>
        <w:tc>
          <w:tcPr>
            <w:tcW w:w="64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unique identifier for each paper</w:t>
            </w:r>
          </w:p>
        </w:tc>
      </w:tr>
      <w:tr>
        <w:trPr/>
        <w:tc>
          <w:tcPr>
            <w:tcW w:w="32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Nr per journal</w:t>
            </w:r>
          </w:p>
        </w:tc>
        <w:tc>
          <w:tcPr>
            <w:tcW w:w="64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Enumerates the papers in one journal along the publication date. Within a single issue, the enumeration corresponds to the order in the issue. Exception: PSE was ordered arbitrarily</w:t>
            </w:r>
          </w:p>
        </w:tc>
      </w:tr>
      <w:tr>
        <w:trPr/>
        <w:tc>
          <w:tcPr>
            <w:tcW w:w="32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Journal</w:t>
            </w:r>
          </w:p>
        </w:tc>
        <w:tc>
          <w:tcPr>
            <w:tcW w:w="64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The journal in which the study was published</w:t>
            </w:r>
          </w:p>
        </w:tc>
      </w:tr>
      <w:tr>
        <w:trPr/>
        <w:tc>
          <w:tcPr>
            <w:tcW w:w="32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Year</w:t>
            </w:r>
          </w:p>
        </w:tc>
        <w:tc>
          <w:tcPr>
            <w:tcW w:w="64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The year in which the study was published</w:t>
            </w:r>
          </w:p>
        </w:tc>
      </w:tr>
      <w:tr>
        <w:trPr/>
        <w:tc>
          <w:tcPr>
            <w:tcW w:w="32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Volume</w:t>
            </w:r>
          </w:p>
        </w:tc>
        <w:tc>
          <w:tcPr>
            <w:tcW w:w="64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The volume of the journal in which the study was published</w:t>
            </w:r>
          </w:p>
        </w:tc>
      </w:tr>
      <w:tr>
        <w:trPr/>
        <w:tc>
          <w:tcPr>
            <w:tcW w:w="32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Issue</w:t>
            </w:r>
          </w:p>
        </w:tc>
        <w:tc>
          <w:tcPr>
            <w:tcW w:w="64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The issue in which the study was published; if there is only one issue per volume, this is always coded as 1</w:t>
            </w:r>
          </w:p>
        </w:tc>
      </w:tr>
      <w:tr>
        <w:trPr/>
        <w:tc>
          <w:tcPr>
            <w:tcW w:w="32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Title</w:t>
            </w:r>
          </w:p>
        </w:tc>
        <w:tc>
          <w:tcPr>
            <w:tcW w:w="64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The title of the paper</w:t>
            </w:r>
          </w:p>
        </w:tc>
      </w:tr>
      <w:tr>
        <w:trPr/>
        <w:tc>
          <w:tcPr>
            <w:tcW w:w="32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Study</w:t>
            </w:r>
          </w:p>
        </w:tc>
        <w:tc>
          <w:tcPr>
            <w:tcW w:w="64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Enumerates the number of studies in a given paper. If there was only one study, this is coded as one. If there was a pilot study conducted, it was coded as 1, and the first study after the pilot was coded as 2 and so on.</w:t>
            </w:r>
          </w:p>
        </w:tc>
      </w:tr>
      <w:tr>
        <w:trPr/>
        <w:tc>
          <w:tcPr>
            <w:tcW w:w="32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Design</w:t>
            </w:r>
          </w:p>
        </w:tc>
        <w:tc>
          <w:tcPr>
            <w:tcW w:w="64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 w:hAnsi="Open Sans" w:eastAsia="Open Sans" w:cs="Open Sans"/>
              </w:rPr>
            </w:pPr>
            <w:r>
              <w:rPr>
                <w:rFonts w:eastAsia="Open Sans" w:cs="Open Sans" w:ascii="Open Sans" w:hAnsi="Open Sans"/>
              </w:rPr>
              <w:t>“</w:t>
            </w:r>
            <w:r>
              <w:rPr>
                <w:rFonts w:eastAsia="Open Sans" w:cs="Open Sans" w:ascii="Open Sans" w:hAnsi="Open Sans"/>
              </w:rPr>
              <w:t>Design” denotes the design of the respective study.</w:t>
            </w:r>
          </w:p>
          <w:p>
            <w:pPr>
              <w:pStyle w:val="Normal1"/>
              <w:widowControl w:val="false"/>
              <w:numPr>
                <w:ilvl w:val="0"/>
                <w:numId w:val="2"/>
              </w:numPr>
              <w:spacing w:lineRule="auto" w:line="240"/>
              <w:ind w:left="720" w:hanging="360"/>
              <w:rPr>
                <w:rFonts w:ascii="Open Sans" w:hAnsi="Open Sans" w:eastAsia="Open Sans" w:cs="Open Sans"/>
              </w:rPr>
            </w:pPr>
            <w:r>
              <w:rPr>
                <w:rFonts w:eastAsia="Open Sans" w:cs="Open Sans" w:ascii="Open Sans" w:hAnsi="Open Sans"/>
              </w:rPr>
              <w:t>1 = Experiment</w:t>
            </w:r>
          </w:p>
          <w:p>
            <w:pPr>
              <w:pStyle w:val="Normal1"/>
              <w:widowControl w:val="false"/>
              <w:numPr>
                <w:ilvl w:val="0"/>
                <w:numId w:val="2"/>
              </w:numPr>
              <w:spacing w:lineRule="auto" w:line="240"/>
              <w:ind w:left="720" w:hanging="360"/>
              <w:rPr>
                <w:rFonts w:ascii="Open Sans" w:hAnsi="Open Sans" w:eastAsia="Open Sans" w:cs="Open Sans"/>
              </w:rPr>
            </w:pPr>
            <w:r>
              <w:rPr>
                <w:rFonts w:eastAsia="Open Sans" w:cs="Open Sans" w:ascii="Open Sans" w:hAnsi="Open Sans"/>
              </w:rPr>
              <w:t>2 = Quasi-Experiment</w:t>
            </w:r>
            <w:r>
              <w:rPr>
                <w:rFonts w:eastAsia="Open Sans" w:cs="Open Sans" w:ascii="Open Sans" w:hAnsi="Open Sans"/>
                <w:sz w:val="24"/>
                <w:szCs w:val="24"/>
              </w:rPr>
              <w:t xml:space="preserve"> </w:t>
            </w:r>
            <w:r>
              <w:rPr>
                <w:rFonts w:eastAsia="Open Sans" w:cs="Open Sans" w:ascii="Open Sans" w:hAnsi="Open Sans"/>
                <w:sz w:val="24"/>
                <w:szCs w:val="24"/>
              </w:rPr>
              <w:t>(an experiment where groups were created along a variable (such as novice vs expert), not using randomisation.)</w:t>
            </w:r>
          </w:p>
          <w:p>
            <w:pPr>
              <w:pStyle w:val="Normal1"/>
              <w:widowControl w:val="false"/>
              <w:numPr>
                <w:ilvl w:val="0"/>
                <w:numId w:val="2"/>
              </w:numPr>
              <w:spacing w:lineRule="auto" w:line="240"/>
              <w:ind w:left="720" w:hanging="360"/>
              <w:rPr>
                <w:rFonts w:ascii="Open Sans" w:hAnsi="Open Sans" w:eastAsia="Open Sans" w:cs="Open Sans"/>
              </w:rPr>
            </w:pPr>
            <w:r>
              <w:rPr>
                <w:rFonts w:eastAsia="Open Sans" w:cs="Open Sans" w:ascii="Open Sans" w:hAnsi="Open Sans"/>
              </w:rPr>
              <w:t>3 = Correlational study</w:t>
            </w:r>
          </w:p>
          <w:p>
            <w:pPr>
              <w:pStyle w:val="Normal1"/>
              <w:widowControl w:val="false"/>
              <w:numPr>
                <w:ilvl w:val="0"/>
                <w:numId w:val="2"/>
              </w:numPr>
              <w:spacing w:lineRule="auto" w:line="240"/>
              <w:ind w:left="720" w:hanging="360"/>
              <w:rPr>
                <w:rFonts w:ascii="Open Sans" w:hAnsi="Open Sans" w:eastAsia="Open Sans" w:cs="Open Sans"/>
              </w:rPr>
            </w:pPr>
            <w:r>
              <w:rPr>
                <w:rFonts w:eastAsia="Open Sans" w:cs="Open Sans" w:ascii="Open Sans" w:hAnsi="Open Sans"/>
              </w:rPr>
              <w:t>4 = Undefined. “Undefined” does not mean that the design was not well described in the respective paper. Rather, it means that we could not clearly assign it to one of the above three categories. For example, the study was a qualitative interview etc.</w:t>
            </w:r>
          </w:p>
        </w:tc>
      </w:tr>
      <w:tr>
        <w:trPr/>
        <w:tc>
          <w:tcPr>
            <w:tcW w:w="32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Within or between?</w:t>
            </w:r>
          </w:p>
        </w:tc>
        <w:tc>
          <w:tcPr>
            <w:tcW w:w="64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This was only used for studies coded as “experimental”. This variable denotes whether a design was coded as within-participants, mixed, or between-participants.</w:t>
            </w:r>
          </w:p>
          <w:p>
            <w:pPr>
              <w:pStyle w:val="Normal1"/>
              <w:widowControl w:val="false"/>
              <w:numPr>
                <w:ilvl w:val="0"/>
                <w:numId w:val="1"/>
              </w:numPr>
              <w:spacing w:lineRule="auto" w:line="240"/>
              <w:ind w:left="720" w:hanging="360"/>
              <w:rPr>
                <w:rFonts w:ascii="Open Sans" w:hAnsi="Open Sans" w:eastAsia="Open Sans" w:cs="Open Sans"/>
              </w:rPr>
            </w:pPr>
            <w:r>
              <w:rPr>
                <w:rFonts w:eastAsia="Open Sans" w:cs="Open Sans" w:ascii="Open Sans" w:hAnsi="Open Sans"/>
              </w:rPr>
              <w:t xml:space="preserve">1 = Within-participants </w:t>
            </w:r>
            <w:r>
              <w:rPr>
                <w:rFonts w:eastAsia="Open Sans" w:cs="Open Sans" w:ascii="Open Sans" w:hAnsi="Open Sans"/>
              </w:rPr>
              <w:t>(there was only one group, but multiple measurements)</w:t>
            </w:r>
          </w:p>
          <w:p>
            <w:pPr>
              <w:pStyle w:val="Normal1"/>
              <w:widowControl w:val="false"/>
              <w:numPr>
                <w:ilvl w:val="0"/>
                <w:numId w:val="1"/>
              </w:numPr>
              <w:spacing w:lineRule="auto" w:line="240"/>
              <w:ind w:left="720" w:hanging="360"/>
              <w:rPr>
                <w:rFonts w:ascii="Open Sans" w:hAnsi="Open Sans" w:eastAsia="Open Sans" w:cs="Open Sans"/>
              </w:rPr>
            </w:pPr>
            <w:r>
              <w:rPr>
                <w:rFonts w:eastAsia="Open Sans" w:cs="Open Sans" w:ascii="Open Sans" w:hAnsi="Open Sans"/>
              </w:rPr>
              <w:t xml:space="preserve">2 = Mixed </w:t>
            </w:r>
            <w:r>
              <w:rPr>
                <w:rFonts w:eastAsia="Open Sans" w:cs="Open Sans" w:ascii="Open Sans" w:hAnsi="Open Sans"/>
              </w:rPr>
              <w:t>(there were at least two groups and multiple measurements. This includes Between Studies with a pre- and post test (2 measurement points) and within-studies which are counter-balanced (effectively creating two groups))</w:t>
            </w:r>
          </w:p>
          <w:p>
            <w:pPr>
              <w:pStyle w:val="Normal1"/>
              <w:widowControl w:val="false"/>
              <w:numPr>
                <w:ilvl w:val="0"/>
                <w:numId w:val="1"/>
              </w:numPr>
              <w:spacing w:lineRule="auto" w:line="240"/>
              <w:ind w:left="720" w:hanging="360"/>
              <w:rPr>
                <w:rFonts w:ascii="Open Sans" w:hAnsi="Open Sans" w:eastAsia="Open Sans" w:cs="Open Sans"/>
              </w:rPr>
            </w:pPr>
            <w:r>
              <w:rPr>
                <w:rFonts w:eastAsia="Open Sans" w:cs="Open Sans" w:ascii="Open Sans" w:hAnsi="Open Sans"/>
              </w:rPr>
              <w:t xml:space="preserve">3 = Between-participants </w:t>
            </w:r>
            <w:r>
              <w:rPr>
                <w:rFonts w:eastAsia="Open Sans" w:cs="Open Sans" w:ascii="Open Sans" w:hAnsi="Open Sans"/>
              </w:rPr>
              <w:t>(two or more groups, only one measurement time)</w:t>
            </w:r>
          </w:p>
        </w:tc>
      </w:tr>
      <w:tr>
        <w:trPr/>
        <w:tc>
          <w:tcPr>
            <w:tcW w:w="32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Empirical?</w:t>
            </w:r>
          </w:p>
        </w:tc>
        <w:tc>
          <w:tcPr>
            <w:tcW w:w="64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 w:hAnsi="Open Sans" w:eastAsia="Open Sans" w:cs="Open Sans"/>
              </w:rPr>
            </w:pPr>
            <w:r>
              <w:rPr>
                <w:rFonts w:eastAsia="Open Sans" w:cs="Open Sans" w:ascii="Open Sans" w:hAnsi="Open Sans"/>
              </w:rPr>
              <w:t>“</w:t>
            </w:r>
            <w:r>
              <w:rPr>
                <w:rFonts w:eastAsia="Open Sans" w:cs="Open Sans" w:ascii="Open Sans" w:hAnsi="Open Sans"/>
              </w:rPr>
              <w:t>Empirical?” denotes whether we coded a study as being an empirical study or not.</w:t>
            </w:r>
          </w:p>
          <w:p>
            <w:pPr>
              <w:pStyle w:val="Normal1"/>
              <w:widowControl w:val="false"/>
              <w:numPr>
                <w:ilvl w:val="0"/>
                <w:numId w:val="3"/>
              </w:numPr>
              <w:spacing w:lineRule="auto" w:line="240"/>
              <w:ind w:left="720" w:hanging="360"/>
              <w:rPr>
                <w:rFonts w:ascii="Open Sans" w:hAnsi="Open Sans" w:eastAsia="Open Sans" w:cs="Open Sans"/>
              </w:rPr>
            </w:pPr>
            <w:r>
              <w:rPr>
                <w:rFonts w:eastAsia="Open Sans" w:cs="Open Sans" w:ascii="Open Sans" w:hAnsi="Open Sans"/>
              </w:rPr>
              <w:t>1 = Empirical (including quantitative studies, qualitative studies, meta-analyses, analyses of data bases).</w:t>
            </w:r>
          </w:p>
          <w:p>
            <w:pPr>
              <w:pStyle w:val="Normal1"/>
              <w:widowControl w:val="false"/>
              <w:numPr>
                <w:ilvl w:val="0"/>
                <w:numId w:val="3"/>
              </w:numPr>
              <w:spacing w:lineRule="auto" w:line="240"/>
              <w:ind w:left="720" w:hanging="360"/>
              <w:rPr>
                <w:rFonts w:ascii="Open Sans" w:hAnsi="Open Sans" w:eastAsia="Open Sans" w:cs="Open Sans"/>
              </w:rPr>
            </w:pPr>
            <w:r>
              <w:rPr>
                <w:rFonts w:eastAsia="Open Sans" w:cs="Open Sans" w:ascii="Open Sans" w:hAnsi="Open Sans"/>
              </w:rPr>
              <w:t>0 = Not empirical (e.g., comments, review articles, etc.)</w:t>
            </w:r>
          </w:p>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This is mostly obsolete, since most non-empirical studies were excluded while obtaining the body of studies. Nonetheless, it is included to catch some outliers.</w:t>
            </w:r>
          </w:p>
        </w:tc>
      </w:tr>
      <w:tr>
        <w:trPr/>
        <w:tc>
          <w:tcPr>
            <w:tcW w:w="32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N</w:t>
            </w:r>
          </w:p>
        </w:tc>
        <w:tc>
          <w:tcPr>
            <w:tcW w:w="64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This is the sample size of the respective study. See the original paper for more information on obtaining this value.</w:t>
            </w:r>
          </w:p>
        </w:tc>
      </w:tr>
      <w:tr>
        <w:trPr/>
        <w:tc>
          <w:tcPr>
            <w:tcW w:w="32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N unequivocal?</w:t>
            </w:r>
          </w:p>
        </w:tc>
        <w:tc>
          <w:tcPr>
            <w:tcW w:w="64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This denotes if the Sample Size could be coded unequivocally. 1 means that N is unequivocal, 0 means that N could not be determined unequivocally.</w:t>
            </w:r>
          </w:p>
        </w:tc>
      </w:tr>
      <w:tr>
        <w:trPr/>
        <w:tc>
          <w:tcPr>
            <w:tcW w:w="32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Power analysis conducted?</w:t>
            </w:r>
          </w:p>
        </w:tc>
        <w:tc>
          <w:tcPr>
            <w:tcW w:w="64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 xml:space="preserve">This denotes whether an a priori power analysis for the sample size was conducted (and the results reported) for the respective study. 1 means that a power analysis was conducted, 0 means that it was not mentioned (so we assume it wasn’t conducted). </w:t>
            </w:r>
            <w:r>
              <w:rPr>
                <w:rFonts w:eastAsia="Open Sans" w:cs="Open Sans" w:ascii="Open Sans" w:hAnsi="Open Sans"/>
              </w:rPr>
              <w:t>Post hoc power analyses are explicitly not part of this!</w:t>
            </w:r>
          </w:p>
        </w:tc>
      </w:tr>
      <w:tr>
        <w:trPr/>
        <w:tc>
          <w:tcPr>
            <w:tcW w:w="32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pen Sans" w:hAnsi="Open Sans" w:eastAsia="Open Sans" w:cs="Open Sans"/>
              </w:rPr>
            </w:pPr>
            <w:r>
              <w:rPr>
                <w:rFonts w:eastAsia="Open Sans" w:cs="Open Sans" w:ascii="Open Sans" w:hAnsi="Open Sans"/>
              </w:rPr>
              <w:t>Include study?</w:t>
            </w:r>
          </w:p>
        </w:tc>
        <w:tc>
          <w:tcPr>
            <w:tcW w:w="64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 w:hAnsi="Open Sans" w:eastAsia="Open Sans" w:cs="Open Sans"/>
              </w:rPr>
            </w:pPr>
            <w:r>
              <w:rPr>
                <w:rFonts w:eastAsia="Open Sans" w:cs="Open Sans" w:ascii="Open Sans" w:hAnsi="Open Sans"/>
              </w:rPr>
              <w:t>“</w:t>
            </w:r>
            <w:r>
              <w:rPr>
                <w:rFonts w:eastAsia="Open Sans" w:cs="Open Sans" w:ascii="Open Sans" w:hAnsi="Open Sans"/>
              </w:rPr>
              <w:t>Include study?” denotes whether we decided to include a study into the final sample or not.</w:t>
            </w:r>
          </w:p>
          <w:p>
            <w:pPr>
              <w:pStyle w:val="Normal1"/>
              <w:widowControl w:val="false"/>
              <w:numPr>
                <w:ilvl w:val="0"/>
                <w:numId w:val="4"/>
              </w:numPr>
              <w:spacing w:lineRule="auto" w:line="240"/>
              <w:ind w:left="720" w:hanging="360"/>
              <w:rPr>
                <w:rFonts w:ascii="Open Sans" w:hAnsi="Open Sans" w:eastAsia="Open Sans" w:cs="Open Sans"/>
              </w:rPr>
            </w:pPr>
            <w:r>
              <w:rPr>
                <w:rFonts w:eastAsia="Open Sans" w:cs="Open Sans" w:ascii="Open Sans" w:hAnsi="Open Sans"/>
              </w:rPr>
              <w:t>1 = Study included.</w:t>
            </w:r>
          </w:p>
          <w:p>
            <w:pPr>
              <w:pStyle w:val="Normal1"/>
              <w:widowControl w:val="false"/>
              <w:numPr>
                <w:ilvl w:val="0"/>
                <w:numId w:val="4"/>
              </w:numPr>
              <w:spacing w:lineRule="auto" w:line="240"/>
              <w:ind w:left="720" w:hanging="360"/>
              <w:rPr>
                <w:rFonts w:ascii="Open Sans" w:hAnsi="Open Sans" w:eastAsia="Open Sans" w:cs="Open Sans"/>
              </w:rPr>
            </w:pPr>
            <w:r>
              <w:rPr>
                <w:rFonts w:eastAsia="Open Sans" w:cs="Open Sans" w:ascii="Open Sans" w:hAnsi="Open Sans"/>
              </w:rPr>
              <w:t xml:space="preserve">0 </w:t>
            </w:r>
            <w:r>
              <w:rPr>
                <w:rFonts w:eastAsia="Open Sans" w:cs="Open Sans" w:ascii="Open Sans" w:hAnsi="Open Sans"/>
              </w:rPr>
              <w:t>= Study not included sample size planning rationale is not necessarily relevant).</w:t>
            </w:r>
          </w:p>
        </w:tc>
      </w:tr>
    </w:tbl>
    <w:p>
      <w:pPr>
        <w:pStyle w:val="Normal1"/>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roman"/>
    <w:pitch w:val="variable"/>
  </w:font>
  <w:font w:name="Open Sans">
    <w:charset w:val="00"/>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de-DE"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Liberation Serif" w:cs="Liberation Serif"/>
      <w:color w:val="auto"/>
      <w:kern w:val="0"/>
      <w:sz w:val="24"/>
      <w:szCs w:val="24"/>
      <w:lang w:val="de-DE" w:eastAsia="zh-CN" w:bidi="hi-IN"/>
    </w:rPr>
  </w:style>
  <w:style w:type="paragraph" w:styleId="Berschrift1">
    <w:name w:val="Heading 1"/>
    <w:basedOn w:val="Normal1"/>
    <w:next w:val="Normal1"/>
    <w:qFormat/>
    <w:pPr>
      <w:keepNext w:val="true"/>
      <w:keepLines/>
      <w:pageBreakBefore w:val="false"/>
      <w:spacing w:lineRule="auto" w:line="240" w:before="480" w:after="120"/>
    </w:pPr>
    <w:rPr>
      <w:b/>
      <w:sz w:val="48"/>
      <w:szCs w:val="48"/>
    </w:rPr>
  </w:style>
  <w:style w:type="paragraph" w:styleId="Berschrift2">
    <w:name w:val="Heading 2"/>
    <w:basedOn w:val="Normal1"/>
    <w:next w:val="Normal1"/>
    <w:qFormat/>
    <w:pPr>
      <w:keepNext w:val="true"/>
      <w:keepLines/>
      <w:pageBreakBefore w:val="false"/>
      <w:spacing w:lineRule="auto" w:line="240" w:before="360" w:after="80"/>
    </w:pPr>
    <w:rPr>
      <w:b/>
      <w:sz w:val="36"/>
      <w:szCs w:val="36"/>
    </w:rPr>
  </w:style>
  <w:style w:type="paragraph" w:styleId="Berschrift3">
    <w:name w:val="Heading 3"/>
    <w:basedOn w:val="Normal1"/>
    <w:next w:val="Normal1"/>
    <w:qFormat/>
    <w:pPr>
      <w:keepNext w:val="true"/>
      <w:keepLines/>
      <w:pageBreakBefore w:val="false"/>
      <w:spacing w:lineRule="auto" w:line="240" w:before="280" w:after="80"/>
    </w:pPr>
    <w:rPr>
      <w:b/>
      <w:sz w:val="28"/>
      <w:szCs w:val="28"/>
    </w:rPr>
  </w:style>
  <w:style w:type="paragraph" w:styleId="Berschrift4">
    <w:name w:val="Heading 4"/>
    <w:basedOn w:val="Normal1"/>
    <w:next w:val="Normal1"/>
    <w:qFormat/>
    <w:pPr>
      <w:keepNext w:val="true"/>
      <w:keepLines/>
      <w:pageBreakBefore w:val="false"/>
      <w:spacing w:lineRule="auto" w:line="240" w:before="240" w:after="40"/>
    </w:pPr>
    <w:rPr>
      <w:b/>
      <w:sz w:val="24"/>
      <w:szCs w:val="24"/>
    </w:rPr>
  </w:style>
  <w:style w:type="paragraph" w:styleId="Berschrift5">
    <w:name w:val="Heading 5"/>
    <w:basedOn w:val="Normal1"/>
    <w:next w:val="Normal1"/>
    <w:qFormat/>
    <w:pPr>
      <w:keepNext w:val="true"/>
      <w:keepLines/>
      <w:pageBreakBefore w:val="false"/>
      <w:spacing w:lineRule="auto" w:line="240" w:before="220" w:after="40"/>
    </w:pPr>
    <w:rPr>
      <w:b/>
      <w:sz w:val="22"/>
      <w:szCs w:val="22"/>
    </w:rPr>
  </w:style>
  <w:style w:type="paragraph" w:styleId="Berschrift6">
    <w:name w:val="Heading 6"/>
    <w:basedOn w:val="Normal1"/>
    <w:next w:val="Normal1"/>
    <w:qFormat/>
    <w:pPr>
      <w:keepNext w:val="true"/>
      <w:keepLines/>
      <w:pageBreakBefore w:val="false"/>
      <w:spacing w:lineRule="auto" w:line="240" w:before="200" w:after="40"/>
    </w:pPr>
    <w:rPr>
      <w:b/>
      <w:sz w:val="20"/>
      <w:szCs w:val="20"/>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de-DE" w:eastAsia="zh-CN" w:bidi="hi-IN"/>
    </w:rPr>
  </w:style>
  <w:style w:type="paragraph" w:styleId="Titel">
    <w:name w:val="Title"/>
    <w:basedOn w:val="Normal1"/>
    <w:next w:val="Normal1"/>
    <w:qFormat/>
    <w:pPr>
      <w:keepNext w:val="true"/>
      <w:keepLines/>
      <w:pageBreakBefore w:val="false"/>
      <w:spacing w:lineRule="auto" w:line="240" w:before="480" w:after="120"/>
    </w:pPr>
    <w:rPr>
      <w:b/>
      <w:sz w:val="72"/>
      <w:szCs w:val="72"/>
    </w:rPr>
  </w:style>
  <w:style w:type="paragraph" w:styleId="Untertitel">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LibreOffice/7.5.6.2$Windows_X86_64 LibreOffice_project/f654817fb68d6d4600d7d2f6b647e47729f55f15</Application>
  <AppVersion>15.0000</AppVersion>
  <Pages>3</Pages>
  <Words>592</Words>
  <Characters>3014</Characters>
  <CharactersWithSpaces>3548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2024-08-07T14:51:52Z</dcterms:modified>
  <cp:revision>1</cp:revision>
  <dc:subject/>
  <dc:title/>
</cp:coreProperties>
</file>