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2563EB"/>
          <w:sz w:val="60"/>
          <w:szCs w:val="60"/>
        </w:rPr>
        <w:t xml:space="preserve">CARDVAULT</w:t>
      </w:r>
    </w:p>
    <w:p>
      <w:pPr>
        <w:spacing w:after="60"/>
        <w:jc w:val="center"/>
      </w:pPr>
      <w:r>
        <w:rPr>
          <w:rFonts w:ascii="Arial" w:cs="Arial" w:eastAsia="Arial" w:hAnsi="Arial"/>
          <w:color w:val="4338CA"/>
          <w:sz w:val="36"/>
          <w:szCs w:val="36"/>
        </w:rPr>
        <w:t xml:space="preserve">Founder’s Strategy Report</w:t>
      </w:r>
    </w:p>
    <w:p>
      <w:pPr>
        <w:spacing w:after="300"/>
        <w:jc w:val="center"/>
      </w:pPr>
      <w:r>
        <w:rPr>
          <w:rFonts w:ascii="Arial" w:cs="Arial" w:eastAsia="Arial" w:hAnsi="Arial"/>
          <w:color w:val="64748B"/>
          <w:sz w:val="26"/>
          <w:szCs w:val="26"/>
        </w:rPr>
        <w:t xml:space="preserve">Scalability, Monetization &amp; Growth Roadmap</w:t>
      </w:r>
    </w:p>
    <w:p>
      <w:pPr>
        <w:spacing w:after="80"/>
      </w:pPr>
    </w:p>
    <w:p>
      <w:pPr>
        <w:spacing w:after="80"/>
      </w:pPr>
    </w:p>
    <w:p>
      <w:pPr>
        <w:spacing w:after="60"/>
        <w:jc w:val="center"/>
      </w:pPr>
      <w:r>
        <w:rPr>
          <w:rFonts w:ascii="Arial" w:cs="Arial" w:eastAsia="Arial" w:hAnsi="Arial"/>
          <w:color w:val="4338CA"/>
          <w:sz w:val="22"/>
          <w:szCs w:val="22"/>
        </w:rPr>
        <w:t xml:space="preserve">beta.cardvault.id | admin.cardvault.id</w:t>
      </w:r>
    </w:p>
    <w:p>
      <w:pPr>
        <w:spacing w:after="60"/>
        <w:jc w:val="center"/>
      </w:pPr>
      <w:r>
        <w:rPr>
          <w:rFonts w:ascii="Arial" w:cs="Arial" w:eastAsia="Arial" w:hAnsi="Arial"/>
          <w:color w:val="64748B"/>
          <w:sz w:val="20"/>
          <w:szCs w:val="20"/>
        </w:rPr>
        <w:t xml:space="preserve">April 2026 | Version 2.0 | Confidential</w:t>
      </w:r>
    </w:p>
    <w:p>
      <w:pPr>
        <w:spacing w:after="80"/>
      </w:pPr>
    </w:p>
    <w:p>
      <w:pPr>
        <w:spacing w:after="80"/>
      </w:pPr>
    </w:p>
    <w:p>
      <w:pPr>
        <w:spacing w:after="80"/>
      </w:pPr>
    </w:p>
    <w:p>
      <w:pPr>
        <w:pBdr>
          <w:top w:val="single" w:color="2563EB" w:sz="2"/>
        </w:pBdr>
        <w:spacing w:before="200"/>
        <w:jc w:val="center"/>
      </w:pPr>
      <w:r>
        <w:rPr>
          <w:rFonts w:ascii="Arial" w:cs="Arial" w:eastAsia="Arial" w:hAnsi="Arial"/>
          <w:i/>
          <w:iCs/>
          <w:color w:val="64748B"/>
          <w:sz w:val="16"/>
          <w:szCs w:val="16"/>
        </w:rPr>
        <w:t xml:space="preserve">Industry Analysis: Whatnot ($11.5B) · ALT ($325M) · Collectors/PSA · Fanatics Collect · Card Ladder · 130point · Loupe · Drip · COMC · VeriSwap · StockX · CardHedger · TCGplayer</w:t>
      </w:r>
    </w:p>
    <w:p>
      <w:pPr>
        <w:spacing w:after="80"/>
      </w:pPr>
    </w:p>
    <w:p>
      <w:pPr>
        <w:jc w:val="center"/>
      </w:pPr>
      <w:r>
        <w:rPr>
          <w:rFonts w:ascii="Arial" w:cs="Arial" w:eastAsia="Arial" w:hAnsi="Arial"/>
          <w:b/>
          <w:bCs/>
          <w:color w:val="B45309"/>
          <w:sz w:val="18"/>
          <w:szCs w:val="18"/>
        </w:rPr>
        <w:t xml:space="preserve">Market Size: Asia-Pacific Trading Card Games — USD $3.5B (2025), 6.6% CAGR to 2035</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F172A"/>
          <w:sz w:val="36"/>
          <w:szCs w:val="36"/>
        </w:rPr>
        <w:t xml:space="preserve">1. Executive Vision &amp; Market Opportunity</w:t>
      </w:r>
    </w:p>
    <w:p>
      <w:pPr>
        <w:spacing w:after="120"/>
      </w:pPr>
      <w:r>
        <w:rPr>
          <w:rFonts w:ascii="Arial" w:cs="Arial" w:eastAsia="Arial" w:hAnsi="Arial"/>
          <w:b w:val="false"/>
          <w:bCs w:val="false"/>
          <w:i w:val="false"/>
          <w:iCs w:val="false"/>
          <w:color w:val="0F172A"/>
          <w:sz w:val="22"/>
          <w:szCs w:val="22"/>
        </w:rPr>
        <w:t xml:space="preserve">This report approaches CardVault not as a beta product to debug, but as a business to scale. The core thesis: CardVault can become Southeast Asia’s definitive escrow-protected card trading platform by combining Indonesia-first payments with data-driven pricing, grading integrations, and community-powered engagement. The addressable market is large and growing rapidly.</w:t>
      </w:r>
    </w:p>
    <w:p>
      <w:pPr>
        <w:spacing w:after="80"/>
      </w:pPr>
    </w:p>
    <w:p>
      <w:pPr>
        <w:pStyle w:val="Heading2"/>
        <w:spacing w:after="160" w:before="300"/>
      </w:pPr>
      <w:r>
        <w:rPr>
          <w:rFonts w:ascii="Arial" w:cs="Arial" w:eastAsia="Arial" w:hAnsi="Arial"/>
          <w:b/>
          <w:bCs/>
          <w:color w:val="2563EB"/>
          <w:sz w:val="28"/>
          <w:szCs w:val="28"/>
        </w:rPr>
        <w:t xml:space="preserve">1.1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Size (2025)</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Growth</w:t>
            </w:r>
          </w:p>
        </w:tc>
        <w:tc>
          <w:tcPr>
            <w:tcW w:type="dxa" w:w="39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Relevance to CardVault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Asia-Pacific Trading Card Games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 $3.5B</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6.6% CAGR to 2035</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CardVault’s primary TAM — Indonesia, PH, TH, MY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Global Trading Card Games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 $13.28B</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10.03% CAGR to 2031</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Secondary market via USD/Stripe users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Indonesia Card Games Segment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 $58.4M by 2028</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2.95% CAGR</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Direct SAM — Indonesian collectors and traders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Global Collectible Trading Cards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 $15.11B (2026)</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Growing</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Graded sports cards, vintage, investment-grade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Whatnot GMV (benchmark)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USD $8B+ (2025)</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2x YoY</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Proves live commerce + collectibles = massive scale</w:t>
            </w:r>
          </w:p>
        </w:tc>
      </w:tr>
    </w:tbl>
    <w:p>
      <w:pPr>
        <w:spacing w:after="80"/>
      </w:pPr>
    </w:p>
    <w:p>
      <w:pPr>
        <w:spacing w:after="120"/>
      </w:pPr>
      <w:r>
        <w:rPr>
          <w:rFonts w:ascii="Arial" w:cs="Arial" w:eastAsia="Arial" w:hAnsi="Arial"/>
          <w:b w:val="false"/>
          <w:bCs w:val="false"/>
          <w:i w:val="false"/>
          <w:iCs w:val="false"/>
          <w:color w:val="0F172A"/>
          <w:sz w:val="22"/>
          <w:szCs w:val="22"/>
        </w:rPr>
        <w:t xml:space="preserve">Indonesia and the Philippines are specifically called out as emerging markets for trading card games, fueled by high smartphone penetration and community gaming culture. CardVault is positioned perfectly: mobile-first PWA, IDR-first currency, local payment gateways (Midtrans, Xendit, QRIS), and escrow trust — solving the exact scam problem that plagues Facebook Groups and Tokopedia for card trades.</w:t>
      </w:r>
    </w:p>
    <w:p>
      <w:pPr>
        <w:spacing w:after="80"/>
      </w:pPr>
    </w:p>
    <w:p>
      <w:pPr>
        <w:pStyle w:val="Heading2"/>
        <w:spacing w:after="160" w:before="300"/>
      </w:pPr>
      <w:r>
        <w:rPr>
          <w:rFonts w:ascii="Arial" w:cs="Arial" w:eastAsia="Arial" w:hAnsi="Arial"/>
          <w:b/>
          <w:bCs/>
          <w:color w:val="2563EB"/>
          <w:sz w:val="28"/>
          <w:szCs w:val="28"/>
        </w:rPr>
        <w:t xml:space="preserve">1.2 Current State Assessment (April 2026 Re-Review)</w:t>
      </w:r>
    </w:p>
    <w:p>
      <w:pPr>
        <w:spacing w:after="120"/>
      </w:pPr>
      <w:r>
        <w:rPr>
          <w:rFonts w:ascii="Arial" w:cs="Arial" w:eastAsia="Arial" w:hAnsi="Arial"/>
          <w:b w:val="false"/>
          <w:bCs w:val="false"/>
          <w:i w:val="false"/>
          <w:iCs w:val="false"/>
          <w:color w:val="0F172A"/>
          <w:sz w:val="22"/>
          <w:szCs w:val="22"/>
        </w:rPr>
        <w:t xml:space="preserve">The beta site (beta.cardvault.id) has improved significantly since the initial audit. The marketplace now shows 80 populated listings with real card data across categories (Pokemon, Sports, MTG, Yu-Gi-Oh!). Listing detail pages display comprehensive card information: brand, set, year, condition, PSA/BGS grade, cert number with verify link, seller profile with verification badge and rating, dual-currency pricing with buyer fee breakdown, and the Escrow Protected badge. The admin dashboard at admin.cardvault.id is functional with user management, transaction monitoring, and payment gateway health checks.</w:t>
      </w:r>
    </w:p>
    <w:p>
      <w:pPr>
        <w:spacing w:after="80"/>
      </w:pPr>
    </w:p>
    <w:p>
      <w:pPr>
        <w:spacing w:after="120"/>
      </w:pPr>
      <w:r>
        <w:rPr>
          <w:rFonts w:ascii="Arial" w:cs="Arial" w:eastAsia="Arial" w:hAnsi="Arial"/>
          <w:b w:val="false"/>
          <w:bCs w:val="false"/>
          <w:i w:val="false"/>
          <w:iCs w:val="false"/>
          <w:color w:val="0F172A"/>
          <w:sz w:val="22"/>
          <w:szCs w:val="22"/>
        </w:rPr>
        <w:t xml:space="preserve">However, thinking as a founder, the product gap isn’t about fixing bugs — it’s about missing revenue infrastructure, missing data integrations, and missing network effects. The remainder of this report focuses on those strategic gaps.</w:t>
      </w:r>
    </w:p>
    <w:p>
      <w:r>
        <w:br w:type="page"/>
      </w:r>
    </w:p>
    <w:p>
      <w:pPr>
        <w:pStyle w:val="Heading1"/>
        <w:spacing w:after="200" w:before="400"/>
      </w:pPr>
      <w:r>
        <w:rPr>
          <w:rFonts w:ascii="Arial" w:cs="Arial" w:eastAsia="Arial" w:hAnsi="Arial"/>
          <w:b/>
          <w:bCs/>
          <w:color w:val="0F172A"/>
          <w:sz w:val="36"/>
          <w:szCs w:val="36"/>
        </w:rPr>
        <w:t xml:space="preserve">2. Industry Deep Dive: Business Models &amp; Revenue Architecture</w:t>
      </w:r>
    </w:p>
    <w:p>
      <w:pPr>
        <w:spacing w:after="120"/>
      </w:pPr>
      <w:r>
        <w:rPr>
          <w:rFonts w:ascii="Arial" w:cs="Arial" w:eastAsia="Arial" w:hAnsi="Arial"/>
          <w:b w:val="false"/>
          <w:bCs w:val="false"/>
          <w:i w:val="false"/>
          <w:iCs w:val="false"/>
          <w:color w:val="0F172A"/>
          <w:sz w:val="22"/>
          <w:szCs w:val="22"/>
        </w:rPr>
        <w:t xml:space="preserve">Understanding how the biggest players monetize reveals the playbook CardVault should follow. The card trading ecosystem has three layers: data/pricing platforms, marketplace/transaction platforms, and physical services (grading, vaulting, authentication). The most valuable companies integrate across all three.</w:t>
      </w:r>
    </w:p>
    <w:p>
      <w:pPr>
        <w:spacing w:after="80"/>
      </w:pPr>
    </w:p>
    <w:p>
      <w:pPr>
        <w:pStyle w:val="Heading2"/>
        <w:spacing w:after="160" w:before="300"/>
      </w:pPr>
      <w:r>
        <w:rPr>
          <w:rFonts w:ascii="Arial" w:cs="Arial" w:eastAsia="Arial" w:hAnsi="Arial"/>
          <w:b/>
          <w:bCs/>
          <w:color w:val="2563EB"/>
          <w:sz w:val="28"/>
          <w:szCs w:val="28"/>
        </w:rPr>
        <w:t xml:space="preserve">2.1 Whatnot — The $11.5B Benchmark</w:t>
      </w:r>
    </w:p>
    <w:p>
      <w:pPr>
        <w:spacing w:after="120"/>
      </w:pPr>
      <w:r>
        <w:rPr>
          <w:rFonts w:ascii="Arial" w:cs="Arial" w:eastAsia="Arial" w:hAnsi="Arial"/>
          <w:b w:val="false"/>
          <w:bCs w:val="false"/>
          <w:i w:val="false"/>
          <w:iCs w:val="false"/>
          <w:color w:val="0F172A"/>
          <w:sz w:val="22"/>
          <w:szCs w:val="22"/>
        </w:rPr>
        <w:t xml:space="preserve">Whatnot is the most relevant comparable for CardVault. It started in trading cards and grew to $8B+ GMV in 2025, with $1B in projected revenue.</w:t>
      </w:r>
    </w:p>
    <w:p>
      <w:pPr>
        <w:spacing w:after="80"/>
      </w:pPr>
    </w:p>
    <w:p>
      <w:pPr>
        <w:spacing w:after="120" w:before="220"/>
      </w:pPr>
      <w:r>
        <w:rPr>
          <w:rFonts w:ascii="Arial" w:cs="Arial" w:eastAsia="Arial" w:hAnsi="Arial"/>
          <w:b/>
          <w:bCs/>
          <w:color w:val="4338CA"/>
          <w:sz w:val="24"/>
          <w:szCs w:val="24"/>
        </w:rPr>
        <w:t xml:space="preserve">Revenue Architecture</w:t>
      </w:r>
    </w:p>
    <w:p>
      <w:pPr>
        <w:pStyle w:val="ListParagraph"/>
        <w:numPr>
          <w:ilvl w:val="0"/>
          <w:numId w:val="2"/>
        </w:numPr>
        <w:spacing w:after="80"/>
      </w:pPr>
      <w:r>
        <w:rPr>
          <w:rFonts w:ascii="Arial" w:cs="Arial" w:eastAsia="Arial" w:hAnsi="Arial"/>
          <w:sz w:val="22"/>
          <w:szCs w:val="22"/>
        </w:rPr>
        <w:t xml:space="preserve">Transaction commission: 8% in US, 6.67% in UK/EU on every sale</w:t>
      </w:r>
    </w:p>
    <w:p>
      <w:pPr>
        <w:pStyle w:val="ListParagraph"/>
        <w:numPr>
          <w:ilvl w:val="0"/>
          <w:numId w:val="2"/>
        </w:numPr>
        <w:spacing w:after="80"/>
      </w:pPr>
      <w:r>
        <w:rPr>
          <w:rFonts w:ascii="Arial" w:cs="Arial" w:eastAsia="Arial" w:hAnsi="Arial"/>
          <w:sz w:val="22"/>
          <w:szCs w:val="22"/>
        </w:rPr>
        <w:t xml:space="preserve">Payment processing: 2.9% + $0.30 per transaction (passed to sellers)</w:t>
      </w:r>
    </w:p>
    <w:p>
      <w:pPr>
        <w:pStyle w:val="ListParagraph"/>
        <w:numPr>
          <w:ilvl w:val="0"/>
          <w:numId w:val="2"/>
        </w:numPr>
        <w:spacing w:after="80"/>
      </w:pPr>
      <w:r>
        <w:rPr>
          <w:rFonts w:ascii="Arial" w:cs="Arial" w:eastAsia="Arial" w:hAnsi="Arial"/>
          <w:sz w:val="22"/>
          <w:szCs w:val="22"/>
        </w:rPr>
        <w:t xml:space="preserve">Advertising: Boosted livestreams and promoted listings, pushing overall take rate from 12% to 12.5%</w:t>
      </w:r>
    </w:p>
    <w:p>
      <w:pPr>
        <w:pStyle w:val="ListParagraph"/>
        <w:numPr>
          <w:ilvl w:val="0"/>
          <w:numId w:val="2"/>
        </w:numPr>
        <w:spacing w:after="80"/>
      </w:pPr>
      <w:r>
        <w:rPr>
          <w:rFonts w:ascii="Arial" w:cs="Arial" w:eastAsia="Arial" w:hAnsi="Arial"/>
          <w:sz w:val="22"/>
          <w:szCs w:val="22"/>
        </w:rPr>
        <w:t xml:space="preserve">Total effective take rate: ~12.5% of GMV</w:t>
      </w:r>
    </w:p>
    <w:p>
      <w:pPr>
        <w:spacing w:after="80"/>
      </w:pPr>
    </w:p>
    <w:p>
      <w:pPr>
        <w:spacing w:after="120" w:before="220"/>
      </w:pPr>
      <w:r>
        <w:rPr>
          <w:rFonts w:ascii="Arial" w:cs="Arial" w:eastAsia="Arial" w:hAnsi="Arial"/>
          <w:b/>
          <w:bCs/>
          <w:color w:val="4338CA"/>
          <w:sz w:val="24"/>
          <w:szCs w:val="24"/>
        </w:rPr>
        <w:t xml:space="preserve">Key Metrics CardVault Should Target</w:t>
      </w:r>
    </w:p>
    <w:p>
      <w:pPr>
        <w:pStyle w:val="ListParagraph"/>
        <w:numPr>
          <w:ilvl w:val="0"/>
          <w:numId w:val="3"/>
        </w:numPr>
        <w:spacing w:after="80"/>
      </w:pPr>
      <w:r>
        <w:rPr>
          <w:rFonts w:ascii="Arial" w:cs="Arial" w:eastAsia="Arial" w:hAnsi="Arial"/>
          <w:sz w:val="22"/>
          <w:szCs w:val="22"/>
        </w:rPr>
        <w:t xml:space="preserve">Users spend 95 minutes/day on platform (live streams drive massive engagement)</w:t>
      </w:r>
    </w:p>
    <w:p>
      <w:pPr>
        <w:pStyle w:val="ListParagraph"/>
        <w:numPr>
          <w:ilvl w:val="0"/>
          <w:numId w:val="3"/>
        </w:numPr>
        <w:spacing w:after="80"/>
      </w:pPr>
      <w:r>
        <w:rPr>
          <w:rFonts w:ascii="Arial" w:cs="Arial" w:eastAsia="Arial" w:hAnsi="Arial"/>
          <w:sz w:val="22"/>
          <w:szCs w:val="22"/>
        </w:rPr>
        <w:t xml:space="preserve">Month-over-month retention: 80% (up from 62%)</w:t>
      </w:r>
    </w:p>
    <w:p>
      <w:pPr>
        <w:pStyle w:val="ListParagraph"/>
        <w:numPr>
          <w:ilvl w:val="0"/>
          <w:numId w:val="3"/>
        </w:numPr>
        <w:spacing w:after="80"/>
      </w:pPr>
      <w:r>
        <w:rPr>
          <w:rFonts w:ascii="Arial" w:cs="Arial" w:eastAsia="Arial" w:hAnsi="Arial"/>
          <w:sz w:val="22"/>
          <w:szCs w:val="22"/>
        </w:rPr>
        <w:t xml:space="preserve">20 million new accounts created in 2025</w:t>
      </w:r>
    </w:p>
    <w:p>
      <w:pPr>
        <w:pStyle w:val="ListParagraph"/>
        <w:numPr>
          <w:ilvl w:val="0"/>
          <w:numId w:val="3"/>
        </w:numPr>
        <w:spacing w:after="80"/>
      </w:pPr>
      <w:r>
        <w:rPr>
          <w:rFonts w:ascii="Arial" w:cs="Arial" w:eastAsia="Arial" w:hAnsi="Arial"/>
          <w:sz w:val="22"/>
          <w:szCs w:val="22"/>
        </w:rPr>
        <w:t xml:space="preserve">Average Loupe customer (comparable) makes 10+ purchases per month, with power users spending $1M+</w:t>
      </w:r>
    </w:p>
    <w:p>
      <w:pPr>
        <w:spacing w:after="80"/>
      </w:pPr>
    </w:p>
    <w:p>
      <w:pPr>
        <w:spacing w:after="120" w:before="220"/>
      </w:pPr>
      <w:r>
        <w:rPr>
          <w:rFonts w:ascii="Arial" w:cs="Arial" w:eastAsia="Arial" w:hAnsi="Arial"/>
          <w:b/>
          <w:bCs/>
          <w:color w:val="4338CA"/>
          <w:sz w:val="24"/>
          <w:szCs w:val="24"/>
        </w:rPr>
        <w:t xml:space="preserve">Lesson for CardVault</w:t>
      </w:r>
    </w:p>
    <w:p>
      <w:pPr>
        <w:spacing w:after="120"/>
      </w:pPr>
      <w:r>
        <w:rPr>
          <w:rFonts w:ascii="Arial" w:cs="Arial" w:eastAsia="Arial" w:hAnsi="Arial"/>
          <w:b w:val="false"/>
          <w:bCs w:val="false"/>
          <w:i w:val="false"/>
          <w:iCs w:val="false"/>
          <w:color w:val="0F172A"/>
          <w:sz w:val="22"/>
          <w:szCs w:val="22"/>
        </w:rPr>
        <w:t xml:space="preserve">Whatnot proves that card-first marketplaces can achieve enormous scale. The live commerce element is powerful, but even without it, the core marketplace + escrow model at a 10-12% blended take rate is highly viable. CardVault should target a 8-10% effective take rate initially (3% buyer fee + 5% seller fee) and plan for advertising and premium features as additional revenue layers.</w:t>
      </w:r>
    </w:p>
    <w:p>
      <w:pPr>
        <w:spacing w:after="80"/>
      </w:pPr>
    </w:p>
    <w:p>
      <w:pPr>
        <w:pStyle w:val="Heading2"/>
        <w:spacing w:after="160" w:before="300"/>
      </w:pPr>
      <w:r>
        <w:rPr>
          <w:rFonts w:ascii="Arial" w:cs="Arial" w:eastAsia="Arial" w:hAnsi="Arial"/>
          <w:b/>
          <w:bCs/>
          <w:color w:val="2563EB"/>
          <w:sz w:val="28"/>
          <w:szCs w:val="28"/>
        </w:rPr>
        <w:t xml:space="preserve">2.2 ALT — Cards as an Investment Asset Class</w:t>
      </w:r>
    </w:p>
    <w:p>
      <w:pPr>
        <w:spacing w:after="120"/>
      </w:pPr>
      <w:r>
        <w:rPr>
          <w:rFonts w:ascii="Arial" w:cs="Arial" w:eastAsia="Arial" w:hAnsi="Arial"/>
          <w:b w:val="false"/>
          <w:bCs w:val="false"/>
          <w:i w:val="false"/>
          <w:iCs w:val="false"/>
          <w:color w:val="0F172A"/>
          <w:sz w:val="22"/>
          <w:szCs w:val="22"/>
        </w:rPr>
        <w:t xml:space="preserve">ALT (alt.xyz) is valued at $325M+ and treats trading cards as alternative investments. Their model is relevant because they serve the high-value end of the market that CardVault’s escrow service is designed to protect.</w:t>
      </w:r>
    </w:p>
    <w:p>
      <w:pPr>
        <w:spacing w:after="80"/>
      </w:pPr>
    </w:p>
    <w:p>
      <w:pPr>
        <w:spacing w:after="120" w:before="220"/>
      </w:pPr>
      <w:r>
        <w:rPr>
          <w:rFonts w:ascii="Arial" w:cs="Arial" w:eastAsia="Arial" w:hAnsi="Arial"/>
          <w:b/>
          <w:bCs/>
          <w:color w:val="4338CA"/>
          <w:sz w:val="24"/>
          <w:szCs w:val="24"/>
        </w:rPr>
        <w:t xml:space="preserve">Revenue Streams</w:t>
      </w:r>
    </w:p>
    <w:p>
      <w:pPr>
        <w:pStyle w:val="ListParagraph"/>
        <w:numPr>
          <w:ilvl w:val="0"/>
          <w:numId w:val="4"/>
        </w:numPr>
        <w:spacing w:after="80"/>
      </w:pPr>
      <w:r>
        <w:rPr>
          <w:rFonts w:ascii="Arial" w:cs="Arial" w:eastAsia="Arial" w:hAnsi="Arial"/>
          <w:sz w:val="22"/>
          <w:szCs w:val="22"/>
        </w:rPr>
        <w:t xml:space="preserve">Marketplace commissions on fixed-price listings and weekly auctions</w:t>
      </w:r>
    </w:p>
    <w:p>
      <w:pPr>
        <w:pStyle w:val="ListParagraph"/>
        <w:numPr>
          <w:ilvl w:val="0"/>
          <w:numId w:val="4"/>
        </w:numPr>
        <w:spacing w:after="80"/>
      </w:pPr>
      <w:r>
        <w:rPr>
          <w:rFonts w:ascii="Arial" w:cs="Arial" w:eastAsia="Arial" w:hAnsi="Arial"/>
          <w:sz w:val="22"/>
          <w:szCs w:val="22"/>
        </w:rPr>
        <w:t xml:space="preserve">Consignment services: Sellers receive instant cash advances, ALT sells the card and pays out remaining proceeds minus fees</w:t>
      </w:r>
    </w:p>
    <w:p>
      <w:pPr>
        <w:pStyle w:val="ListParagraph"/>
        <w:numPr>
          <w:ilvl w:val="0"/>
          <w:numId w:val="4"/>
        </w:numPr>
        <w:spacing w:after="80"/>
      </w:pPr>
      <w:r>
        <w:rPr>
          <w:rFonts w:ascii="Arial" w:cs="Arial" w:eastAsia="Arial" w:hAnsi="Arial"/>
          <w:sz w:val="22"/>
          <w:szCs w:val="22"/>
        </w:rPr>
        <w:t xml:space="preserve">Vaulting/storage: Professional, insured card storage at $0.50-$2.00/card/month — recurring revenue</w:t>
      </w:r>
    </w:p>
    <w:p>
      <w:pPr>
        <w:pStyle w:val="ListParagraph"/>
        <w:numPr>
          <w:ilvl w:val="0"/>
          <w:numId w:val="4"/>
        </w:numPr>
        <w:spacing w:after="80"/>
      </w:pPr>
      <w:r>
        <w:rPr>
          <w:rFonts w:ascii="Arial" w:cs="Arial" w:eastAsia="Arial" w:hAnsi="Arial"/>
          <w:sz w:val="22"/>
          <w:szCs w:val="22"/>
        </w:rPr>
        <w:t xml:space="preserve">Lending: Collateralized loans against card portfolios (secured a $40M credit facility from Trinity Capital for this)</w:t>
      </w:r>
    </w:p>
    <w:p>
      <w:pPr>
        <w:pStyle w:val="ListParagraph"/>
        <w:numPr>
          <w:ilvl w:val="0"/>
          <w:numId w:val="4"/>
        </w:numPr>
        <w:spacing w:after="80"/>
      </w:pPr>
      <w:r>
        <w:rPr>
          <w:rFonts w:ascii="Arial" w:cs="Arial" w:eastAsia="Arial" w:hAnsi="Arial"/>
          <w:sz w:val="22"/>
          <w:szCs w:val="22"/>
        </w:rPr>
        <w:t xml:space="preserve">"Alt Value" data/analytics tool: AI-powered card valuations — the "Zillow Zestimate" for trading cards</w:t>
      </w:r>
    </w:p>
    <w:p>
      <w:pPr>
        <w:spacing w:after="80"/>
      </w:pPr>
    </w:p>
    <w:p>
      <w:pPr>
        <w:spacing w:after="120" w:before="220"/>
      </w:pPr>
      <w:r>
        <w:rPr>
          <w:rFonts w:ascii="Arial" w:cs="Arial" w:eastAsia="Arial" w:hAnsi="Arial"/>
          <w:b/>
          <w:bCs/>
          <w:color w:val="4338CA"/>
          <w:sz w:val="24"/>
          <w:szCs w:val="24"/>
        </w:rPr>
        <w:t xml:space="preserve">Lesson for CardVault</w:t>
      </w:r>
    </w:p>
    <w:p>
      <w:pPr>
        <w:spacing w:after="120"/>
      </w:pPr>
      <w:r>
        <w:rPr>
          <w:rFonts w:ascii="Arial" w:cs="Arial" w:eastAsia="Arial" w:hAnsi="Arial"/>
          <w:b w:val="false"/>
          <w:bCs w:val="false"/>
          <w:i w:val="false"/>
          <w:iCs w:val="false"/>
          <w:color w:val="0F172A"/>
          <w:sz w:val="22"/>
          <w:szCs w:val="22"/>
        </w:rPr>
        <w:t xml:space="preserve">The vaulting + lending model is transformative. For the Indonesian market, consider a partnership with local card shops for physical vaulting (similar to COMC’s consignment model), and introduce “CardVault Value” — an estimated card value powered by data from Card Ladder, 130point, or CardHedger APIs. This positions CardVault as not just a marketplace but a portfolio management tool.</w:t>
      </w:r>
    </w:p>
    <w:p>
      <w:pPr>
        <w:spacing w:after="80"/>
      </w:pPr>
    </w:p>
    <w:p>
      <w:pPr>
        <w:pStyle w:val="Heading2"/>
        <w:spacing w:after="160" w:before="300"/>
      </w:pPr>
      <w:r>
        <w:rPr>
          <w:rFonts w:ascii="Arial" w:cs="Arial" w:eastAsia="Arial" w:hAnsi="Arial"/>
          <w:b/>
          <w:bCs/>
          <w:color w:val="2563EB"/>
          <w:sz w:val="28"/>
          <w:szCs w:val="28"/>
        </w:rPr>
        <w:t xml:space="preserve">2.3 Collectors Holdings / Goldin — Vertical Integration</w:t>
      </w:r>
    </w:p>
    <w:p>
      <w:pPr>
        <w:spacing w:after="120"/>
      </w:pPr>
      <w:r>
        <w:rPr>
          <w:rFonts w:ascii="Arial" w:cs="Arial" w:eastAsia="Arial" w:hAnsi="Arial"/>
          <w:b w:val="false"/>
          <w:bCs w:val="false"/>
          <w:i w:val="false"/>
          <w:iCs w:val="false"/>
          <w:color w:val="0F172A"/>
          <w:sz w:val="22"/>
          <w:szCs w:val="22"/>
        </w:rPr>
        <w:t xml:space="preserve">Collectors Holdings (owner of PSA, SGC, and now Beckett) represents the most aggressive vertical integration in the industry. Through their Goldin marketplace, they offer grading + vaulting + marketplace as a unified pipeline.</w:t>
      </w:r>
    </w:p>
    <w:p>
      <w:pPr>
        <w:spacing w:after="80"/>
      </w:pPr>
    </w:p>
    <w:p>
      <w:pPr>
        <w:spacing w:after="120" w:before="220"/>
      </w:pPr>
      <w:r>
        <w:rPr>
          <w:rFonts w:ascii="Arial" w:cs="Arial" w:eastAsia="Arial" w:hAnsi="Arial"/>
          <w:b/>
          <w:bCs/>
          <w:color w:val="4338CA"/>
          <w:sz w:val="24"/>
          <w:szCs w:val="24"/>
        </w:rPr>
        <w:t xml:space="preserve">Their Integrated Model</w:t>
      </w:r>
    </w:p>
    <w:p>
      <w:pPr>
        <w:pStyle w:val="ListParagraph"/>
        <w:numPr>
          <w:ilvl w:val="0"/>
          <w:numId w:val="5"/>
        </w:numPr>
        <w:spacing w:after="80"/>
      </w:pPr>
      <w:r>
        <w:rPr>
          <w:rFonts w:ascii="Arial" w:cs="Arial" w:eastAsia="Arial" w:hAnsi="Arial"/>
          <w:sz w:val="22"/>
          <w:szCs w:val="22"/>
        </w:rPr>
        <w:t xml:space="preserve">Grading: PSA controls 80%+ of grading volume globally</w:t>
      </w:r>
    </w:p>
    <w:p>
      <w:pPr>
        <w:pStyle w:val="ListParagraph"/>
        <w:numPr>
          <w:ilvl w:val="0"/>
          <w:numId w:val="5"/>
        </w:numPr>
        <w:spacing w:after="80"/>
      </w:pPr>
      <w:r>
        <w:rPr>
          <w:rFonts w:ascii="Arial" w:cs="Arial" w:eastAsia="Arial" w:hAnsi="Arial"/>
          <w:sz w:val="22"/>
          <w:szCs w:val="22"/>
        </w:rPr>
        <w:t xml:space="preserve">Marketplace (Goldin): Cards can be graded, vaulted, and listed for auction without the card ever leaving Collectors’ custody</w:t>
      </w:r>
    </w:p>
    <w:p>
      <w:pPr>
        <w:pStyle w:val="ListParagraph"/>
        <w:numPr>
          <w:ilvl w:val="0"/>
          <w:numId w:val="5"/>
        </w:numPr>
        <w:spacing w:after="80"/>
      </w:pPr>
      <w:r>
        <w:rPr>
          <w:rFonts w:ascii="Arial" w:cs="Arial" w:eastAsia="Arial" w:hAnsi="Arial"/>
          <w:sz w:val="22"/>
          <w:szCs w:val="22"/>
        </w:rPr>
        <w:t xml:space="preserve">Data (Card Ladder): Acquired in 2021 — provides pricing analytics, population data, and market efficiency scores</w:t>
      </w:r>
    </w:p>
    <w:p>
      <w:pPr>
        <w:pStyle w:val="ListParagraph"/>
        <w:numPr>
          <w:ilvl w:val="0"/>
          <w:numId w:val="5"/>
        </w:numPr>
        <w:spacing w:after="80"/>
      </w:pPr>
      <w:r>
        <w:rPr>
          <w:rFonts w:ascii="Arial" w:cs="Arial" w:eastAsia="Arial" w:hAnsi="Arial"/>
          <w:sz w:val="22"/>
          <w:szCs w:val="22"/>
        </w:rPr>
        <w:t xml:space="preserve">Insurance: Cards in the vault are insured against damage and theft</w:t>
      </w:r>
    </w:p>
    <w:p>
      <w:pPr>
        <w:spacing w:after="80"/>
      </w:pPr>
    </w:p>
    <w:p>
      <w:pPr>
        <w:spacing w:after="120" w:before="220"/>
      </w:pPr>
      <w:r>
        <w:rPr>
          <w:rFonts w:ascii="Arial" w:cs="Arial" w:eastAsia="Arial" w:hAnsi="Arial"/>
          <w:b/>
          <w:bCs/>
          <w:color w:val="4338CA"/>
          <w:sz w:val="24"/>
          <w:szCs w:val="24"/>
        </w:rPr>
        <w:t xml:space="preserve">Lesson for CardVault</w:t>
      </w:r>
    </w:p>
    <w:p>
      <w:pPr>
        <w:spacing w:after="120"/>
      </w:pPr>
      <w:r>
        <w:rPr>
          <w:rFonts w:ascii="Arial" w:cs="Arial" w:eastAsia="Arial" w:hAnsi="Arial"/>
          <w:b w:val="false"/>
          <w:bCs w:val="false"/>
          <w:i w:val="false"/>
          <w:iCs w:val="false"/>
          <w:color w:val="0F172A"/>
          <w:sz w:val="22"/>
          <w:szCs w:val="22"/>
        </w:rPr>
        <w:t xml:space="preserve">CardVault cannot compete with Collectors on grading, but it CAN serve as the “local bridge” for Indonesian and SEA collectors who need to grade cards through PSA/BGS. Offering a grading submission concierge service (collect raw cards from users, submit in bulk to PSA, return graded cards or list directly on CardVault) would be a powerful differentiator and revenue source.</w:t>
      </w:r>
    </w:p>
    <w:p>
      <w:pPr>
        <w:spacing w:after="80"/>
      </w:pPr>
    </w:p>
    <w:p>
      <w:pPr>
        <w:pStyle w:val="Heading2"/>
        <w:spacing w:after="160" w:before="300"/>
      </w:pPr>
      <w:r>
        <w:rPr>
          <w:rFonts w:ascii="Arial" w:cs="Arial" w:eastAsia="Arial" w:hAnsi="Arial"/>
          <w:b/>
          <w:bCs/>
          <w:color w:val="2563EB"/>
          <w:sz w:val="28"/>
          <w:szCs w:val="28"/>
        </w:rPr>
        <w:t xml:space="preserve">2.4 Fanatics Collect — The Full Ecosystem Play</w:t>
      </w:r>
    </w:p>
    <w:p>
      <w:pPr>
        <w:spacing w:after="120"/>
      </w:pPr>
      <w:r>
        <w:rPr>
          <w:rFonts w:ascii="Arial" w:cs="Arial" w:eastAsia="Arial" w:hAnsi="Arial"/>
          <w:b w:val="false"/>
          <w:bCs w:val="false"/>
          <w:i w:val="false"/>
          <w:iCs w:val="false"/>
          <w:color w:val="0F172A"/>
          <w:sz w:val="22"/>
          <w:szCs w:val="22"/>
        </w:rPr>
        <w:t xml:space="preserve">Fanatics Collect (absorbing PWCC) offers auctions, fixed-price marketplace, vaulting, and integrated grading submissions from PSA, CGC, SGC, Beckett, and MBA. They’ve even placed CGC graders on-site for same-day turnaround.</w:t>
      </w:r>
    </w:p>
    <w:p>
      <w:pPr>
        <w:spacing w:after="80"/>
      </w:pPr>
    </w:p>
    <w:p>
      <w:pPr>
        <w:spacing w:after="120" w:before="220"/>
      </w:pPr>
      <w:r>
        <w:rPr>
          <w:rFonts w:ascii="Arial" w:cs="Arial" w:eastAsia="Arial" w:hAnsi="Arial"/>
          <w:b/>
          <w:bCs/>
          <w:color w:val="4338CA"/>
          <w:sz w:val="24"/>
          <w:szCs w:val="24"/>
        </w:rPr>
        <w:t xml:space="preserve">Key Features to Study</w:t>
      </w:r>
    </w:p>
    <w:p>
      <w:pPr>
        <w:pStyle w:val="ListParagraph"/>
        <w:numPr>
          <w:ilvl w:val="0"/>
          <w:numId w:val="6"/>
        </w:numPr>
        <w:spacing w:after="80"/>
      </w:pPr>
      <w:r>
        <w:rPr>
          <w:rFonts w:ascii="Arial" w:cs="Arial" w:eastAsia="Arial" w:hAnsi="Arial"/>
          <w:sz w:val="22"/>
          <w:szCs w:val="22"/>
        </w:rPr>
        <w:t xml:space="preserve">On-site grading: CGC Cards has a full operation inside Fanatics Collect’s Oregon facility for instant grade-to-vault-to-sell pipelines</w:t>
      </w:r>
    </w:p>
    <w:p>
      <w:pPr>
        <w:pStyle w:val="ListParagraph"/>
        <w:numPr>
          <w:ilvl w:val="0"/>
          <w:numId w:val="6"/>
        </w:numPr>
        <w:spacing w:after="80"/>
      </w:pPr>
      <w:r>
        <w:rPr>
          <w:rFonts w:ascii="Arial" w:cs="Arial" w:eastAsia="Arial" w:hAnsi="Arial"/>
          <w:sz w:val="22"/>
          <w:szCs w:val="22"/>
        </w:rPr>
        <w:t xml:space="preserve">Flexible selling: Auction or Buy Now, with the option to vault items until the seller decides the best moment to list</w:t>
      </w:r>
    </w:p>
    <w:p>
      <w:pPr>
        <w:pStyle w:val="ListParagraph"/>
        <w:numPr>
          <w:ilvl w:val="0"/>
          <w:numId w:val="6"/>
        </w:numPr>
        <w:spacing w:after="80"/>
      </w:pPr>
      <w:r>
        <w:rPr>
          <w:rFonts w:ascii="Arial" w:cs="Arial" w:eastAsia="Arial" w:hAnsi="Arial"/>
          <w:sz w:val="22"/>
          <w:szCs w:val="22"/>
        </w:rPr>
        <w:t xml:space="preserve">Multi-grader support: Accepts cards graded by any of the major 5+ grading companies</w:t>
      </w:r>
    </w:p>
    <w:p>
      <w:pPr>
        <w:pStyle w:val="ListParagraph"/>
        <w:numPr>
          <w:ilvl w:val="0"/>
          <w:numId w:val="6"/>
        </w:numPr>
        <w:spacing w:after="80"/>
      </w:pPr>
      <w:r>
        <w:rPr>
          <w:rFonts w:ascii="Arial" w:cs="Arial" w:eastAsia="Arial" w:hAnsi="Arial"/>
          <w:sz w:val="22"/>
          <w:szCs w:val="22"/>
        </w:rPr>
        <w:t xml:space="preserve">Lower selling fees for certain card tiers to attract high-value inventory</w:t>
      </w:r>
    </w:p>
    <w:p>
      <w:pPr>
        <w:spacing w:after="80"/>
      </w:pPr>
    </w:p>
    <w:p>
      <w:pPr>
        <w:pStyle w:val="Heading2"/>
        <w:spacing w:after="160" w:before="300"/>
      </w:pPr>
      <w:r>
        <w:rPr>
          <w:rFonts w:ascii="Arial" w:cs="Arial" w:eastAsia="Arial" w:hAnsi="Arial"/>
          <w:b/>
          <w:bCs/>
          <w:color w:val="2563EB"/>
          <w:sz w:val="28"/>
          <w:szCs w:val="28"/>
        </w:rPr>
        <w:t xml:space="preserve">2.5 Loupe &amp; Drip — Live Commerce for Cards</w:t>
      </w:r>
    </w:p>
    <w:p>
      <w:pPr>
        <w:spacing w:after="120"/>
      </w:pPr>
      <w:r>
        <w:rPr>
          <w:rFonts w:ascii="Arial" w:cs="Arial" w:eastAsia="Arial" w:hAnsi="Arial"/>
          <w:b w:val="false"/>
          <w:bCs w:val="false"/>
          <w:i w:val="false"/>
          <w:iCs w:val="false"/>
          <w:color w:val="0F172A"/>
          <w:sz w:val="22"/>
          <w:szCs w:val="22"/>
        </w:rPr>
        <w:t xml:space="preserve">Both Loupe ($12M Series A) and Drip represent the live-streaming card break and auction model. Loupe’s average customer makes 10+ purchases per month, spending an estimated $1,000+/month.</w:t>
      </w:r>
    </w:p>
    <w:p>
      <w:pPr>
        <w:spacing w:after="80"/>
      </w:pPr>
    </w:p>
    <w:p>
      <w:pPr>
        <w:spacing w:after="120" w:before="220"/>
      </w:pPr>
      <w:r>
        <w:rPr>
          <w:rFonts w:ascii="Arial" w:cs="Arial" w:eastAsia="Arial" w:hAnsi="Arial"/>
          <w:b/>
          <w:bCs/>
          <w:color w:val="4338CA"/>
          <w:sz w:val="24"/>
          <w:szCs w:val="24"/>
        </w:rPr>
        <w:t xml:space="preserve">Revenue Models</w:t>
      </w:r>
    </w:p>
    <w:p>
      <w:pPr>
        <w:pStyle w:val="ListParagraph"/>
        <w:numPr>
          <w:ilvl w:val="0"/>
          <w:numId w:val="7"/>
        </w:numPr>
        <w:spacing w:after="80"/>
      </w:pPr>
      <w:r>
        <w:rPr>
          <w:rFonts w:ascii="Arial" w:cs="Arial" w:eastAsia="Arial" w:hAnsi="Arial"/>
          <w:sz w:val="22"/>
          <w:szCs w:val="22"/>
        </w:rPr>
        <w:t xml:space="preserve">Loupe: Percentage of each sale from vetted sellers running live card breaks. Patent-pending “Collector-to-Collector” feature enables in-stream P2P trades.</w:t>
      </w:r>
    </w:p>
    <w:p>
      <w:pPr>
        <w:pStyle w:val="ListParagraph"/>
        <w:numPr>
          <w:ilvl w:val="0"/>
          <w:numId w:val="7"/>
        </w:numPr>
        <w:spacing w:after="80"/>
      </w:pPr>
      <w:r>
        <w:rPr>
          <w:rFonts w:ascii="Arial" w:cs="Arial" w:eastAsia="Arial" w:hAnsi="Arial"/>
          <w:sz w:val="22"/>
          <w:szCs w:val="22"/>
        </w:rPr>
        <w:t xml:space="preserve">Drip: Earn “Drip Coin” for watching streams, bidding, and purchasing. Daily rewards wheel. Secure card vaulting. Instant Packs (digitized sealed product).</w:t>
      </w:r>
    </w:p>
    <w:p>
      <w:pPr>
        <w:spacing w:after="80"/>
      </w:pPr>
    </w:p>
    <w:p>
      <w:pPr>
        <w:spacing w:after="120" w:before="220"/>
      </w:pPr>
      <w:r>
        <w:rPr>
          <w:rFonts w:ascii="Arial" w:cs="Arial" w:eastAsia="Arial" w:hAnsi="Arial"/>
          <w:b/>
          <w:bCs/>
          <w:color w:val="4338CA"/>
          <w:sz w:val="24"/>
          <w:szCs w:val="24"/>
        </w:rPr>
        <w:t xml:space="preserve">Lesson for CardVault</w:t>
      </w:r>
    </w:p>
    <w:p>
      <w:pPr>
        <w:spacing w:after="120"/>
      </w:pPr>
      <w:r>
        <w:rPr>
          <w:rFonts w:ascii="Arial" w:cs="Arial" w:eastAsia="Arial" w:hAnsi="Arial"/>
          <w:b w:val="false"/>
          <w:bCs w:val="false"/>
          <w:i w:val="false"/>
          <w:iCs w:val="false"/>
          <w:color w:val="0F172A"/>
          <w:sz w:val="22"/>
          <w:szCs w:val="22"/>
        </w:rPr>
        <w:t xml:space="preserve">Live commerce is the highest-engagement format in collectibles. CardVault doesn’t need to build a full Whatnot competitor, but a “CardVault Live” feature where verified sellers can host live sale sessions with escrow-protected instant purchases would dramatically increase time-on-platform and GMV. The reward coin model from Drip is directly applicable to CardVault’s loyalty system.</w:t>
      </w:r>
    </w:p>
    <w:p>
      <w:pPr>
        <w:spacing w:after="80"/>
      </w:pPr>
    </w:p>
    <w:p>
      <w:pPr>
        <w:pStyle w:val="Heading2"/>
        <w:spacing w:after="160" w:before="300"/>
      </w:pPr>
      <w:r>
        <w:rPr>
          <w:rFonts w:ascii="Arial" w:cs="Arial" w:eastAsia="Arial" w:hAnsi="Arial"/>
          <w:b/>
          <w:bCs/>
          <w:color w:val="2563EB"/>
          <w:sz w:val="28"/>
          <w:szCs w:val="28"/>
        </w:rPr>
        <w:t xml:space="preserve">2.6 COMC — Consignment at Scale</w:t>
      </w:r>
    </w:p>
    <w:p>
      <w:pPr>
        <w:spacing w:after="120"/>
      </w:pPr>
      <w:r>
        <w:rPr>
          <w:rFonts w:ascii="Arial" w:cs="Arial" w:eastAsia="Arial" w:hAnsi="Arial"/>
          <w:b w:val="false"/>
          <w:bCs w:val="false"/>
          <w:i w:val="false"/>
          <w:iCs w:val="false"/>
          <w:color w:val="0F172A"/>
          <w:sz w:val="22"/>
          <w:szCs w:val="22"/>
        </w:rPr>
        <w:t xml:space="preserve">COMC manages 100M+ trading cards through a consignment model with four tiers (Standard, Select, Elite, eBay Auctions). Their unique “buy now, ship later” model lets buyers accumulate purchases and consolidate into single shipments.</w:t>
      </w:r>
    </w:p>
    <w:p>
      <w:pPr>
        <w:spacing w:after="80"/>
      </w:pPr>
    </w:p>
    <w:p>
      <w:pPr>
        <w:spacing w:after="120" w:before="220"/>
      </w:pPr>
      <w:r>
        <w:rPr>
          <w:rFonts w:ascii="Arial" w:cs="Arial" w:eastAsia="Arial" w:hAnsi="Arial"/>
          <w:b/>
          <w:bCs/>
          <w:color w:val="4338CA"/>
          <w:sz w:val="24"/>
          <w:szCs w:val="24"/>
        </w:rPr>
        <w:t xml:space="preserve">Fee Structure</w:t>
      </w:r>
    </w:p>
    <w:p>
      <w:pPr>
        <w:pStyle w:val="ListParagraph"/>
        <w:numPr>
          <w:ilvl w:val="0"/>
          <w:numId w:val="8"/>
        </w:numPr>
        <w:spacing w:after="80"/>
      </w:pPr>
      <w:r>
        <w:rPr>
          <w:rFonts w:ascii="Arial" w:cs="Arial" w:eastAsia="Arial" w:hAnsi="Arial"/>
          <w:sz w:val="22"/>
          <w:szCs w:val="22"/>
        </w:rPr>
        <w:t xml:space="preserve">Ingestion fees: $2.00 (raw) to $5.00 (odd-sized) per card</w:t>
      </w:r>
    </w:p>
    <w:p>
      <w:pPr>
        <w:pStyle w:val="ListParagraph"/>
        <w:numPr>
          <w:ilvl w:val="0"/>
          <w:numId w:val="8"/>
        </w:numPr>
        <w:spacing w:after="80"/>
      </w:pPr>
      <w:r>
        <w:rPr>
          <w:rFonts w:ascii="Arial" w:cs="Arial" w:eastAsia="Arial" w:hAnsi="Arial"/>
          <w:sz w:val="22"/>
          <w:szCs w:val="22"/>
        </w:rPr>
        <w:t xml:space="preserve">Sales commission: 5% on auctions, with minimum fees per transaction</w:t>
      </w:r>
    </w:p>
    <w:p>
      <w:pPr>
        <w:pStyle w:val="ListParagraph"/>
        <w:numPr>
          <w:ilvl w:val="0"/>
          <w:numId w:val="8"/>
        </w:numPr>
        <w:spacing w:after="80"/>
      </w:pPr>
      <w:r>
        <w:rPr>
          <w:rFonts w:ascii="Arial" w:cs="Arial" w:eastAsia="Arial" w:hAnsi="Arial"/>
          <w:sz w:val="22"/>
          <w:szCs w:val="22"/>
        </w:rPr>
        <w:t xml:space="preserve">Storage: First 90 days free, then monthly storage fees</w:t>
      </w:r>
    </w:p>
    <w:p>
      <w:pPr>
        <w:pStyle w:val="ListParagraph"/>
        <w:numPr>
          <w:ilvl w:val="0"/>
          <w:numId w:val="8"/>
        </w:numPr>
        <w:spacing w:after="80"/>
      </w:pPr>
      <w:r>
        <w:rPr>
          <w:rFonts w:ascii="Arial" w:cs="Arial" w:eastAsia="Arial" w:hAnsi="Arial"/>
          <w:sz w:val="22"/>
          <w:szCs w:val="22"/>
        </w:rPr>
        <w:t xml:space="preserve">eBay integration: Cross-listing on COMC and eBay simultaneously for maximum visibility</w:t>
      </w:r>
    </w:p>
    <w:p>
      <w:pPr>
        <w:spacing w:after="80"/>
      </w:pPr>
    </w:p>
    <w:p>
      <w:pPr>
        <w:spacing w:after="120" w:before="220"/>
      </w:pPr>
      <w:r>
        <w:rPr>
          <w:rFonts w:ascii="Arial" w:cs="Arial" w:eastAsia="Arial" w:hAnsi="Arial"/>
          <w:b/>
          <w:bCs/>
          <w:color w:val="4338CA"/>
          <w:sz w:val="24"/>
          <w:szCs w:val="24"/>
        </w:rPr>
        <w:t xml:space="preserve">Lesson for CardVault</w:t>
      </w:r>
    </w:p>
    <w:p>
      <w:pPr>
        <w:spacing w:after="120"/>
      </w:pPr>
      <w:r>
        <w:rPr>
          <w:rFonts w:ascii="Arial" w:cs="Arial" w:eastAsia="Arial" w:hAnsi="Arial"/>
          <w:b w:val="false"/>
          <w:bCs w:val="false"/>
          <w:i w:val="false"/>
          <w:iCs w:val="false"/>
          <w:color w:val="0F172A"/>
          <w:sz w:val="22"/>
          <w:szCs w:val="22"/>
        </w:rPr>
        <w:t xml:space="preserve">The consignment model solves two problems: sellers don’t need to handle shipping for every sale, and buyers get authentic, photographed, and verified cards. CardVault could partner with card shops in Jakarta, Surabaya, and Bandung as “CardVault Hubs” for drop-off consignment, turning physical shops into inventory sources.</w:t>
      </w:r>
    </w:p>
    <w:p>
      <w:r>
        <w:br w:type="page"/>
      </w:r>
    </w:p>
    <w:p>
      <w:pPr>
        <w:pStyle w:val="Heading1"/>
        <w:spacing w:after="200" w:before="400"/>
      </w:pPr>
      <w:r>
        <w:rPr>
          <w:rFonts w:ascii="Arial" w:cs="Arial" w:eastAsia="Arial" w:hAnsi="Arial"/>
          <w:b/>
          <w:bCs/>
          <w:color w:val="0F172A"/>
          <w:sz w:val="36"/>
          <w:szCs w:val="36"/>
        </w:rPr>
        <w:t xml:space="preserve">3. Data &amp; Pricing Service Integrations</w:t>
      </w:r>
    </w:p>
    <w:p>
      <w:pPr>
        <w:spacing w:after="120"/>
      </w:pPr>
      <w:r>
        <w:rPr>
          <w:rFonts w:ascii="Arial" w:cs="Arial" w:eastAsia="Arial" w:hAnsi="Arial"/>
          <w:b w:val="false"/>
          <w:bCs w:val="false"/>
          <w:i w:val="false"/>
          <w:iCs w:val="false"/>
          <w:color w:val="0F172A"/>
          <w:sz w:val="22"/>
          <w:szCs w:val="22"/>
        </w:rPr>
        <w:t xml:space="preserve">Pricing data is the foundation for marketplace trust. Buyers need to know if a listing price is fair. Sellers need to know what their cards are worth. Without integrated pricing, CardVault is a blind marketplace. Here is every relevant data source and how CardVault should connect to them.</w:t>
      </w:r>
    </w:p>
    <w:p>
      <w:pPr>
        <w:spacing w:after="80"/>
      </w:pPr>
    </w:p>
    <w:p>
      <w:pPr>
        <w:pStyle w:val="Heading2"/>
        <w:spacing w:after="160" w:before="300"/>
      </w:pPr>
      <w:r>
        <w:rPr>
          <w:rFonts w:ascii="Arial" w:cs="Arial" w:eastAsia="Arial" w:hAnsi="Arial"/>
          <w:b/>
          <w:bCs/>
          <w:color w:val="2563EB"/>
          <w:sz w:val="28"/>
          <w:szCs w:val="28"/>
        </w:rPr>
        <w:t xml:space="preserve">3.1 Card Ladder (cardladder.com)</w:t>
      </w:r>
    </w:p>
    <w:p>
      <w:pPr>
        <w:spacing w:after="120"/>
      </w:pPr>
      <w:r>
        <w:rPr>
          <w:rFonts w:ascii="Arial" w:cs="Arial" w:eastAsia="Arial" w:hAnsi="Arial"/>
          <w:b w:val="false"/>
          <w:bCs w:val="false"/>
          <w:i w:val="false"/>
          <w:iCs w:val="false"/>
          <w:color w:val="0F172A"/>
          <w:sz w:val="22"/>
          <w:szCs w:val="22"/>
        </w:rPr>
        <w:t xml:space="preserve">Owned by Collectors Holdings. The only price guide tracking every public sale dating back to 2000. Card Ladder aggregates data from 14 different sales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39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CardVault Integration Opportunity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History Charts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Historical sale prices with trend lines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Embed on listing pages: "Market Value" section showing Card Ladder data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Population Data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How many copies of each card exist in each grade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Show pop count on listings to indicate rarity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Market Efficiency Score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stability and volatility metrics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Help sellers price competitively; flag overpriced listings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AI-Powered Pricing</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Predictive valuations for conventions/events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Power a "Suggested Price" feature in the listing creation flow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Enterprise API</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For businesses and inventory systems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Paid integration for CardVault pricing engine</w:t>
            </w:r>
          </w:p>
        </w:tc>
      </w:tr>
    </w:tbl>
    <w:p>
      <w:pPr>
        <w:spacing w:after="80"/>
      </w:pPr>
    </w:p>
    <w:p>
      <w:pPr>
        <w:spacing w:after="120"/>
      </w:pPr>
      <w:r>
        <w:rPr>
          <w:rFonts w:ascii="Arial" w:cs="Arial" w:eastAsia="Arial" w:hAnsi="Arial"/>
          <w:b w:val="false"/>
          <w:bCs w:val="false"/>
          <w:i w:val="false"/>
          <w:iCs w:val="false"/>
          <w:color w:val="0F172A"/>
          <w:sz w:val="22"/>
          <w:szCs w:val="22"/>
        </w:rPr>
        <w:t xml:space="preserve">Pricing: Card Ladder Pro is $20/month or $200/year. Enterprise API pricing is custom. CardVault would need a business agreement for API access — budget $500-2,000/month depending on query volume.</w:t>
      </w:r>
    </w:p>
    <w:p>
      <w:pPr>
        <w:spacing w:after="80"/>
      </w:pPr>
    </w:p>
    <w:p>
      <w:pPr>
        <w:pStyle w:val="Heading2"/>
        <w:spacing w:after="160" w:before="300"/>
      </w:pPr>
      <w:r>
        <w:rPr>
          <w:rFonts w:ascii="Arial" w:cs="Arial" w:eastAsia="Arial" w:hAnsi="Arial"/>
          <w:b/>
          <w:bCs/>
          <w:color w:val="2563EB"/>
          <w:sz w:val="28"/>
          <w:szCs w:val="28"/>
        </w:rPr>
        <w:t xml:space="preserve">3.2 130point.com</w:t>
      </w:r>
    </w:p>
    <w:p>
      <w:pPr>
        <w:spacing w:after="120"/>
      </w:pPr>
      <w:r>
        <w:rPr>
          <w:rFonts w:ascii="Arial" w:cs="Arial" w:eastAsia="Arial" w:hAnsi="Arial"/>
          <w:b w:val="false"/>
          <w:bCs w:val="false"/>
          <w:i w:val="false"/>
          <w:iCs w:val="false"/>
          <w:color w:val="0F172A"/>
          <w:sz w:val="22"/>
          <w:szCs w:val="22"/>
        </w:rPr>
        <w:t xml:space="preserve">The longest-running free trading card pricing tool. Scans eBay, Fanatics Collect, Goldin, MySlabs, Pristine Auctions, and Heritage for real-time and historical sales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39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CardVault Integration Opportunity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Cross-Platform Price Search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Live + sold listings from 6+ marketplaces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Check" button on CardVault listings linking to 130point data</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Visual Pricing Charts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Historical trends with visual analysis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Embed pricing trends in the CardVault collection management view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Free Access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 subscription for basic pricing tools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Lower integration cost; could use web scraping or partnership</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Mobile App</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iOS and Android (free)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Reference implementation for collection management UX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Collection Management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Paid feature for portfolio tracking</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Competitive feature CardVault should build natively</w:t>
            </w:r>
          </w:p>
        </w:tc>
      </w:tr>
    </w:tbl>
    <w:p>
      <w:pPr>
        <w:spacing w:after="80"/>
      </w:pPr>
    </w:p>
    <w:p>
      <w:pPr>
        <w:spacing w:after="120"/>
      </w:pPr>
      <w:r>
        <w:rPr>
          <w:rFonts w:ascii="Arial" w:cs="Arial" w:eastAsia="Arial" w:hAnsi="Arial"/>
          <w:b w:val="false"/>
          <w:bCs w:val="false"/>
          <w:i w:val="false"/>
          <w:iCs w:val="false"/>
          <w:color w:val="0F172A"/>
          <w:sz w:val="22"/>
          <w:szCs w:val="22"/>
        </w:rPr>
        <w:t xml:space="preserve">Integration approach: Since 130point doesn’t offer a formal API, CardVault could partner with them for data access, or use CardHedger’s API which aggregates similar sources.</w:t>
      </w:r>
    </w:p>
    <w:p>
      <w:pPr>
        <w:spacing w:after="80"/>
      </w:pPr>
    </w:p>
    <w:p>
      <w:pPr>
        <w:pStyle w:val="Heading2"/>
        <w:spacing w:after="160" w:before="300"/>
      </w:pPr>
      <w:r>
        <w:rPr>
          <w:rFonts w:ascii="Arial" w:cs="Arial" w:eastAsia="Arial" w:hAnsi="Arial"/>
          <w:b/>
          <w:bCs/>
          <w:color w:val="2563EB"/>
          <w:sz w:val="28"/>
          <w:szCs w:val="28"/>
        </w:rPr>
        <w:t xml:space="preserve">3.3 CardHedger API (cardhedger.com)</w:t>
      </w:r>
    </w:p>
    <w:p>
      <w:pPr>
        <w:spacing w:after="120"/>
      </w:pPr>
      <w:r>
        <w:rPr>
          <w:rFonts w:ascii="Arial" w:cs="Arial" w:eastAsia="Arial" w:hAnsi="Arial"/>
          <w:b w:val="false"/>
          <w:bCs w:val="false"/>
          <w:i w:val="false"/>
          <w:iCs w:val="false"/>
          <w:color w:val="0F172A"/>
          <w:sz w:val="22"/>
          <w:szCs w:val="22"/>
        </w:rPr>
        <w:t xml:space="preserve">CardHedger positions itself as the enterprise-grade sports card API. It provides real-time pricing, historical sales, market analytics, and comprehensive card database access with data from eBay, Fanatics, Heritage Auctions, and more.</w:t>
      </w:r>
    </w:p>
    <w:p>
      <w:pPr>
        <w:spacing w:after="80"/>
      </w:pPr>
    </w:p>
    <w:p>
      <w:pPr>
        <w:spacing w:after="120" w:before="220"/>
      </w:pPr>
      <w:r>
        <w:rPr>
          <w:rFonts w:ascii="Arial" w:cs="Arial" w:eastAsia="Arial" w:hAnsi="Arial"/>
          <w:b/>
          <w:bCs/>
          <w:color w:val="4338CA"/>
          <w:sz w:val="24"/>
          <w:szCs w:val="24"/>
        </w:rPr>
        <w:t xml:space="preserve">Integration Architecture for CardVault</w:t>
      </w:r>
    </w:p>
    <w:p>
      <w:pPr>
        <w:pStyle w:val="ListParagraph"/>
        <w:numPr>
          <w:ilvl w:val="0"/>
          <w:numId w:val="9"/>
        </w:numPr>
        <w:spacing w:after="80"/>
      </w:pPr>
      <w:r>
        <w:rPr>
          <w:rFonts w:ascii="Arial" w:cs="Arial" w:eastAsia="Arial" w:hAnsi="Arial"/>
          <w:sz w:val="22"/>
          <w:szCs w:val="22"/>
        </w:rPr>
        <w:t xml:space="preserve">Card identification: When a seller enters a card name or cert number, auto-populate card details, photos, and current market value from CardHedger’s database.</w:t>
      </w:r>
    </w:p>
    <w:p>
      <w:pPr>
        <w:pStyle w:val="ListParagraph"/>
        <w:numPr>
          <w:ilvl w:val="0"/>
          <w:numId w:val="9"/>
        </w:numPr>
        <w:spacing w:after="80"/>
      </w:pPr>
      <w:r>
        <w:rPr>
          <w:rFonts w:ascii="Arial" w:cs="Arial" w:eastAsia="Arial" w:hAnsi="Arial"/>
          <w:sz w:val="22"/>
          <w:szCs w:val="22"/>
        </w:rPr>
        <w:t xml:space="preserve">Price validation: Compare listing prices against market data. Flag listings that are significantly above or below market value to protect buyers and sellers.</w:t>
      </w:r>
    </w:p>
    <w:p>
      <w:pPr>
        <w:pStyle w:val="ListParagraph"/>
        <w:numPr>
          <w:ilvl w:val="0"/>
          <w:numId w:val="9"/>
        </w:numPr>
        <w:spacing w:after="80"/>
      </w:pPr>
      <w:r>
        <w:rPr>
          <w:rFonts w:ascii="Arial" w:cs="Arial" w:eastAsia="Arial" w:hAnsi="Arial"/>
          <w:sz w:val="22"/>
          <w:szCs w:val="22"/>
        </w:rPr>
        <w:t xml:space="preserve">Portfolio valuation: Power a "My Collection Value" feature that shows users the real-time total value of their CardVault holdings.</w:t>
      </w:r>
    </w:p>
    <w:p>
      <w:pPr>
        <w:pStyle w:val="ListParagraph"/>
        <w:numPr>
          <w:ilvl w:val="0"/>
          <w:numId w:val="9"/>
        </w:numPr>
        <w:spacing w:after="80"/>
      </w:pPr>
      <w:r>
        <w:rPr>
          <w:rFonts w:ascii="Arial" w:cs="Arial" w:eastAsia="Arial" w:hAnsi="Arial"/>
          <w:sz w:val="22"/>
          <w:szCs w:val="22"/>
        </w:rPr>
        <w:t xml:space="preserve">Market trends API: Display trending cards, hot categories, and price movers on the CardVault homepage to drive discovery.</w:t>
      </w:r>
    </w:p>
    <w:p>
      <w:pPr>
        <w:spacing w:after="80"/>
      </w:pPr>
    </w:p>
    <w:p>
      <w:pPr>
        <w:spacing w:after="120"/>
      </w:pPr>
      <w:r>
        <w:rPr>
          <w:rFonts w:ascii="Arial" w:cs="Arial" w:eastAsia="Arial" w:hAnsi="Arial"/>
          <w:b w:val="false"/>
          <w:bCs w:val="false"/>
          <w:i w:val="false"/>
          <w:iCs w:val="false"/>
          <w:color w:val="0F172A"/>
          <w:sz w:val="22"/>
          <w:szCs w:val="22"/>
        </w:rPr>
        <w:t xml:space="preserve">CardHedger uses API key authentication with Argon2 hashing. Enterprise pricing would need to be negotiated — likely $500-3,000/month based on query volume.</w:t>
      </w:r>
    </w:p>
    <w:p>
      <w:pPr>
        <w:spacing w:after="80"/>
      </w:pPr>
    </w:p>
    <w:p>
      <w:pPr>
        <w:pStyle w:val="Heading2"/>
        <w:spacing w:after="160" w:before="300"/>
      </w:pPr>
      <w:r>
        <w:rPr>
          <w:rFonts w:ascii="Arial" w:cs="Arial" w:eastAsia="Arial" w:hAnsi="Arial"/>
          <w:b/>
          <w:bCs/>
          <w:color w:val="2563EB"/>
          <w:sz w:val="28"/>
          <w:szCs w:val="28"/>
        </w:rPr>
        <w:t xml:space="preserve">3.4 SportsCardsPro API</w:t>
      </w:r>
    </w:p>
    <w:p>
      <w:pPr>
        <w:spacing w:after="120"/>
      </w:pPr>
      <w:r>
        <w:rPr>
          <w:rFonts w:ascii="Arial" w:cs="Arial" w:eastAsia="Arial" w:hAnsi="Arial"/>
          <w:b w:val="false"/>
          <w:bCs w:val="false"/>
          <w:i w:val="false"/>
          <w:iCs w:val="false"/>
          <w:color w:val="0F172A"/>
          <w:sz w:val="22"/>
          <w:szCs w:val="22"/>
        </w:rPr>
        <w:t xml:space="preserve">Offers both a Prices API (card valuations) and a Marketplace API (automated listing/selling). Subscription-based access with CSV data exports for higher tiers.</w:t>
      </w:r>
    </w:p>
    <w:p>
      <w:pPr>
        <w:spacing w:after="80"/>
      </w:pPr>
    </w:p>
    <w:p>
      <w:pPr>
        <w:spacing w:after="120"/>
      </w:pPr>
      <w:r>
        <w:rPr>
          <w:rFonts w:ascii="Arial" w:cs="Arial" w:eastAsia="Arial" w:hAnsi="Arial"/>
          <w:b w:val="false"/>
          <w:bCs w:val="false"/>
          <w:i w:val="false"/>
          <w:iCs w:val="false"/>
          <w:color w:val="0F172A"/>
          <w:sz w:val="22"/>
          <w:szCs w:val="22"/>
        </w:rPr>
        <w:t xml:space="preserve">Most useful for: Bulk data exports to populate CardVault’s card database, providing baseline pricing even before marketplace-specific data accumulates.</w:t>
      </w:r>
    </w:p>
    <w:p>
      <w:pPr>
        <w:spacing w:after="80"/>
      </w:pPr>
    </w:p>
    <w:p>
      <w:pPr>
        <w:pStyle w:val="Heading2"/>
        <w:spacing w:after="160" w:before="300"/>
      </w:pPr>
      <w:r>
        <w:rPr>
          <w:rFonts w:ascii="Arial" w:cs="Arial" w:eastAsia="Arial" w:hAnsi="Arial"/>
          <w:b/>
          <w:bCs/>
          <w:color w:val="2563EB"/>
          <w:sz w:val="28"/>
          <w:szCs w:val="28"/>
        </w:rPr>
        <w:t xml:space="preserve">3.5 PSA Public API (psacard.com/publicapi)</w:t>
      </w:r>
    </w:p>
    <w:p>
      <w:pPr>
        <w:spacing w:after="120"/>
      </w:pPr>
      <w:r>
        <w:rPr>
          <w:rFonts w:ascii="Arial" w:cs="Arial" w:eastAsia="Arial" w:hAnsi="Arial"/>
          <w:b w:val="false"/>
          <w:bCs w:val="false"/>
          <w:i w:val="false"/>
          <w:iCs w:val="false"/>
          <w:color w:val="0F172A"/>
          <w:sz w:val="22"/>
          <w:szCs w:val="22"/>
        </w:rPr>
        <w:t xml:space="preserve">PSA offers a REST API with OAuth 2 authentication that enables programmatic access to cert verification, card details, and population data.</w:t>
      </w:r>
    </w:p>
    <w:p>
      <w:pPr>
        <w:spacing w:after="80"/>
      </w:pPr>
    </w:p>
    <w:p>
      <w:pPr>
        <w:spacing w:after="120" w:before="220"/>
      </w:pPr>
      <w:r>
        <w:rPr>
          <w:rFonts w:ascii="Arial" w:cs="Arial" w:eastAsia="Arial" w:hAnsi="Arial"/>
          <w:b/>
          <w:bCs/>
          <w:color w:val="4338CA"/>
          <w:sz w:val="24"/>
          <w:szCs w:val="24"/>
        </w:rPr>
        <w:t xml:space="preserve">Critical Integration for CardVault</w:t>
      </w:r>
    </w:p>
    <w:p>
      <w:pPr>
        <w:pStyle w:val="ListParagraph"/>
        <w:numPr>
          <w:ilvl w:val="0"/>
          <w:numId w:val="10"/>
        </w:numPr>
        <w:spacing w:after="80"/>
      </w:pPr>
      <w:r>
        <w:rPr>
          <w:rFonts w:ascii="Arial" w:cs="Arial" w:eastAsia="Arial" w:hAnsi="Arial"/>
          <w:sz w:val="22"/>
          <w:szCs w:val="22"/>
        </w:rPr>
        <w:t xml:space="preserve">Cert verification: When a seller enters a PSA cert number, auto-verify authenticity and pull grade, card details, and images directly from PSA’s database.</w:t>
      </w:r>
    </w:p>
    <w:p>
      <w:pPr>
        <w:pStyle w:val="ListParagraph"/>
        <w:numPr>
          <w:ilvl w:val="0"/>
          <w:numId w:val="10"/>
        </w:numPr>
        <w:spacing w:after="80"/>
      </w:pPr>
      <w:r>
        <w:rPr>
          <w:rFonts w:ascii="Arial" w:cs="Arial" w:eastAsia="Arial" w:hAnsi="Arial"/>
          <w:sz w:val="22"/>
          <w:szCs w:val="22"/>
        </w:rPr>
        <w:t xml:space="preserve">Population reports: Show how many PSA 10s vs PSA 9s exist for a card, directly on the listing page. This significantly impacts perceived value.</w:t>
      </w:r>
    </w:p>
    <w:p>
      <w:pPr>
        <w:pStyle w:val="ListParagraph"/>
        <w:numPr>
          <w:ilvl w:val="0"/>
          <w:numId w:val="10"/>
        </w:numPr>
        <w:spacing w:after="80"/>
      </w:pPr>
      <w:r>
        <w:rPr>
          <w:rFonts w:ascii="Arial" w:cs="Arial" w:eastAsia="Arial" w:hAnsi="Arial"/>
          <w:sz w:val="22"/>
          <w:szCs w:val="22"/>
        </w:rPr>
        <w:t xml:space="preserve">Auto-population: Reduce seller friction by requiring only a cert number to create a complete listing — similar to VeriSwap’s workflow.</w:t>
      </w:r>
    </w:p>
    <w:p>
      <w:pPr>
        <w:spacing w:after="80"/>
      </w:pPr>
    </w:p>
    <w:p>
      <w:pPr>
        <w:spacing w:after="120"/>
      </w:pPr>
      <w:r>
        <w:rPr>
          <w:rFonts w:ascii="Arial" w:cs="Arial" w:eastAsia="Arial" w:hAnsi="Arial"/>
          <w:b w:val="false"/>
          <w:bCs w:val="false"/>
          <w:i w:val="false"/>
          <w:iCs w:val="false"/>
          <w:color w:val="0F172A"/>
          <w:sz w:val="22"/>
          <w:szCs w:val="22"/>
        </w:rPr>
        <w:t xml:space="preserve">Note: SGC offers QR code verification (gosgc.com/cert-code-lookup), and BGS/Beckett have their own cert lookup. CardVault should support all major grading companies. Third-party tools like CardGrade.io already aggregate lookups across PSA, BGS, CGC, and SGC.</w:t>
      </w:r>
    </w:p>
    <w:p>
      <w:pPr>
        <w:spacing w:after="80"/>
      </w:pPr>
    </w:p>
    <w:p>
      <w:pPr>
        <w:pStyle w:val="Heading2"/>
        <w:spacing w:after="160" w:before="300"/>
      </w:pPr>
      <w:r>
        <w:rPr>
          <w:rFonts w:ascii="Arial" w:cs="Arial" w:eastAsia="Arial" w:hAnsi="Arial"/>
          <w:b/>
          <w:bCs/>
          <w:color w:val="2563EB"/>
          <w:sz w:val="28"/>
          <w:szCs w:val="28"/>
        </w:rPr>
        <w:t xml:space="preserve">3.6 Recommended Data Integration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gridCol w:w="2200"/>
        <w:gridCol w:w="2260"/>
      </w:tblGrid>
      <w:tr>
        <w:tc>
          <w:tcPr>
            <w:tcW w:type="dxa" w:w="7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Cost Estimate</w:t>
            </w:r>
          </w:p>
        </w:tc>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c>
          <w:tcPr>
            <w:tcW w:type="dxa" w:w="22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 Cert Verification API</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 (free tier)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Immediate trust signal</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2-3 days dev work</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P0</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SGC/BGS Cert Lookup (web scraping or API)</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$0-100/mo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for non-PSA cards</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 days per grader</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CardHedger Real-Time Pricing</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$500-3,000/mo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Enables price validation, suggested pricing</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 weeks for full integration</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Ladder Enterprise API</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$500-2,000/mo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Premium data (historical, pop reports)</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2-3 weeks; requires partnership</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130point Partnership</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$0-500/mo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Cross-referencing + SEO value</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 week; partner outreach</w:t>
            </w:r>
          </w:p>
        </w:tc>
      </w:tr>
      <w:tr>
        <w:tc>
          <w:tcPr>
            <w:tcW w:type="dxa" w:w="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SportsCardsPro CSV Imports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$50-200/mo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Bulk card database population</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 week; import pipeline</w:t>
            </w:r>
          </w:p>
        </w:tc>
      </w:tr>
    </w:tbl>
    <w:p>
      <w:r>
        <w:br w:type="page"/>
      </w:r>
    </w:p>
    <w:p>
      <w:pPr>
        <w:pStyle w:val="Heading1"/>
        <w:spacing w:after="200" w:before="400"/>
      </w:pPr>
      <w:r>
        <w:rPr>
          <w:rFonts w:ascii="Arial" w:cs="Arial" w:eastAsia="Arial" w:hAnsi="Arial"/>
          <w:b/>
          <w:bCs/>
          <w:color w:val="0F172A"/>
          <w:sz w:val="36"/>
          <w:szCs w:val="36"/>
        </w:rPr>
        <w:t xml:space="preserve">4. Monetization &amp; Revenue Strategy</w:t>
      </w:r>
    </w:p>
    <w:p>
      <w:pPr>
        <w:spacing w:after="120"/>
      </w:pPr>
      <w:r>
        <w:rPr>
          <w:rFonts w:ascii="Arial" w:cs="Arial" w:eastAsia="Arial" w:hAnsi="Arial"/>
          <w:b w:val="false"/>
          <w:bCs w:val="false"/>
          <w:i w:val="false"/>
          <w:iCs w:val="false"/>
          <w:color w:val="0F172A"/>
          <w:sz w:val="22"/>
          <w:szCs w:val="22"/>
        </w:rPr>
        <w:t xml:space="preserve">CardVault currently plans a 3% buyer fee. This significantly undermonetizes the platform versus industry benchmarks. Here is a comprehensive revenue model with conservative projections.</w:t>
      </w:r>
    </w:p>
    <w:p>
      <w:pPr>
        <w:spacing w:after="80"/>
      </w:pPr>
    </w:p>
    <w:p>
      <w:pPr>
        <w:pStyle w:val="Heading2"/>
        <w:spacing w:after="160" w:before="300"/>
      </w:pPr>
      <w:r>
        <w:rPr>
          <w:rFonts w:ascii="Arial" w:cs="Arial" w:eastAsia="Arial" w:hAnsi="Arial"/>
          <w:b/>
          <w:bCs/>
          <w:color w:val="2563EB"/>
          <w:sz w:val="28"/>
          <w:szCs w:val="28"/>
        </w:rPr>
        <w:t xml:space="preserve">4.1 Revenue Stream Architecture</w:t>
      </w:r>
    </w:p>
    <w:p>
      <w:pPr>
        <w:spacing w:after="80"/>
      </w:pPr>
    </w:p>
    <w:p>
      <w:pPr>
        <w:spacing w:after="120" w:before="220"/>
      </w:pPr>
      <w:r>
        <w:rPr>
          <w:rFonts w:ascii="Arial" w:cs="Arial" w:eastAsia="Arial" w:hAnsi="Arial"/>
          <w:b/>
          <w:bCs/>
          <w:color w:val="4338CA"/>
          <w:sz w:val="24"/>
          <w:szCs w:val="24"/>
        </w:rPr>
        <w:t xml:space="preserve">Stream 1: Transaction Fees (Core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Benchmark</w:t>
            </w:r>
          </w:p>
        </w:tc>
        <w:tc>
          <w:tcPr>
            <w:tcW w:type="dxa" w:w="27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Buyer Service Fee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StockX: varies by level; Whatnot: buyer pays none</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Covers escrow protection, platform trust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Commission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Whatnot: 8%; TCGplayer: 10.25%; eBay: 13.25%</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Very competitive vs alternatives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Processing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2.5-3.5%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 2.9%; Stripe: 2.9%+$0.30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Pass-through from gateway; transparent to users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Blended Take Rate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~10-12%</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Whatnot: 12.5%; eBay: 13.25%</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Competitive for Indonesia, premium vs Facebook Groups</w:t>
            </w:r>
          </w:p>
        </w:tc>
      </w:tr>
    </w:tbl>
    <w:p>
      <w:pPr>
        <w:spacing w:after="80"/>
      </w:pPr>
    </w:p>
    <w:p>
      <w:pPr>
        <w:spacing w:after="120"/>
      </w:pPr>
      <w:r>
        <w:rPr>
          <w:rFonts w:ascii="Arial" w:cs="Arial" w:eastAsia="Arial" w:hAnsi="Arial"/>
          <w:b w:val="false"/>
          <w:bCs w:val="false"/>
          <w:i w:val="false"/>
          <w:iCs w:val="false"/>
          <w:color w:val="0F172A"/>
          <w:sz w:val="22"/>
          <w:szCs w:val="22"/>
        </w:rPr>
        <w:t xml:space="preserve">At 10% blended take rate on IDR 10B ($600K) monthly GMV: IDR 1B ($60K) monthly revenue from transaction fees alone.</w:t>
      </w:r>
    </w:p>
    <w:p>
      <w:pPr>
        <w:spacing w:after="80"/>
      </w:pPr>
    </w:p>
    <w:p>
      <w:pPr>
        <w:spacing w:after="120" w:before="220"/>
      </w:pPr>
      <w:r>
        <w:rPr>
          <w:rFonts w:ascii="Arial" w:cs="Arial" w:eastAsia="Arial" w:hAnsi="Arial"/>
          <w:b/>
          <w:bCs/>
          <w:color w:val="4338CA"/>
          <w:sz w:val="24"/>
          <w:szCs w:val="24"/>
        </w:rPr>
        <w:t xml:space="preserve">Stream 2: Premium Seller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Price (IDR/mo)</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Price (USD/mo)</w:t>
            </w:r>
          </w:p>
        </w:tc>
        <w:tc>
          <w:tcPr>
            <w:tcW w:type="dxa" w:w="4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Free Seller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Rp 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 active listings, standard escrow, basic analytics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 Seller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Rp 150,000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 listings, promoted placement, detailed analytics, priority support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Business Seller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Rp 500,000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Unlimited listings, bulk upload, API access, dedicated account manager</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Enterprise/Shop</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Rp 2,000,000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Multi-user, POS integration, consignment management, white-label store</w:t>
            </w:r>
          </w:p>
        </w:tc>
      </w:tr>
    </w:tbl>
    <w:p>
      <w:pPr>
        <w:spacing w:after="80"/>
      </w:pPr>
    </w:p>
    <w:p>
      <w:pPr>
        <w:spacing w:after="120"/>
      </w:pPr>
      <w:r>
        <w:rPr>
          <w:rFonts w:ascii="Arial" w:cs="Arial" w:eastAsia="Arial" w:hAnsi="Arial"/>
          <w:b w:val="false"/>
          <w:bCs w:val="false"/>
          <w:i w:val="false"/>
          <w:iCs w:val="false"/>
          <w:color w:val="0F172A"/>
          <w:sz w:val="22"/>
          <w:szCs w:val="22"/>
        </w:rPr>
        <w:t xml:space="preserve">Targeting 200 Pro + 50 Business + 10 Enterprise subscribers in Year 1: IDR 52.5M ($3,100)/month = IDR 630M ($37K)/year in predictable subscription revenue.</w:t>
      </w:r>
    </w:p>
    <w:p>
      <w:pPr>
        <w:spacing w:after="80"/>
      </w:pPr>
    </w:p>
    <w:p>
      <w:pPr>
        <w:spacing w:after="120" w:before="220"/>
      </w:pPr>
      <w:r>
        <w:rPr>
          <w:rFonts w:ascii="Arial" w:cs="Arial" w:eastAsia="Arial" w:hAnsi="Arial"/>
          <w:b/>
          <w:bCs/>
          <w:color w:val="4338CA"/>
          <w:sz w:val="24"/>
          <w:szCs w:val="24"/>
        </w:rPr>
        <w:t xml:space="preserve">Stream 3: Promoted Listings &amp; Advertising</w:t>
      </w:r>
    </w:p>
    <w:p>
      <w:pPr>
        <w:pStyle w:val="ListParagraph"/>
        <w:numPr>
          <w:ilvl w:val="0"/>
          <w:numId w:val="11"/>
        </w:numPr>
        <w:spacing w:after="80"/>
      </w:pPr>
      <w:r>
        <w:rPr>
          <w:rFonts w:ascii="Arial" w:cs="Arial" w:eastAsia="Arial" w:hAnsi="Arial"/>
          <w:sz w:val="22"/>
          <w:szCs w:val="22"/>
        </w:rPr>
        <w:t xml:space="preserve">Promoted Listings: Sellers pay IDR 10,000-50,000 ($0.60-$3) to boost visibility in search results. eBay generates $1.5B+/year from Promoted Listings.</w:t>
      </w:r>
    </w:p>
    <w:p>
      <w:pPr>
        <w:pStyle w:val="ListParagraph"/>
        <w:numPr>
          <w:ilvl w:val="0"/>
          <w:numId w:val="11"/>
        </w:numPr>
        <w:spacing w:after="80"/>
      </w:pPr>
      <w:r>
        <w:rPr>
          <w:rFonts w:ascii="Arial" w:cs="Arial" w:eastAsia="Arial" w:hAnsi="Arial"/>
          <w:sz w:val="22"/>
          <w:szCs w:val="22"/>
        </w:rPr>
        <w:t xml:space="preserve">Featured Slots: Premium homepage and category page positions for IDR 100,000-500,000/week.</w:t>
      </w:r>
    </w:p>
    <w:p>
      <w:pPr>
        <w:pStyle w:val="ListParagraph"/>
        <w:numPr>
          <w:ilvl w:val="0"/>
          <w:numId w:val="11"/>
        </w:numPr>
        <w:spacing w:after="80"/>
      </w:pPr>
      <w:r>
        <w:rPr>
          <w:rFonts w:ascii="Arial" w:cs="Arial" w:eastAsia="Arial" w:hAnsi="Arial"/>
          <w:sz w:val="22"/>
          <w:szCs w:val="22"/>
        </w:rPr>
        <w:t xml:space="preserve">Brand Partnerships: Card brands (Topps, Panini, Pokemon Company) pay for sponsored categories or launch events.</w:t>
      </w:r>
    </w:p>
    <w:p>
      <w:pPr>
        <w:spacing w:after="80"/>
      </w:pPr>
    </w:p>
    <w:p>
      <w:pPr>
        <w:spacing w:after="120"/>
      </w:pPr>
      <w:r>
        <w:rPr>
          <w:rFonts w:ascii="Arial" w:cs="Arial" w:eastAsia="Arial" w:hAnsi="Arial"/>
          <w:b w:val="false"/>
          <w:bCs w:val="false"/>
          <w:i w:val="false"/>
          <w:iCs w:val="false"/>
          <w:color w:val="0F172A"/>
          <w:sz w:val="22"/>
          <w:szCs w:val="22"/>
        </w:rPr>
        <w:t xml:space="preserve">Conservative estimate: 5% of sellers use promoted listings at average IDR 25,000/listing/week = additional IDR 50M-100M ($3-6K)/month at scale.</w:t>
      </w:r>
    </w:p>
    <w:p>
      <w:pPr>
        <w:spacing w:after="80"/>
      </w:pPr>
    </w:p>
    <w:p>
      <w:pPr>
        <w:spacing w:after="120" w:before="220"/>
      </w:pPr>
      <w:r>
        <w:rPr>
          <w:rFonts w:ascii="Arial" w:cs="Arial" w:eastAsia="Arial" w:hAnsi="Arial"/>
          <w:b/>
          <w:bCs/>
          <w:color w:val="4338CA"/>
          <w:sz w:val="24"/>
          <w:szCs w:val="24"/>
        </w:rPr>
        <w:t xml:space="preserve">Stream 4: Value-Added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Model</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Comparable</w:t>
            </w:r>
          </w:p>
        </w:tc>
        <w:tc>
          <w:tcPr>
            <w:tcW w:type="dxa" w:w="2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Potential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Grading Concierge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15-20% markup on PSA/BGS submission fees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Fanatics Collect on-site grading</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500K-2M per card; high margin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Vaulting/Storage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15,000-50,000/card/month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ALT: $0.50-$2/card/mo; COMC: 90 days free then fees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Recurring MRR; insurance upsell</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Insurance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1-3% of card value annually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Collectors Vault insurance</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High-value cards only; partnership with insurer</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Consignment</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10-15% of sale price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COMC: 5% + ingestion fees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Hub model with local card shops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Lending (Future)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Interest on card-backed loans</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ALT: $40M credit facility</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Long-term; requires financial license</w:t>
            </w:r>
          </w:p>
        </w:tc>
      </w:tr>
    </w:tbl>
    <w:p>
      <w:pPr>
        <w:spacing w:after="80"/>
      </w:pPr>
    </w:p>
    <w:p>
      <w:pPr>
        <w:spacing w:after="120" w:before="220"/>
      </w:pPr>
      <w:r>
        <w:rPr>
          <w:rFonts w:ascii="Arial" w:cs="Arial" w:eastAsia="Arial" w:hAnsi="Arial"/>
          <w:b/>
          <w:bCs/>
          <w:color w:val="4338CA"/>
          <w:sz w:val="24"/>
          <w:szCs w:val="24"/>
        </w:rPr>
        <w:t xml:space="preserve">Stream 5: Data &amp; Analytics</w:t>
      </w:r>
    </w:p>
    <w:p>
      <w:pPr>
        <w:pStyle w:val="ListParagraph"/>
        <w:numPr>
          <w:ilvl w:val="0"/>
          <w:numId w:val="12"/>
        </w:numPr>
        <w:spacing w:after="80"/>
      </w:pPr>
      <w:r>
        <w:rPr>
          <w:rFonts w:ascii="Arial" w:cs="Arial" w:eastAsia="Arial" w:hAnsi="Arial"/>
          <w:sz w:val="22"/>
          <w:szCs w:val="22"/>
        </w:rPr>
        <w:t xml:space="preserve">CardVault Pro Analytics: Premium market insights, price alerts, portfolio tracking. IDR 100,000-300,000/month ($6-18).</w:t>
      </w:r>
    </w:p>
    <w:p>
      <w:pPr>
        <w:pStyle w:val="ListParagraph"/>
        <w:numPr>
          <w:ilvl w:val="0"/>
          <w:numId w:val="12"/>
        </w:numPr>
        <w:spacing w:after="80"/>
      </w:pPr>
      <w:r>
        <w:rPr>
          <w:rFonts w:ascii="Arial" w:cs="Arial" w:eastAsia="Arial" w:hAnsi="Arial"/>
          <w:sz w:val="22"/>
          <w:szCs w:val="22"/>
        </w:rPr>
        <w:t xml:space="preserve">Dealer/Shop Data Access: Aggregated pricing data API for Indonesian card shops. IDR 500,000-2M/month.</w:t>
      </w:r>
    </w:p>
    <w:p>
      <w:pPr>
        <w:pStyle w:val="ListParagraph"/>
        <w:numPr>
          <w:ilvl w:val="0"/>
          <w:numId w:val="12"/>
        </w:numPr>
        <w:spacing w:after="80"/>
      </w:pPr>
      <w:r>
        <w:rPr>
          <w:rFonts w:ascii="Arial" w:cs="Arial" w:eastAsia="Arial" w:hAnsi="Arial"/>
          <w:sz w:val="22"/>
          <w:szCs w:val="22"/>
        </w:rPr>
        <w:t xml:space="preserve">Market Reports: Quarterly Indonesian card market reports (sponsored by brands). IDR 10-50M per report.</w:t>
      </w:r>
    </w:p>
    <w:p>
      <w:pPr>
        <w:spacing w:after="80"/>
      </w:pPr>
    </w:p>
    <w:p>
      <w:pPr>
        <w:pStyle w:val="Heading2"/>
        <w:spacing w:after="160" w:before="300"/>
      </w:pPr>
      <w:r>
        <w:rPr>
          <w:rFonts w:ascii="Arial" w:cs="Arial" w:eastAsia="Arial" w:hAnsi="Arial"/>
          <w:b/>
          <w:bCs/>
          <w:color w:val="2563EB"/>
          <w:sz w:val="28"/>
          <w:szCs w:val="28"/>
        </w:rPr>
        <w:t xml:space="preserve">4.2 Revenue Projection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Stream</w:t>
            </w:r>
          </w:p>
        </w:tc>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Year 1 (Monthly)</w:t>
            </w:r>
          </w:p>
        </w:tc>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Year 2 (Monthly)</w:t>
            </w:r>
          </w:p>
        </w:tc>
        <w:tc>
          <w:tcPr>
            <w:tcW w:type="dxa" w:w="21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Year 3 (Monthly)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 Fees (10% of GMV)</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200M ($12K)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1B ($60K)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5B ($300K)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Subscriptions (Pro/Business/Enterprise)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15M ($900)</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52M ($3K)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150M ($9K)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Promoted Listings &amp; Ads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5M ($300)</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50M ($3K)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200M ($12K)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Value-Added Services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10M ($600)</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100M ($6K)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500M ($30K)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Data &amp; Analytics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0</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20M ($1.2K)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100M ($6K)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0F172A"/>
                <w:sz w:val="20"/>
                <w:szCs w:val="20"/>
              </w:rPr>
              <w:t xml:space="preserve">TOTAL MONTHLY REVENUE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6A34A"/>
                <w:sz w:val="20"/>
                <w:szCs w:val="20"/>
              </w:rPr>
              <w:t xml:space="preserve">IDR 230M ($14K)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6A34A"/>
                <w:sz w:val="20"/>
                <w:szCs w:val="20"/>
              </w:rPr>
              <w:t xml:space="preserve">IDR 1.22B ($73K)</w:t>
            </w:r>
          </w:p>
        </w:tc>
        <w:tc>
          <w:tcPr>
            <w:tcW w:type="dxa" w:w="2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16A34A"/>
                <w:sz w:val="20"/>
                <w:szCs w:val="20"/>
              </w:rPr>
              <w:t xml:space="preserve">IDR 5.95B ($357K)</w:t>
            </w:r>
          </w:p>
        </w:tc>
      </w:tr>
    </w:tbl>
    <w:p>
      <w:pPr>
        <w:spacing w:after="80"/>
      </w:pPr>
    </w:p>
    <w:p>
      <w:pPr>
        <w:spacing w:after="120"/>
      </w:pPr>
      <w:r>
        <w:rPr>
          <w:rFonts w:ascii="Arial" w:cs="Arial" w:eastAsia="Arial" w:hAnsi="Arial"/>
          <w:b w:val="false"/>
          <w:bCs w:val="false"/>
          <w:i w:val="false"/>
          <w:iCs w:val="false"/>
          <w:color w:val="0F172A"/>
          <w:sz w:val="22"/>
          <w:szCs w:val="22"/>
        </w:rPr>
        <w:t xml:space="preserve">These projections assume conservative GMV growth: IDR 2B ($120K) monthly GMV in Year 1, IDR 10B ($600K) in Year 2, IDR 50B ($3M) in Year 3. For reference, Whatnot hit $8B annual GMV by year 5.</w:t>
      </w:r>
    </w:p>
    <w:p>
      <w:r>
        <w:br w:type="page"/>
      </w:r>
    </w:p>
    <w:p>
      <w:pPr>
        <w:pStyle w:val="Heading1"/>
        <w:spacing w:after="200" w:before="400"/>
      </w:pPr>
      <w:r>
        <w:rPr>
          <w:rFonts w:ascii="Arial" w:cs="Arial" w:eastAsia="Arial" w:hAnsi="Arial"/>
          <w:b/>
          <w:bCs/>
          <w:color w:val="0F172A"/>
          <w:sz w:val="36"/>
          <w:szCs w:val="36"/>
        </w:rPr>
        <w:t xml:space="preserve">5. Scalability &amp; Infrastructure Strategy</w:t>
      </w:r>
    </w:p>
    <w:p>
      <w:pPr>
        <w:pStyle w:val="Heading2"/>
        <w:spacing w:after="160" w:before="300"/>
      </w:pPr>
      <w:r>
        <w:rPr>
          <w:rFonts w:ascii="Arial" w:cs="Arial" w:eastAsia="Arial" w:hAnsi="Arial"/>
          <w:b/>
          <w:bCs/>
          <w:color w:val="2563EB"/>
          <w:sz w:val="28"/>
          <w:szCs w:val="28"/>
        </w:rPr>
        <w:t xml:space="preserve">5.1 Payment Infrastructure for Indonesia</w:t>
      </w:r>
    </w:p>
    <w:p>
      <w:pPr>
        <w:spacing w:after="120"/>
      </w:pPr>
      <w:r>
        <w:rPr>
          <w:rFonts w:ascii="Arial" w:cs="Arial" w:eastAsia="Arial" w:hAnsi="Arial"/>
          <w:b w:val="false"/>
          <w:bCs w:val="false"/>
          <w:i w:val="false"/>
          <w:iCs w:val="false"/>
          <w:color w:val="0F172A"/>
          <w:sz w:val="22"/>
          <w:szCs w:val="22"/>
        </w:rPr>
        <w:t xml:space="preserve">CardVault’s payment architecture must be designed for Indonesia’s unique fintech landscape. The current integration with Midtrans and Xendit is correct, but the escrow flow needs to be hardened for production scale.</w:t>
      </w:r>
    </w:p>
    <w:p>
      <w:pPr>
        <w:spacing w:after="80"/>
      </w:pPr>
    </w:p>
    <w:p>
      <w:pPr>
        <w:spacing w:after="120" w:before="220"/>
      </w:pPr>
      <w:r>
        <w:rPr>
          <w:rFonts w:ascii="Arial" w:cs="Arial" w:eastAsia="Arial" w:hAnsi="Arial"/>
          <w:b/>
          <w:bCs/>
          <w:color w:val="4338CA"/>
          <w:sz w:val="24"/>
          <w:szCs w:val="24"/>
        </w:rPr>
        <w:t xml:space="preserve">Recommended Payment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Primary</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Fallback</w:t>
            </w:r>
          </w:p>
        </w:tc>
        <w:tc>
          <w:tcPr>
            <w:tcW w:type="dxa" w:w="39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Escrow Implementation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Indonesian Wallets (GoPay, OVO, Dana)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captured, held in escrow account until buyer confirms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QRIS (Universal QR)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Instant payment via any bank app; escrow hold via split payment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Bank Transfer (VA)</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Virtual Account per transaction; funds held until release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Credit/Debit Card (ID)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3DS authentication; manual capture for escrow hold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International (Stripe)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PayPal</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PaymentIntent with manual capture; release on confirmation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Payout (ID)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 Disbursement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Programmatic payout to seller’s bank account on escrow release</w:t>
            </w:r>
          </w:p>
        </w:tc>
      </w:tr>
    </w:tbl>
    <w:p>
      <w:pPr>
        <w:spacing w:after="80"/>
      </w:pPr>
    </w:p>
    <w:p>
      <w:pPr>
        <w:spacing w:after="120" w:before="220"/>
      </w:pPr>
      <w:r>
        <w:rPr>
          <w:rFonts w:ascii="Arial" w:cs="Arial" w:eastAsia="Arial" w:hAnsi="Arial"/>
          <w:b/>
          <w:bCs/>
          <w:color w:val="4338CA"/>
          <w:sz w:val="24"/>
          <w:szCs w:val="24"/>
        </w:rPr>
        <w:t xml:space="preserve">Escrow Account Architecture</w:t>
      </w:r>
    </w:p>
    <w:p>
      <w:pPr>
        <w:pStyle w:val="ListParagraph"/>
        <w:numPr>
          <w:ilvl w:val="0"/>
          <w:numId w:val="13"/>
        </w:numPr>
        <w:spacing w:after="80"/>
      </w:pPr>
      <w:r>
        <w:rPr>
          <w:rFonts w:ascii="Arial" w:cs="Arial" w:eastAsia="Arial" w:hAnsi="Arial"/>
          <w:sz w:val="22"/>
          <w:szCs w:val="22"/>
        </w:rPr>
        <w:t xml:space="preserve">Regulatory: Indonesian escrow operations may require an e-money license or partnership with a licensed e-money issuer. Consult with OJK (Otoritas Jasa Keuangan) regulations.</w:t>
      </w:r>
    </w:p>
    <w:p>
      <w:pPr>
        <w:pStyle w:val="ListParagraph"/>
        <w:numPr>
          <w:ilvl w:val="0"/>
          <w:numId w:val="13"/>
        </w:numPr>
        <w:spacing w:after="80"/>
      </w:pPr>
      <w:r>
        <w:rPr>
          <w:rFonts w:ascii="Arial" w:cs="Arial" w:eastAsia="Arial" w:hAnsi="Arial"/>
          <w:sz w:val="22"/>
          <w:szCs w:val="22"/>
        </w:rPr>
        <w:t xml:space="preserve">Fund Segregation: All escrowed funds MUST be held in a separate bank account from CardVault operating funds. This is both a legal requirement and a trust signal.</w:t>
      </w:r>
    </w:p>
    <w:p>
      <w:pPr>
        <w:pStyle w:val="ListParagraph"/>
        <w:numPr>
          <w:ilvl w:val="0"/>
          <w:numId w:val="13"/>
        </w:numPr>
        <w:spacing w:after="80"/>
      </w:pPr>
      <w:r>
        <w:rPr>
          <w:rFonts w:ascii="Arial" w:cs="Arial" w:eastAsia="Arial" w:hAnsi="Arial"/>
          <w:sz w:val="22"/>
          <w:szCs w:val="22"/>
        </w:rPr>
        <w:t xml:space="preserve">Automated Disbursement: Use Xendit’s Disbursement API for programmatic seller payouts. This enables instant payout on escrow release with no manual intervention.</w:t>
      </w:r>
    </w:p>
    <w:p>
      <w:pPr>
        <w:pStyle w:val="ListParagraph"/>
        <w:numPr>
          <w:ilvl w:val="0"/>
          <w:numId w:val="13"/>
        </w:numPr>
        <w:spacing w:after="80"/>
      </w:pPr>
      <w:r>
        <w:rPr>
          <w:rFonts w:ascii="Arial" w:cs="Arial" w:eastAsia="Arial" w:hAnsi="Arial"/>
          <w:sz w:val="22"/>
          <w:szCs w:val="22"/>
        </w:rPr>
        <w:t xml:space="preserve">Float Revenue: While funds are in escrow (typically 3-14 days), they generate interest. At scale (IDR 10B monthly GMV with 7-day average hold), this generates IDR 10-30M/month in float interest.</w:t>
      </w:r>
    </w:p>
    <w:p>
      <w:pPr>
        <w:spacing w:after="80"/>
      </w:pPr>
    </w:p>
    <w:p>
      <w:pPr>
        <w:pStyle w:val="Heading2"/>
        <w:spacing w:after="160" w:before="300"/>
      </w:pPr>
      <w:r>
        <w:rPr>
          <w:rFonts w:ascii="Arial" w:cs="Arial" w:eastAsia="Arial" w:hAnsi="Arial"/>
          <w:b/>
          <w:bCs/>
          <w:color w:val="2563EB"/>
          <w:sz w:val="28"/>
          <w:szCs w:val="28"/>
        </w:rPr>
        <w:t xml:space="preserve">5.2 Technical Scalability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160"/>
      </w:tblGrid>
      <w:tr>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Architecture</w:t>
            </w:r>
          </w:p>
        </w:tc>
        <w:tc>
          <w:tcPr>
            <w:tcW w:type="dxa" w:w="1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Handles</w:t>
            </w:r>
          </w:p>
        </w:tc>
        <w:tc>
          <w:tcPr>
            <w:tcW w:type="dxa" w:w="41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Key Changes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Current (Beta)</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Next.js + PostgreSQL + Vercel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0-1K users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Single region, serverless functions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Phase 1 (Launch)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Supabase (Postgres + Auth + Realtime + Storage)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1K-10K users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Managed database, connection pooling, row-level security, file storage</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Phase 2 (Growth)</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Add Redis (Upstash) + Meilisearch + CDN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10K-100K users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Cache hot data, fast search, image CDN, background job queues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Phase 3 (Scale)</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Microservices: Payment service, Messaging service, Search service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100K-1M users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Separate scaling for payment processing vs. browsing</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Phase 4 (Regional)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Multi-region deployment (SG + ID), read replicas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1M+ users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Low latency for SEA users, regional compliance</w:t>
            </w:r>
          </w:p>
        </w:tc>
      </w:tr>
    </w:tbl>
    <w:p>
      <w:pPr>
        <w:spacing w:after="80"/>
      </w:pPr>
    </w:p>
    <w:p>
      <w:pPr>
        <w:pStyle w:val="Heading2"/>
        <w:spacing w:after="160" w:before="300"/>
      </w:pPr>
      <w:r>
        <w:rPr>
          <w:rFonts w:ascii="Arial" w:cs="Arial" w:eastAsia="Arial" w:hAnsi="Arial"/>
          <w:b/>
          <w:bCs/>
          <w:color w:val="2563EB"/>
          <w:sz w:val="28"/>
          <w:szCs w:val="28"/>
        </w:rPr>
        <w:t xml:space="preserve">5.3 Escrow-as-a-Service: CardVault’s Secret Weapon</w:t>
      </w:r>
    </w:p>
    <w:p>
      <w:pPr>
        <w:spacing w:after="120"/>
      </w:pPr>
      <w:r>
        <w:rPr>
          <w:rFonts w:ascii="Arial" w:cs="Arial" w:eastAsia="Arial" w:hAnsi="Arial"/>
          <w:b w:val="false"/>
          <w:bCs w:val="false"/>
          <w:i w:val="false"/>
          <w:iCs w:val="false"/>
          <w:color w:val="0F172A"/>
          <w:sz w:val="22"/>
          <w:szCs w:val="22"/>
        </w:rPr>
        <w:t xml:space="preserve">The most strategic long-term play: CardVault’s escrow engine could become a platform service that other Indonesian marketplaces embed. Trustap, Escrow.com, and Castler all offer white-label escrow APIs. CardVault could build “CardVault Pay” — a trust-layer API that any Indonesian P2P marketplace can use.</w:t>
      </w:r>
    </w:p>
    <w:p>
      <w:pPr>
        <w:spacing w:after="80"/>
      </w:pPr>
    </w:p>
    <w:p>
      <w:pPr>
        <w:pStyle w:val="ListParagraph"/>
        <w:numPr>
          <w:ilvl w:val="0"/>
          <w:numId w:val="14"/>
        </w:numPr>
        <w:spacing w:after="80"/>
      </w:pPr>
      <w:r>
        <w:rPr>
          <w:rFonts w:ascii="Arial" w:cs="Arial" w:eastAsia="Arial" w:hAnsi="Arial"/>
          <w:sz w:val="22"/>
          <w:szCs w:val="22"/>
        </w:rPr>
        <w:t xml:space="preserve">Escrow.com charges as low as 0.7% per transaction — cheaper than credit cards.</w:t>
      </w:r>
    </w:p>
    <w:p>
      <w:pPr>
        <w:pStyle w:val="ListParagraph"/>
        <w:numPr>
          <w:ilvl w:val="0"/>
          <w:numId w:val="14"/>
        </w:numPr>
        <w:spacing w:after="80"/>
      </w:pPr>
      <w:r>
        <w:rPr>
          <w:rFonts w:ascii="Arial" w:cs="Arial" w:eastAsia="Arial" w:hAnsi="Arial"/>
          <w:sz w:val="22"/>
          <w:szCs w:val="22"/>
        </w:rPr>
        <w:t xml:space="preserve">Trustap provides end-to-end escrow with automated fulfillment tracking and dispute support.</w:t>
      </w:r>
    </w:p>
    <w:p>
      <w:pPr>
        <w:pStyle w:val="ListParagraph"/>
        <w:numPr>
          <w:ilvl w:val="0"/>
          <w:numId w:val="14"/>
        </w:numPr>
        <w:spacing w:after="80"/>
      </w:pPr>
      <w:r>
        <w:rPr>
          <w:rFonts w:ascii="Arial" w:cs="Arial" w:eastAsia="Arial" w:hAnsi="Arial"/>
          <w:sz w:val="22"/>
          <w:szCs w:val="22"/>
        </w:rPr>
        <w:t xml:space="preserve">Castler offers compliance-ready escrow banking infrastructure.</w:t>
      </w:r>
    </w:p>
    <w:p>
      <w:pPr>
        <w:spacing w:after="80"/>
      </w:pPr>
    </w:p>
    <w:p>
      <w:pPr>
        <w:spacing w:after="120"/>
      </w:pPr>
      <w:r>
        <w:rPr>
          <w:rFonts w:ascii="Arial" w:cs="Arial" w:eastAsia="Arial" w:hAnsi="Arial"/>
          <w:b w:val="false"/>
          <w:bCs w:val="false"/>
          <w:i w:val="false"/>
          <w:iCs w:val="false"/>
          <w:color w:val="0F172A"/>
          <w:sz w:val="22"/>
          <w:szCs w:val="22"/>
        </w:rPr>
        <w:t xml:space="preserve">If CardVault’s escrow API is adopted by even 2-3 other Indonesian C2C marketplaces (sneakers, watches, electronics), the payment volume would dwarf the card marketplace itself. This transforms CardVault from a vertical marketplace into a horizontal fintech platform.</w:t>
      </w:r>
    </w:p>
    <w:p>
      <w:r>
        <w:br w:type="page"/>
      </w:r>
    </w:p>
    <w:p>
      <w:pPr>
        <w:pStyle w:val="Heading1"/>
        <w:spacing w:after="200" w:before="400"/>
      </w:pPr>
      <w:r>
        <w:rPr>
          <w:rFonts w:ascii="Arial" w:cs="Arial" w:eastAsia="Arial" w:hAnsi="Arial"/>
          <w:b/>
          <w:bCs/>
          <w:color w:val="0F172A"/>
          <w:sz w:val="36"/>
          <w:szCs w:val="36"/>
        </w:rPr>
        <w:t xml:space="preserve">6. Growth, Engagement &amp; Network Effects</w:t>
      </w:r>
    </w:p>
    <w:p>
      <w:pPr>
        <w:pStyle w:val="Heading2"/>
        <w:spacing w:after="160" w:before="300"/>
      </w:pPr>
      <w:r>
        <w:rPr>
          <w:rFonts w:ascii="Arial" w:cs="Arial" w:eastAsia="Arial" w:hAnsi="Arial"/>
          <w:b/>
          <w:bCs/>
          <w:color w:val="2563EB"/>
          <w:sz w:val="28"/>
          <w:szCs w:val="28"/>
        </w:rPr>
        <w:t xml:space="preserve">6.1 Loyalty &amp; Rewards System</w:t>
      </w:r>
    </w:p>
    <w:p>
      <w:pPr>
        <w:spacing w:after="120"/>
      </w:pPr>
      <w:r>
        <w:rPr>
          <w:rFonts w:ascii="Arial" w:cs="Arial" w:eastAsia="Arial" w:hAnsi="Arial"/>
          <w:b w:val="false"/>
          <w:bCs w:val="false"/>
          <w:i w:val="false"/>
          <w:iCs w:val="false"/>
          <w:color w:val="0F172A"/>
          <w:sz w:val="22"/>
          <w:szCs w:val="22"/>
        </w:rPr>
        <w:t xml:space="preserve">Every successful card marketplace uses engagement mechanics to drive retention. Here is a comprehensive rewards architecture modeled on Drip’s coin system, Whatnot’s giveaways, and Card Synced’s wallet model.</w:t>
      </w:r>
    </w:p>
    <w:p>
      <w:pPr>
        <w:spacing w:after="80"/>
      </w:pPr>
    </w:p>
    <w:p>
      <w:pPr>
        <w:spacing w:after="120" w:before="220"/>
      </w:pPr>
      <w:r>
        <w:rPr>
          <w:rFonts w:ascii="Arial" w:cs="Arial" w:eastAsia="Arial" w:hAnsi="Arial"/>
          <w:b/>
          <w:bCs/>
          <w:color w:val="4338CA"/>
          <w:sz w:val="24"/>
          <w:szCs w:val="24"/>
        </w:rPr>
        <w:t xml:space="preserve">CardVault Coins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Coins Earned</w:t>
            </w:r>
          </w:p>
        </w:tc>
        <w:tc>
          <w:tcPr>
            <w:tcW w:type="dxa" w:w="45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Complete a purchase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Rewards buying behavior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Complete a sale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Rewards selling behavior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Leave a review after transaction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Builds trust data</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Refer a new user who completes first transaction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200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Viral growth</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KYC verification completed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 coins (one-time)</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Incentivize trust compliance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Daily login streak (7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Habit formation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List a card for sale</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 coins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Increases supply</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First purchase as new user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 coins (one-time)</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Onboarding incentive</w:t>
            </w:r>
          </w:p>
        </w:tc>
      </w:tr>
    </w:tbl>
    <w:p>
      <w:pPr>
        <w:spacing w:after="80"/>
      </w:pPr>
    </w:p>
    <w:p>
      <w:pPr>
        <w:spacing w:after="120" w:before="220"/>
      </w:pPr>
      <w:r>
        <w:rPr>
          <w:rFonts w:ascii="Arial" w:cs="Arial" w:eastAsia="Arial" w:hAnsi="Arial"/>
          <w:b/>
          <w:bCs/>
          <w:color w:val="4338CA"/>
          <w:sz w:val="24"/>
          <w:szCs w:val="24"/>
        </w:rPr>
        <w:t xml:space="preserve">Coin Redemption</w:t>
      </w:r>
    </w:p>
    <w:p>
      <w:pPr>
        <w:pStyle w:val="ListParagraph"/>
        <w:numPr>
          <w:ilvl w:val="0"/>
          <w:numId w:val="15"/>
        </w:numPr>
        <w:spacing w:after="80"/>
      </w:pPr>
      <w:r>
        <w:rPr>
          <w:rFonts w:ascii="Arial" w:cs="Arial" w:eastAsia="Arial" w:hAnsi="Arial"/>
          <w:sz w:val="22"/>
          <w:szCs w:val="22"/>
        </w:rPr>
        <w:t xml:space="preserve">Fee discounts: 1,000 coins = IDR 10,000 off buyer fees (keeps coins within the CardVault economy)</w:t>
      </w:r>
    </w:p>
    <w:p>
      <w:pPr>
        <w:pStyle w:val="ListParagraph"/>
        <w:numPr>
          <w:ilvl w:val="0"/>
          <w:numId w:val="15"/>
        </w:numPr>
        <w:spacing w:after="80"/>
      </w:pPr>
      <w:r>
        <w:rPr>
          <w:rFonts w:ascii="Arial" w:cs="Arial" w:eastAsia="Arial" w:hAnsi="Arial"/>
          <w:sz w:val="22"/>
          <w:szCs w:val="22"/>
        </w:rPr>
        <w:t xml:space="preserve">Promoted listings: 500 coins = 1 week of promoted placement</w:t>
      </w:r>
    </w:p>
    <w:p>
      <w:pPr>
        <w:pStyle w:val="ListParagraph"/>
        <w:numPr>
          <w:ilvl w:val="0"/>
          <w:numId w:val="15"/>
        </w:numPr>
        <w:spacing w:after="80"/>
      </w:pPr>
      <w:r>
        <w:rPr>
          <w:rFonts w:ascii="Arial" w:cs="Arial" w:eastAsia="Arial" w:hAnsi="Arial"/>
          <w:sz w:val="22"/>
          <w:szCs w:val="22"/>
        </w:rPr>
        <w:t xml:space="preserve">Exclusive access: 2,000 coins = early access to new features or limited drops</w:t>
      </w:r>
    </w:p>
    <w:p>
      <w:pPr>
        <w:pStyle w:val="ListParagraph"/>
        <w:numPr>
          <w:ilvl w:val="0"/>
          <w:numId w:val="15"/>
        </w:numPr>
        <w:spacing w:after="80"/>
      </w:pPr>
      <w:r>
        <w:rPr>
          <w:rFonts w:ascii="Arial" w:cs="Arial" w:eastAsia="Arial" w:hAnsi="Arial"/>
          <w:sz w:val="22"/>
          <w:szCs w:val="22"/>
        </w:rPr>
        <w:t xml:space="preserve">Physical rewards (future): Partner with card shops for merchandise, sleeves, top-loaders redeemable with coins</w:t>
      </w:r>
    </w:p>
    <w:p>
      <w:pPr>
        <w:spacing w:after="80"/>
      </w:pPr>
    </w:p>
    <w:p>
      <w:pPr>
        <w:spacing w:after="120" w:before="220"/>
      </w:pPr>
      <w:r>
        <w:rPr>
          <w:rFonts w:ascii="Arial" w:cs="Arial" w:eastAsia="Arial" w:hAnsi="Arial"/>
          <w:b/>
          <w:bCs/>
          <w:color w:val="4338CA"/>
          <w:sz w:val="24"/>
          <w:szCs w:val="24"/>
        </w:rPr>
        <w:t xml:space="preserve">Seller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4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Benefits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New Seller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0 transactions</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Standard 5% commission, basic listing tools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Trusted Seller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 transactions, 4.0+ rating</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 commission, analytics dashboard, batch listing</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Verified Seller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 transactions, 4.5+ rating, KYC verified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commission, promoted badge, priority in search</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Elite Seller (Partner Shop)</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 transactions, 4.8+ rating, business verified</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2.5% commission, API access, custom storefront URL, dedicated support</w:t>
            </w:r>
          </w:p>
        </w:tc>
      </w:tr>
    </w:tbl>
    <w:p>
      <w:pPr>
        <w:spacing w:after="80"/>
      </w:pPr>
    </w:p>
    <w:p>
      <w:pPr>
        <w:pStyle w:val="Heading2"/>
        <w:spacing w:after="160" w:before="300"/>
      </w:pPr>
      <w:r>
        <w:rPr>
          <w:rFonts w:ascii="Arial" w:cs="Arial" w:eastAsia="Arial" w:hAnsi="Arial"/>
          <w:b/>
          <w:bCs/>
          <w:color w:val="2563EB"/>
          <w:sz w:val="28"/>
          <w:szCs w:val="28"/>
        </w:rPr>
        <w:t xml:space="preserve">6.2 Network Effect Flywheel</w:t>
      </w:r>
    </w:p>
    <w:p>
      <w:pPr>
        <w:spacing w:after="120"/>
      </w:pPr>
      <w:r>
        <w:rPr>
          <w:rFonts w:ascii="Arial" w:cs="Arial" w:eastAsia="Arial" w:hAnsi="Arial"/>
          <w:b w:val="false"/>
          <w:bCs w:val="false"/>
          <w:i w:val="false"/>
          <w:iCs w:val="false"/>
          <w:color w:val="0F172A"/>
          <w:sz w:val="22"/>
          <w:szCs w:val="22"/>
        </w:rPr>
        <w:t xml:space="preserve">The most defensible moat for any marketplace is network effects. Here’s how CardVault’s features compound:</w:t>
      </w:r>
    </w:p>
    <w:p>
      <w:pPr>
        <w:spacing w:after="80"/>
      </w:pPr>
    </w:p>
    <w:p>
      <w:pPr>
        <w:pStyle w:val="ListParagraph"/>
        <w:numPr>
          <w:ilvl w:val="0"/>
          <w:numId w:val="16"/>
        </w:numPr>
        <w:spacing w:after="80"/>
      </w:pPr>
      <w:r>
        <w:rPr>
          <w:rFonts w:ascii="Arial" w:cs="Arial" w:eastAsia="Arial" w:hAnsi="Arial"/>
          <w:sz w:val="22"/>
          <w:szCs w:val="22"/>
        </w:rPr>
        <w:t xml:space="preserve">More sellers list cards (supply increases)</w:t>
      </w:r>
    </w:p>
    <w:p>
      <w:pPr>
        <w:pStyle w:val="ListParagraph"/>
        <w:numPr>
          <w:ilvl w:val="0"/>
          <w:numId w:val="16"/>
        </w:numPr>
        <w:spacing w:after="80"/>
      </w:pPr>
      <w:r>
        <w:rPr>
          <w:rFonts w:ascii="Arial" w:cs="Arial" w:eastAsia="Arial" w:hAnsi="Arial"/>
          <w:sz w:val="22"/>
          <w:szCs w:val="22"/>
        </w:rPr>
        <w:t xml:space="preserve">More listings attract more buyers (demand increases)</w:t>
      </w:r>
    </w:p>
    <w:p>
      <w:pPr>
        <w:pStyle w:val="ListParagraph"/>
        <w:numPr>
          <w:ilvl w:val="0"/>
          <w:numId w:val="16"/>
        </w:numPr>
        <w:spacing w:after="80"/>
      </w:pPr>
      <w:r>
        <w:rPr>
          <w:rFonts w:ascii="Arial" w:cs="Arial" w:eastAsia="Arial" w:hAnsi="Arial"/>
          <w:sz w:val="22"/>
          <w:szCs w:val="22"/>
        </w:rPr>
        <w:t xml:space="preserve">More completed transactions generate more pricing data</w:t>
      </w:r>
    </w:p>
    <w:p>
      <w:pPr>
        <w:pStyle w:val="ListParagraph"/>
        <w:numPr>
          <w:ilvl w:val="0"/>
          <w:numId w:val="16"/>
        </w:numPr>
        <w:spacing w:after="80"/>
      </w:pPr>
      <w:r>
        <w:rPr>
          <w:rFonts w:ascii="Arial" w:cs="Arial" w:eastAsia="Arial" w:hAnsi="Arial"/>
          <w:sz w:val="22"/>
          <w:szCs w:val="22"/>
        </w:rPr>
        <w:t xml:space="preserve">Better pricing data makes the platform more useful for valuation (retention)</w:t>
      </w:r>
    </w:p>
    <w:p>
      <w:pPr>
        <w:pStyle w:val="ListParagraph"/>
        <w:numPr>
          <w:ilvl w:val="0"/>
          <w:numId w:val="16"/>
        </w:numPr>
        <w:spacing w:after="80"/>
      </w:pPr>
      <w:r>
        <w:rPr>
          <w:rFonts w:ascii="Arial" w:cs="Arial" w:eastAsia="Arial" w:hAnsi="Arial"/>
          <w:sz w:val="22"/>
          <w:szCs w:val="22"/>
        </w:rPr>
        <w:t xml:space="preserve">Escrow track record builds trust (conversion rate increases)</w:t>
      </w:r>
    </w:p>
    <w:p>
      <w:pPr>
        <w:pStyle w:val="ListParagraph"/>
        <w:numPr>
          <w:ilvl w:val="0"/>
          <w:numId w:val="16"/>
        </w:numPr>
        <w:spacing w:after="80"/>
      </w:pPr>
      <w:r>
        <w:rPr>
          <w:rFonts w:ascii="Arial" w:cs="Arial" w:eastAsia="Arial" w:hAnsi="Arial"/>
          <w:sz w:val="22"/>
          <w:szCs w:val="22"/>
        </w:rPr>
        <w:t xml:space="preserve">Higher conversion attracts more sellers (flywheel accelerates)</w:t>
      </w:r>
    </w:p>
    <w:p>
      <w:pPr>
        <w:pStyle w:val="ListParagraph"/>
        <w:numPr>
          <w:ilvl w:val="0"/>
          <w:numId w:val="16"/>
        </w:numPr>
        <w:spacing w:after="80"/>
      </w:pPr>
      <w:r>
        <w:rPr>
          <w:rFonts w:ascii="Arial" w:cs="Arial" w:eastAsia="Arial" w:hAnsi="Arial"/>
          <w:sz w:val="22"/>
          <w:szCs w:val="22"/>
        </w:rPr>
        <w:t xml:space="preserve">Reviews and ratings create seller reputation that can’t be ported to other platforms (lock-in)</w:t>
      </w:r>
    </w:p>
    <w:p>
      <w:pPr>
        <w:spacing w:after="80"/>
      </w:pPr>
    </w:p>
    <w:p>
      <w:pPr>
        <w:pStyle w:val="Heading2"/>
        <w:spacing w:after="160" w:before="300"/>
      </w:pPr>
      <w:r>
        <w:rPr>
          <w:rFonts w:ascii="Arial" w:cs="Arial" w:eastAsia="Arial" w:hAnsi="Arial"/>
          <w:b/>
          <w:bCs/>
          <w:color w:val="2563EB"/>
          <w:sz w:val="28"/>
          <w:szCs w:val="28"/>
        </w:rPr>
        <w:t xml:space="preserve">6.3 Community &amp; Content Strategy</w:t>
      </w:r>
    </w:p>
    <w:p>
      <w:pPr>
        <w:pStyle w:val="ListParagraph"/>
        <w:numPr>
          <w:ilvl w:val="0"/>
          <w:numId w:val="17"/>
        </w:numPr>
        <w:spacing w:after="80"/>
      </w:pPr>
      <w:r>
        <w:rPr>
          <w:rFonts w:ascii="Arial" w:cs="Arial" w:eastAsia="Arial" w:hAnsi="Arial"/>
          <w:sz w:val="22"/>
          <w:szCs w:val="22"/>
        </w:rPr>
        <w:t xml:space="preserve">Indonesian Card Market Newsletter: Weekly email with trending cards, notable sales, and new listings. Builds brand authority and drives return visits.</w:t>
      </w:r>
    </w:p>
    <w:p>
      <w:pPr>
        <w:pStyle w:val="ListParagraph"/>
        <w:numPr>
          <w:ilvl w:val="0"/>
          <w:numId w:val="17"/>
        </w:numPr>
        <w:spacing w:after="80"/>
      </w:pPr>
      <w:r>
        <w:rPr>
          <w:rFonts w:ascii="Arial" w:cs="Arial" w:eastAsia="Arial" w:hAnsi="Arial"/>
          <w:sz w:val="22"/>
          <w:szCs w:val="22"/>
        </w:rPr>
        <w:t xml:space="preserve">Seller Spotlights: Feature top sellers with interviews and collection showcases. Creates aspirational content for new sellers.</w:t>
      </w:r>
    </w:p>
    <w:p>
      <w:pPr>
        <w:pStyle w:val="ListParagraph"/>
        <w:numPr>
          <w:ilvl w:val="0"/>
          <w:numId w:val="17"/>
        </w:numPr>
        <w:spacing w:after="80"/>
      </w:pPr>
      <w:r>
        <w:rPr>
          <w:rFonts w:ascii="Arial" w:cs="Arial" w:eastAsia="Arial" w:hAnsi="Arial"/>
          <w:sz w:val="22"/>
          <w:szCs w:val="22"/>
        </w:rPr>
        <w:t xml:space="preserve">Price Alerts: "Your watched card dropped below IDR X" notifications. Drives re-engagement and transaction conversion.</w:t>
      </w:r>
    </w:p>
    <w:p>
      <w:pPr>
        <w:pStyle w:val="ListParagraph"/>
        <w:numPr>
          <w:ilvl w:val="0"/>
          <w:numId w:val="17"/>
        </w:numPr>
        <w:spacing w:after="80"/>
      </w:pPr>
      <w:r>
        <w:rPr>
          <w:rFonts w:ascii="Arial" w:cs="Arial" w:eastAsia="Arial" w:hAnsi="Arial"/>
          <w:sz w:val="22"/>
          <w:szCs w:val="22"/>
        </w:rPr>
        <w:t xml:space="preserve">Local Event Integration: Partner with card shows and conventions in Jakarta, Surabaya, Bandung. Offer CardVault-branded meet-up zones for escrow-protected in-person trades.</w:t>
      </w:r>
    </w:p>
    <w:p>
      <w:pPr>
        <w:pStyle w:val="ListParagraph"/>
        <w:numPr>
          <w:ilvl w:val="0"/>
          <w:numId w:val="17"/>
        </w:numPr>
        <w:spacing w:after="80"/>
      </w:pPr>
      <w:r>
        <w:rPr>
          <w:rFonts w:ascii="Arial" w:cs="Arial" w:eastAsia="Arial" w:hAnsi="Arial"/>
          <w:sz w:val="22"/>
          <w:szCs w:val="22"/>
        </w:rPr>
        <w:t xml:space="preserve">Education Content: "How to spot fakes," "Grading guide for beginners," "Card investment 101" — positions CardVault as the trusted authority for Indonesian collectors.</w:t>
      </w:r>
    </w:p>
    <w:p>
      <w:r>
        <w:br w:type="page"/>
      </w:r>
    </w:p>
    <w:p>
      <w:pPr>
        <w:pStyle w:val="Heading1"/>
        <w:spacing w:after="200" w:before="400"/>
      </w:pPr>
      <w:r>
        <w:rPr>
          <w:rFonts w:ascii="Arial" w:cs="Arial" w:eastAsia="Arial" w:hAnsi="Arial"/>
          <w:b/>
          <w:bCs/>
          <w:color w:val="0F172A"/>
          <w:sz w:val="36"/>
          <w:szCs w:val="36"/>
        </w:rPr>
        <w:t xml:space="preserve">7. Service Integration Ecosystem</w:t>
      </w:r>
    </w:p>
    <w:p>
      <w:pPr>
        <w:spacing w:after="120"/>
      </w:pPr>
      <w:r>
        <w:rPr>
          <w:rFonts w:ascii="Arial" w:cs="Arial" w:eastAsia="Arial" w:hAnsi="Arial"/>
          <w:b w:val="false"/>
          <w:bCs w:val="false"/>
          <w:i w:val="false"/>
          <w:iCs w:val="false"/>
          <w:color w:val="0F172A"/>
          <w:sz w:val="22"/>
          <w:szCs w:val="22"/>
        </w:rPr>
        <w:t xml:space="preserve">CardVault’s long-term value grows with every external service it connects to. This section maps every potential integration and its strategic value.</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400"/>
        <w:gridCol w:w="1000"/>
      </w:tblGrid>
      <w:tr>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2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Strategic Value</w:t>
            </w:r>
          </w:p>
        </w:tc>
        <w:tc>
          <w:tcPr>
            <w:tcW w:type="dxa" w:w="1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 API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Grading Verification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Cert lookup, auto-populate card data</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reduced seller friction</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BGS/SGC/CGC Cert Lookup</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Grading Verification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Web API or scraping</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Multi-grader support</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Midtrans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 (Indonesia)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QRIS, GoPay, VA, Cards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Primary Indonesian payment method</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Xendit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 + Disbursement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collection + seller payout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Automated escrow release to sellers</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Stripe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Payments (International)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Cards, Apple Pay, Google Pay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Global buyers (USD)</w:t>
            </w:r>
          </w:p>
        </w:tc>
        <w:tc>
          <w:tcPr>
            <w:tcW w:type="dxa" w:w="14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D97706"/>
                <w:sz w:val="18"/>
                <w:szCs w:val="18"/>
              </w:rPr>
              <w:t xml:space="preserve">P1</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CardHedger API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Pricing Data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Real-time market pricing</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validation, suggested pricing</w:t>
            </w:r>
          </w:p>
        </w:tc>
        <w:tc>
          <w:tcPr>
            <w:tcW w:type="dxa" w:w="14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D97706"/>
                <w:sz w:val="18"/>
                <w:szCs w:val="18"/>
              </w:rPr>
              <w:t xml:space="preserve">P1</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Ladder API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Market Analytics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history, pop data, efficiency scores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Premium analytics feature</w:t>
            </w:r>
          </w:p>
        </w:tc>
        <w:tc>
          <w:tcPr>
            <w:tcW w:type="dxa" w:w="14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P2</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130point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Price Reference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Cross-platform price comparison</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Buyer confidence, fair pricing</w:t>
            </w:r>
          </w:p>
        </w:tc>
        <w:tc>
          <w:tcPr>
            <w:tcW w:type="dxa" w:w="14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P2</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Supabase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Backend Platform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Auth, Realtime, Storage, Database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Replace custom auth, add real-time messaging</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Meilisearch / Algolia</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Search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Full-text, typo-tolerant card search</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name and player search</w:t>
            </w:r>
          </w:p>
        </w:tc>
        <w:tc>
          <w:tcPr>
            <w:tcW w:type="dxa" w:w="14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D97706"/>
                <w:sz w:val="18"/>
                <w:szCs w:val="18"/>
              </w:rPr>
              <w:t xml:space="preserve">P1</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Sentry</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Monitoring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Error tracking + performance</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Production reliability</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Resend / SendGrid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Transactional emails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Payment receipts, shipping alerts</w:t>
            </w:r>
          </w:p>
        </w:tc>
        <w:tc>
          <w:tcPr>
            <w:tcW w:type="dxa" w:w="14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D97706"/>
                <w:sz w:val="18"/>
                <w:szCs w:val="18"/>
              </w:rPr>
              <w:t xml:space="preserve">P1</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JNE / J&amp;T / SiCepat APIs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Shipping (Indonesia)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Tracking number verification, delivery status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Automated escrow state transitions</w:t>
            </w:r>
          </w:p>
        </w:tc>
        <w:tc>
          <w:tcPr>
            <w:tcW w:type="dxa" w:w="14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tcPr>
          <w:p>
            <w:pPr>
              <w:jc w:val="center"/>
            </w:pPr>
            <w:r>
              <w:rPr>
                <w:rFonts w:ascii="Arial" w:cs="Arial" w:eastAsia="Arial" w:hAnsi="Arial"/>
                <w:b/>
                <w:bCs/>
                <w:color w:val="D97706"/>
                <w:sz w:val="18"/>
                <w:szCs w:val="18"/>
              </w:rPr>
              <w:t xml:space="preserve">P1</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Cloudflare R2 / Supabase Storage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Image CDN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photo hosting + CDN delivery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Fast image loading, watermarking</w:t>
            </w:r>
          </w:p>
        </w:tc>
        <w:tc>
          <w:tcPr>
            <w:tcW w:type="dxa" w:w="1400"/>
            <w:tcBorders>
              <w:top w:val="single" w:color="D1D5DB" w:sz="1"/>
              <w:left w:val="single" w:color="D1D5DB" w:sz="1"/>
              <w:bottom w:val="single" w:color="D1D5DB" w:sz="1"/>
              <w:right w:val="single" w:color="D1D5DB" w:sz="1"/>
            </w:tcBorders>
            <w:shd w:fill="FEE2E2" w:val="clear"/>
            <w:tcMar>
              <w:top w:type="dxa" w:w="60"/>
              <w:left w:type="dxa" w:w="80"/>
              <w:bottom w:type="dxa" w:w="60"/>
              <w:right w:type="dxa" w:w="80"/>
            </w:tcMar>
          </w:tcPr>
          <w:p>
            <w:pPr>
              <w:jc w:val="center"/>
            </w:pPr>
            <w:r>
              <w:rPr>
                <w:rFonts w:ascii="Arial" w:cs="Arial" w:eastAsia="Arial" w:hAnsi="Arial"/>
                <w:b/>
                <w:bCs/>
                <w:color w:val="DC2626"/>
                <w:sz w:val="18"/>
                <w:szCs w:val="18"/>
              </w:rPr>
              <w:t xml:space="preserve">P0</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Google Vision AI (future)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Image Recognition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identification from photo</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Scan a card, auto-create listing</w:t>
            </w:r>
          </w:p>
        </w:tc>
        <w:tc>
          <w:tcPr>
            <w:tcW w:type="dxa" w:w="1400"/>
            <w:tcBorders>
              <w:top w:val="single" w:color="D1D5DB" w:sz="1"/>
              <w:left w:val="single" w:color="D1D5DB" w:sz="1"/>
              <w:bottom w:val="single" w:color="D1D5DB" w:sz="1"/>
              <w:right w:val="single" w:color="D1D5DB" w:sz="1"/>
            </w:tcBorders>
            <w:shd w:fill="DCFCE7" w:val="clear"/>
            <w:tcMar>
              <w:top w:type="dxa" w:w="60"/>
              <w:left w:type="dxa" w:w="80"/>
              <w:bottom w:type="dxa" w:w="60"/>
              <w:right w:type="dxa" w:w="80"/>
            </w:tcMar>
          </w:tcPr>
          <w:p>
            <w:pPr>
              <w:jc w:val="center"/>
            </w:pPr>
            <w:r>
              <w:rPr>
                <w:rFonts w:ascii="Arial" w:cs="Arial" w:eastAsia="Arial" w:hAnsi="Arial"/>
                <w:b/>
                <w:bCs/>
                <w:color w:val="16A34A"/>
                <w:sz w:val="18"/>
                <w:szCs w:val="18"/>
              </w:rPr>
              <w:t xml:space="preserve">P3</w:t>
            </w:r>
          </w:p>
        </w:tc>
      </w:tr>
    </w:tbl>
    <w:p>
      <w:r>
        <w:br w:type="page"/>
      </w:r>
    </w:p>
    <w:p>
      <w:pPr>
        <w:pStyle w:val="Heading1"/>
        <w:spacing w:after="200" w:before="400"/>
      </w:pPr>
      <w:r>
        <w:rPr>
          <w:rFonts w:ascii="Arial" w:cs="Arial" w:eastAsia="Arial" w:hAnsi="Arial"/>
          <w:b/>
          <w:bCs/>
          <w:color w:val="0F172A"/>
          <w:sz w:val="36"/>
          <w:szCs w:val="36"/>
        </w:rPr>
        <w:t xml:space="preserve">8. Competitive Positioning &amp; Moat Strategy</w:t>
      </w:r>
    </w:p>
    <w:p>
      <w:pPr>
        <w:pStyle w:val="Heading2"/>
        <w:spacing w:after="160" w:before="300"/>
      </w:pPr>
      <w:r>
        <w:rPr>
          <w:rFonts w:ascii="Arial" w:cs="Arial" w:eastAsia="Arial" w:hAnsi="Arial"/>
          <w:b/>
          <w:bCs/>
          <w:color w:val="2563EB"/>
          <w:sz w:val="28"/>
          <w:szCs w:val="28"/>
        </w:rPr>
        <w:t xml:space="preserve">8.1 Why CardVault Can Win in Indonesia</w:t>
      </w:r>
    </w:p>
    <w:p>
      <w:pPr>
        <w:pStyle w:val="ListParagraph"/>
        <w:numPr>
          <w:ilvl w:val="0"/>
          <w:numId w:val="18"/>
        </w:numPr>
        <w:spacing w:after="80"/>
      </w:pPr>
      <w:r>
        <w:rPr>
          <w:rFonts w:ascii="Arial" w:cs="Arial" w:eastAsia="Arial" w:hAnsi="Arial"/>
          <w:sz w:val="22"/>
          <w:szCs w:val="22"/>
        </w:rPr>
        <w:t xml:space="preserve">No direct competitor: There is no dedicated, escrow-protected card trading marketplace in Indonesia or SEA. The market is currently served by Facebook Groups, Tokopedia, and WhatsApp — none of which offer card-specific features or escrow.</w:t>
      </w:r>
    </w:p>
    <w:p>
      <w:pPr>
        <w:pStyle w:val="ListParagraph"/>
        <w:numPr>
          <w:ilvl w:val="0"/>
          <w:numId w:val="18"/>
        </w:numPr>
        <w:spacing w:after="80"/>
      </w:pPr>
      <w:r>
        <w:rPr>
          <w:rFonts w:ascii="Arial" w:cs="Arial" w:eastAsia="Arial" w:hAnsi="Arial"/>
          <w:sz w:val="22"/>
          <w:szCs w:val="22"/>
        </w:rPr>
        <w:t xml:space="preserve">Local payment dominance: QRIS, GoPay, OVO, Dana, bank transfers — none of the global competitors (StockX, Whatnot, VeriSwap) support Indonesian payment methods.</w:t>
      </w:r>
    </w:p>
    <w:p>
      <w:pPr>
        <w:pStyle w:val="ListParagraph"/>
        <w:numPr>
          <w:ilvl w:val="0"/>
          <w:numId w:val="18"/>
        </w:numPr>
        <w:spacing w:after="80"/>
      </w:pPr>
      <w:r>
        <w:rPr>
          <w:rFonts w:ascii="Arial" w:cs="Arial" w:eastAsia="Arial" w:hAnsi="Arial"/>
          <w:sz w:val="22"/>
          <w:szCs w:val="22"/>
        </w:rPr>
        <w:t xml:space="preserve">IDR-first pricing: Card collectors in Indonesia think in Rupiah. Every global platform forces USD, creating friction and currency risk.</w:t>
      </w:r>
    </w:p>
    <w:p>
      <w:pPr>
        <w:pStyle w:val="ListParagraph"/>
        <w:numPr>
          <w:ilvl w:val="0"/>
          <w:numId w:val="18"/>
        </w:numPr>
        <w:spacing w:after="80"/>
      </w:pPr>
      <w:r>
        <w:rPr>
          <w:rFonts w:ascii="Arial" w:cs="Arial" w:eastAsia="Arial" w:hAnsi="Arial"/>
          <w:sz w:val="22"/>
          <w:szCs w:val="22"/>
        </w:rPr>
        <w:t xml:space="preserve">Cultural fit: The card collecting community in Indonesia is concentrated in cities (Jakarta, Surabaya, Bandung, Yogyakarta) with strong local card shop ecosystems that CardVault can partner with.</w:t>
      </w:r>
    </w:p>
    <w:p>
      <w:pPr>
        <w:pStyle w:val="ListParagraph"/>
        <w:numPr>
          <w:ilvl w:val="0"/>
          <w:numId w:val="18"/>
        </w:numPr>
        <w:spacing w:after="80"/>
      </w:pPr>
      <w:r>
        <w:rPr>
          <w:rFonts w:ascii="Arial" w:cs="Arial" w:eastAsia="Arial" w:hAnsi="Arial"/>
          <w:sz w:val="22"/>
          <w:szCs w:val="22"/>
        </w:rPr>
        <w:t xml:space="preserve">Regulatory barrier: Operating escrow services in Indonesia requires understanding of OJK regulations and local banking partnerships. This creates a natural moat against foreign entrants.</w:t>
      </w:r>
    </w:p>
    <w:p>
      <w:pPr>
        <w:spacing w:after="80"/>
      </w:pPr>
    </w:p>
    <w:p>
      <w:pPr>
        <w:pStyle w:val="Heading2"/>
        <w:spacing w:after="160" w:before="300"/>
      </w:pPr>
      <w:r>
        <w:rPr>
          <w:rFonts w:ascii="Arial" w:cs="Arial" w:eastAsia="Arial" w:hAnsi="Arial"/>
          <w:b/>
          <w:bCs/>
          <w:color w:val="2563EB"/>
          <w:sz w:val="28"/>
          <w:szCs w:val="28"/>
        </w:rPr>
        <w:t xml:space="preserve">8.2 Defensibility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Moat Layer</w:t>
            </w:r>
          </w:p>
        </w:tc>
        <w:tc>
          <w:tcPr>
            <w:tcW w:type="dxa" w:w="41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3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Strength Over Time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 Data</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Every completed transaction adds pricing data unique to the Indonesian market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Compounds — no competitor can replicate years of Indonesian price history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Reputation</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Reviews, trust scores, and transaction history are non-portable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Strong lock-in — sellers won’t restart their reputation elsewhere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Buyer Trust in Escrow</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Each successful escrow resolution builds brand trust</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Network effect — word-of-mouth in tight collector communities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Local Partnerships</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shop hubs, grading concierge, events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Operational moat — requires physical presence competitors lack</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Regulatory Compliance</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OJK-compliant escrow operations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Legal barrier to entry for foreign platforms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Pricing Data</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Indonesian market-specific card valuations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Data moat — no global platform tracks IDR card prices</w:t>
            </w:r>
          </w:p>
        </w:tc>
      </w:tr>
    </w:tbl>
    <w:p>
      <w:r>
        <w:br w:type="page"/>
      </w:r>
    </w:p>
    <w:p>
      <w:pPr>
        <w:pStyle w:val="Heading1"/>
        <w:spacing w:after="200" w:before="400"/>
      </w:pPr>
      <w:r>
        <w:rPr>
          <w:rFonts w:ascii="Arial" w:cs="Arial" w:eastAsia="Arial" w:hAnsi="Arial"/>
          <w:b/>
          <w:bCs/>
          <w:color w:val="0F172A"/>
          <w:sz w:val="36"/>
          <w:szCs w:val="36"/>
        </w:rPr>
        <w:t xml:space="preserve">9. Founder’s 16-Week Execution Roadmap</w:t>
      </w:r>
    </w:p>
    <w:p>
      <w:pPr>
        <w:spacing w:after="120"/>
      </w:pPr>
      <w:r>
        <w:rPr>
          <w:rFonts w:ascii="Arial" w:cs="Arial" w:eastAsia="Arial" w:hAnsi="Arial"/>
          <w:b w:val="false"/>
          <w:bCs w:val="false"/>
          <w:i w:val="false"/>
          <w:iCs w:val="false"/>
          <w:color w:val="0F172A"/>
          <w:sz w:val="22"/>
          <w:szCs w:val="22"/>
        </w:rPr>
        <w:t xml:space="preserve">This roadmap prioritizes revenue-generating features over bug fixes. Every sprint should answer: does this get us closer to our first IDR 100M GMV month?</w:t>
      </w:r>
    </w:p>
    <w:p>
      <w:pPr>
        <w:spacing w:after="80"/>
      </w:pPr>
    </w:p>
    <w:p>
      <w:pPr>
        <w:pStyle w:val="Heading2"/>
        <w:spacing w:after="160" w:before="300"/>
      </w:pPr>
      <w:r>
        <w:rPr>
          <w:rFonts w:ascii="Arial" w:cs="Arial" w:eastAsia="Arial" w:hAnsi="Arial"/>
          <w:b/>
          <w:bCs/>
          <w:color w:val="2563EB"/>
          <w:sz w:val="28"/>
          <w:szCs w:val="28"/>
        </w:rPr>
        <w:t xml:space="preserve">Phase 1: Revenue Foundation (Weeks 1-4)</w:t>
      </w:r>
    </w:p>
    <w:p>
      <w:pPr>
        <w:spacing w:after="120"/>
      </w:pPr>
      <w:r>
        <w:rPr>
          <w:rFonts w:ascii="Arial" w:cs="Arial" w:eastAsia="Arial" w:hAnsi="Arial"/>
          <w:b/>
          <w:bCs/>
          <w:i w:val="false"/>
          <w:iCs w:val="false"/>
          <w:color w:val="0F172A"/>
          <w:sz w:val="22"/>
          <w:szCs w:val="22"/>
        </w:rPr>
        <w:t xml:space="preserve">Goal: Enable the first real, paid, escrow-protected transaction on CardVault.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server-side auth (httpOnly JWT cookies) + migrate all routes to Prisma</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Prerequisite for any real transaction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Complete Midtrans webhook integration: payment captured → escrow hold → status update</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Enables Indonesian payments (QRIS, GoPay, VA)</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Xendit Disbursement for automated seller payouts on escrow release</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Sellers get paid automatically — critical for seller trust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Image upload pipeline (Supabase Storage) with card photo compression and watermarking</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Listings with photos convert 5-10x better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PSA cert verification API integration: auto-verify + auto-populate card details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signal + reduced listing friction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Complete escrow state machine: payment_held → shipped (tracking #) → delivered → inspection → completed/disputed</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Full transaction lifecycle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Implement buyer/seller fee collection (5% buyer + 5% seller) in checkout flow</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FIRST REVENUE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Launch with 50 real seed listings from Indonesian collector community / card shops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Supply-side kickstart</w:t>
            </w:r>
          </w:p>
        </w:tc>
      </w:tr>
    </w:tbl>
    <w:p>
      <w:pPr>
        <w:spacing w:after="80"/>
      </w:pPr>
    </w:p>
    <w:p>
      <w:pPr>
        <w:pStyle w:val="Heading2"/>
        <w:spacing w:after="160" w:before="300"/>
      </w:pPr>
      <w:r>
        <w:rPr>
          <w:rFonts w:ascii="Arial" w:cs="Arial" w:eastAsia="Arial" w:hAnsi="Arial"/>
          <w:b/>
          <w:bCs/>
          <w:color w:val="2563EB"/>
          <w:sz w:val="28"/>
          <w:szCs w:val="28"/>
        </w:rPr>
        <w:t xml:space="preserve">Phase 2: Marketplace Engine (Weeks 5-8)</w:t>
      </w:r>
    </w:p>
    <w:p>
      <w:pPr>
        <w:spacing w:after="120"/>
      </w:pPr>
      <w:r>
        <w:rPr>
          <w:rFonts w:ascii="Arial" w:cs="Arial" w:eastAsia="Arial" w:hAnsi="Arial"/>
          <w:b/>
          <w:bCs/>
          <w:i w:val="false"/>
          <w:iCs w:val="false"/>
          <w:color w:val="0F172A"/>
          <w:sz w:val="22"/>
          <w:szCs w:val="22"/>
        </w:rPr>
        <w:t xml:space="preserve">Goal: Build the features that drive GMV growth and repeat transactions.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Offer/counter-offer system with cash, trade, and cash+trade modes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Increases transaction types and average order value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Review/rating system: post-transaction reviews, trust score calculation, seller badges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drives conversion; reviews are permanent retention moat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Real-time messaging (Supabase Realtime): buyer-seller chat tied to transactions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Messaging drives 30%+ higher conversion in P2P marketplaces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Notification system: push notifications for offers, payments, shipping, disputes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Re-engagement; reduces abandoned transactions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CardHedger pricing integration: market value display on listings + suggested pricing for sellers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Informed pricing reduces overpricing; builds buyer confidence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Dispute resolution workflow: buyer opens dispute → evidence upload → admin reviews → resolution</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Escrow protection is meaningless without dispute resolution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JNE/J&amp;T/SiCepat tracking API integration: auto-detect delivery → trigger inspection countdown</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Automates escrow flow; reduces manual admin intervention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Indonesian shipping label generation + escrow-tracked shipping</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Seamless seller experience</w:t>
            </w:r>
          </w:p>
        </w:tc>
      </w:tr>
    </w:tbl>
    <w:p>
      <w:pPr>
        <w:spacing w:after="80"/>
      </w:pPr>
    </w:p>
    <w:p>
      <w:pPr>
        <w:pStyle w:val="Heading2"/>
        <w:spacing w:after="160" w:before="300"/>
      </w:pPr>
      <w:r>
        <w:rPr>
          <w:rFonts w:ascii="Arial" w:cs="Arial" w:eastAsia="Arial" w:hAnsi="Arial"/>
          <w:b/>
          <w:bCs/>
          <w:color w:val="2563EB"/>
          <w:sz w:val="28"/>
          <w:szCs w:val="28"/>
        </w:rPr>
        <w:t xml:space="preserve">Phase 3: Monetization &amp; Engagement (Weeks 9-12)</w:t>
      </w:r>
    </w:p>
    <w:p>
      <w:pPr>
        <w:spacing w:after="120"/>
      </w:pPr>
      <w:r>
        <w:rPr>
          <w:rFonts w:ascii="Arial" w:cs="Arial" w:eastAsia="Arial" w:hAnsi="Arial"/>
          <w:b/>
          <w:bCs/>
          <w:i w:val="false"/>
          <w:iCs w:val="false"/>
          <w:color w:val="0F172A"/>
          <w:sz w:val="22"/>
          <w:szCs w:val="22"/>
        </w:rPr>
        <w:t xml:space="preserve">Goal: Activate all revenue streams and build retention mechanics.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 Seller subscriptions: tiered plans with analytics, batch listing, lower commissions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MRR: IDR 15-50M/month at scale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Promoted Listings: pay-to-boost visibility in search and category pages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 revenue: IDR 5-50M/month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CardVault Coins rewards system: earn for transactions, reviews, referrals; redeem for fee discounts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Retention: 22% boost in repeat transactions (industry benchmark)</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tier system: Bronze → Silver → Gold → Platinum with commission discounts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loyalty and volume incentive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Collection management: "My Vault" with portfolio valuation, price alerts, and want lists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Engagement: daily usage even without transacting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Admin analytics dashboard: revenue charts, GMV tracking, user cohorts, gateway health</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Operational intelligence for scaling decisions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Meilisearch integration: fast, typo-tolerant card search across all listings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Search → discovery → conversion improvement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Email notification system (Resend): transaction receipts, shipping alerts, price drop alerts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Re-engagement channel; professional brand perception</w:t>
            </w:r>
          </w:p>
        </w:tc>
      </w:tr>
    </w:tbl>
    <w:p>
      <w:pPr>
        <w:spacing w:after="80"/>
      </w:pPr>
    </w:p>
    <w:p>
      <w:pPr>
        <w:pStyle w:val="Heading2"/>
        <w:spacing w:after="160" w:before="300"/>
      </w:pPr>
      <w:r>
        <w:rPr>
          <w:rFonts w:ascii="Arial" w:cs="Arial" w:eastAsia="Arial" w:hAnsi="Arial"/>
          <w:b/>
          <w:bCs/>
          <w:color w:val="2563EB"/>
          <w:sz w:val="28"/>
          <w:szCs w:val="28"/>
        </w:rPr>
        <w:t xml:space="preserve">Phase 4: Platform Expansion (Weeks 13-16)</w:t>
      </w:r>
    </w:p>
    <w:p>
      <w:pPr>
        <w:spacing w:after="120"/>
      </w:pPr>
      <w:r>
        <w:rPr>
          <w:rFonts w:ascii="Arial" w:cs="Arial" w:eastAsia="Arial" w:hAnsi="Arial"/>
          <w:b/>
          <w:bCs/>
          <w:i w:val="false"/>
          <w:iCs w:val="false"/>
          <w:color w:val="0F172A"/>
          <w:sz w:val="22"/>
          <w:szCs w:val="22"/>
        </w:rPr>
        <w:t xml:space="preserve">Goal: Expand the platform towards ecosystem value and defensible moats.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5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Grading concierge MVP: collect raw cards from users, submit to PSA in bulk, return/list graded cards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15-20% markup on grading fees; high-margin service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13</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 Ladder / 130point data integration for premium analytics and historical pricing</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Premium feature upsell; data moat building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Local card shop partnership program: CardVault Hubs for consignment drop-off and QR wallet spending</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O2O loop; physical presence moat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14</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E2E testing suite (Playwright): full transaction flows, payment webhooks, dispute resolution</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Reduces bugs → increases trust → protects revenue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Security audit: penetration testing on auth, payment, escrow, and admin endpoints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Prerequisite for scaling; protects user funds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PWA optimization: service worker, push notifications, offline collection viewing, app install banner</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Mobile experience parity with native apps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Open beta: remove gate for approved users. Launch marketing campaign targeting Indonesian card communities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GROWTH MODE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16</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CardVault Pay API concept: extract escrow engine as an embeddable service for other Indonesian C2C platforms</w:t>
            </w:r>
          </w:p>
        </w:tc>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Future fintech platform play</w:t>
            </w:r>
          </w:p>
        </w:tc>
      </w:tr>
    </w:tbl>
    <w:p>
      <w:r>
        <w:br w:type="page"/>
      </w:r>
    </w:p>
    <w:p>
      <w:pPr>
        <w:pStyle w:val="Heading1"/>
        <w:spacing w:after="200" w:before="400"/>
      </w:pPr>
      <w:r>
        <w:rPr>
          <w:rFonts w:ascii="Arial" w:cs="Arial" w:eastAsia="Arial" w:hAnsi="Arial"/>
          <w:b/>
          <w:bCs/>
          <w:color w:val="0F172A"/>
          <w:sz w:val="36"/>
          <w:szCs w:val="36"/>
        </w:rPr>
        <w:t xml:space="preserve">10.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3160"/>
      </w:tblGrid>
      <w:tr>
        <w:tc>
          <w:tcPr>
            <w:tcW w:type="dxa" w:w="2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Target (Month 1)</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Target (Month 6)</w:t>
            </w:r>
          </w:p>
        </w:tc>
        <w:tc>
          <w:tcPr>
            <w:tcW w:type="dxa" w:w="1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Target (Month 12)</w:t>
            </w:r>
          </w:p>
        </w:tc>
        <w:tc>
          <w:tcPr>
            <w:tcW w:type="dxa" w:w="31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Monthly GMV</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500M ($30K)</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5B ($300K)</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20B ($1.2M)</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Primary indicator of marketplace health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Monthly Active Users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5,000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25,000</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Demand-side liquidity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Active Listings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200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2,000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10,000</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Supply-side liquidity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Take Rate (Blended)</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Revenue efficiency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Transaction Completion Rate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85%</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Escrow + UX quality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Average Order Value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500K ($30)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750K ($45)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IDR 1M ($60)</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GMV efficiency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Seller NPS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60</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Supply-side satisfaction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Dispute Rate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&lt;5%</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&lt;3%</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&lt;2%</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Trust signal; lower = better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Month-over-Month Retention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40%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60%</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75%</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Benchmark: Whatnot hit 80%</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Time to First Transaction (new user)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7 days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3 days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1 day</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val="false"/>
                <w:bCs w:val="false"/>
                <w:color w:val="0F172A"/>
                <w:sz w:val="20"/>
                <w:szCs w:val="20"/>
              </w:rPr>
              <w:t xml:space="preserve">Onboarding efficiency</w:t>
            </w:r>
          </w:p>
        </w:tc>
      </w:tr>
    </w:tbl>
    <w:p>
      <w:r>
        <w:br w:type="page"/>
      </w:r>
    </w:p>
    <w:p>
      <w:pPr>
        <w:pStyle w:val="Heading1"/>
        <w:spacing w:after="200" w:before="400"/>
      </w:pPr>
      <w:r>
        <w:rPr>
          <w:rFonts w:ascii="Arial" w:cs="Arial" w:eastAsia="Arial" w:hAnsi="Arial"/>
          <w:b/>
          <w:bCs/>
          <w:color w:val="0F172A"/>
          <w:sz w:val="36"/>
          <w:szCs w:val="36"/>
        </w:rPr>
        <w:t xml:space="preserve">11. Conclusion</w:t>
      </w:r>
    </w:p>
    <w:p>
      <w:pPr>
        <w:spacing w:after="120"/>
      </w:pPr>
      <w:r>
        <w:rPr>
          <w:rFonts w:ascii="Arial" w:cs="Arial" w:eastAsia="Arial" w:hAnsi="Arial"/>
          <w:b w:val="false"/>
          <w:bCs w:val="false"/>
          <w:i w:val="false"/>
          <w:iCs w:val="false"/>
          <w:color w:val="0F172A"/>
          <w:sz w:val="22"/>
          <w:szCs w:val="22"/>
        </w:rPr>
        <w:t xml:space="preserve">CardVault is positioned at the intersection of three powerful trends: the rapid growth of trading card collecting in Southeast Asia, the explosion of mobile-first marketplace commerce, and Indonesia’s unique fintech infrastructure. No competitor currently serves this specific intersection.</w:t>
      </w:r>
    </w:p>
    <w:p>
      <w:pPr>
        <w:spacing w:after="80"/>
      </w:pPr>
    </w:p>
    <w:p>
      <w:pPr>
        <w:spacing w:after="120"/>
      </w:pPr>
      <w:r>
        <w:rPr>
          <w:rFonts w:ascii="Arial" w:cs="Arial" w:eastAsia="Arial" w:hAnsi="Arial"/>
          <w:b w:val="false"/>
          <w:bCs w:val="false"/>
          <w:i w:val="false"/>
          <w:iCs w:val="false"/>
          <w:color w:val="0F172A"/>
          <w:sz w:val="22"/>
          <w:szCs w:val="22"/>
        </w:rPr>
        <w:t xml:space="preserve">The strategic priorities, ranked by impact on the business:</w:t>
      </w:r>
    </w:p>
    <w:p>
      <w:pPr>
        <w:spacing w:after="80"/>
      </w:pPr>
    </w:p>
    <w:p>
      <w:pPr>
        <w:pStyle w:val="ListParagraph"/>
        <w:numPr>
          <w:ilvl w:val="0"/>
          <w:numId w:val="19"/>
        </w:numPr>
        <w:spacing w:after="80"/>
      </w:pPr>
      <w:r>
        <w:rPr>
          <w:rFonts w:ascii="Arial" w:cs="Arial" w:eastAsia="Arial" w:hAnsi="Arial"/>
          <w:sz w:val="22"/>
          <w:szCs w:val="22"/>
        </w:rPr>
        <w:t xml:space="preserve">Enable real transactions: Server-side auth + Midtrans webhooks + Xendit disbursement + complete escrow flow. This is the single most important milestone — nothing else matters until money flows through CardVault.</w:t>
      </w:r>
    </w:p>
    <w:p>
      <w:pPr>
        <w:pStyle w:val="ListParagraph"/>
        <w:numPr>
          <w:ilvl w:val="0"/>
          <w:numId w:val="19"/>
        </w:numPr>
        <w:spacing w:after="80"/>
      </w:pPr>
      <w:r>
        <w:rPr>
          <w:rFonts w:ascii="Arial" w:cs="Arial" w:eastAsia="Arial" w:hAnsi="Arial"/>
          <w:sz w:val="22"/>
          <w:szCs w:val="22"/>
        </w:rPr>
        <w:t xml:space="preserve">Integrate pricing data: PSA cert verification (free), then CardHedger pricing API. Data-informed pricing is what separates a marketplace from a classifieds board.</w:t>
      </w:r>
    </w:p>
    <w:p>
      <w:pPr>
        <w:pStyle w:val="ListParagraph"/>
        <w:numPr>
          <w:ilvl w:val="0"/>
          <w:numId w:val="19"/>
        </w:numPr>
        <w:spacing w:after="80"/>
      </w:pPr>
      <w:r>
        <w:rPr>
          <w:rFonts w:ascii="Arial" w:cs="Arial" w:eastAsia="Arial" w:hAnsi="Arial"/>
          <w:sz w:val="22"/>
          <w:szCs w:val="22"/>
        </w:rPr>
        <w:t xml:space="preserve">Activate all revenue streams: Buyer + seller fees, Pro subscriptions, promoted listings. Don’t leave money on the table — CardVault’s 3% buyer-only fee is significantly below the 10-13% industry standard.</w:t>
      </w:r>
    </w:p>
    <w:p>
      <w:pPr>
        <w:pStyle w:val="ListParagraph"/>
        <w:numPr>
          <w:ilvl w:val="0"/>
          <w:numId w:val="19"/>
        </w:numPr>
        <w:spacing w:after="80"/>
      </w:pPr>
      <w:r>
        <w:rPr>
          <w:rFonts w:ascii="Arial" w:cs="Arial" w:eastAsia="Arial" w:hAnsi="Arial"/>
          <w:sz w:val="22"/>
          <w:szCs w:val="22"/>
        </w:rPr>
        <w:t xml:space="preserve">Build the engagement loop: CardVault Coins, seller tiers, collection management, price alerts. Whatnot’s 80% M/M retention proves that engagement features drive marketplace velocity.</w:t>
      </w:r>
    </w:p>
    <w:p>
      <w:pPr>
        <w:pStyle w:val="ListParagraph"/>
        <w:numPr>
          <w:ilvl w:val="0"/>
          <w:numId w:val="19"/>
        </w:numPr>
        <w:spacing w:after="80"/>
      </w:pPr>
      <w:r>
        <w:rPr>
          <w:rFonts w:ascii="Arial" w:cs="Arial" w:eastAsia="Arial" w:hAnsi="Arial"/>
          <w:sz w:val="22"/>
          <w:szCs w:val="22"/>
        </w:rPr>
        <w:t xml:space="preserve">Establish local partnerships: Card shops as hubs, grading concierge, event presence. These physical touchpoints create a moat no foreign competitor can easily replicate.</w:t>
      </w:r>
    </w:p>
    <w:p>
      <w:pPr>
        <w:pStyle w:val="ListParagraph"/>
        <w:numPr>
          <w:ilvl w:val="0"/>
          <w:numId w:val="19"/>
        </w:numPr>
        <w:spacing w:after="80"/>
      </w:pPr>
      <w:r>
        <w:rPr>
          <w:rFonts w:ascii="Arial" w:cs="Arial" w:eastAsia="Arial" w:hAnsi="Arial"/>
          <w:sz w:val="22"/>
          <w:szCs w:val="22"/>
        </w:rPr>
        <w:t xml:space="preserve">Plan for platform expansion: CardVault Pay (escrow-as-a-service) is the long game that transforms a card marketplace into a fintech infrastructure company.</w:t>
      </w:r>
    </w:p>
    <w:p>
      <w:pPr>
        <w:spacing w:after="80"/>
      </w:pPr>
    </w:p>
    <w:p>
      <w:pPr>
        <w:spacing w:after="120"/>
      </w:pPr>
      <w:r>
        <w:rPr>
          <w:rFonts w:ascii="Arial" w:cs="Arial" w:eastAsia="Arial" w:hAnsi="Arial"/>
          <w:b w:val="false"/>
          <w:bCs w:val="false"/>
          <w:i w:val="false"/>
          <w:iCs w:val="false"/>
          <w:color w:val="0F172A"/>
          <w:sz w:val="22"/>
          <w:szCs w:val="22"/>
        </w:rPr>
        <w:t xml:space="preserve">The 16-week roadmap in this document takes CardVault from a populated beta to a revenue-generating, data-rich, community-driven marketplace. The market window is open — execution speed is everything.</w:t>
      </w:r>
    </w:p>
    <w:p>
      <w:pPr>
        <w:spacing w:after="80"/>
      </w:pPr>
    </w:p>
    <w:p>
      <w:pPr>
        <w:spacing w:after="80"/>
      </w:pPr>
    </w:p>
    <w:p>
      <w:pPr>
        <w:pBdr>
          <w:top w:val="single" w:color="2563EB" w:sz="2"/>
        </w:pBdr>
        <w:spacing w:before="400"/>
      </w:pPr>
    </w:p>
    <w:p>
      <w:pPr>
        <w:spacing w:after="120"/>
      </w:pPr>
      <w:r>
        <w:rPr>
          <w:rFonts w:ascii="Arial" w:cs="Arial" w:eastAsia="Arial" w:hAnsi="Arial"/>
          <w:b w:val="false"/>
          <w:bCs w:val="false"/>
          <w:i/>
          <w:iCs/>
          <w:color w:val="64748B"/>
          <w:sz w:val="22"/>
          <w:szCs w:val="22"/>
        </w:rPr>
        <w:t xml:space="preserve">Sources: Whatnot (Sacra, PYMNTS, Fortune, BoF), ALT (TechCrunch, Trinity Capital), Collectors/PSA/Goldin (SCD, Congress letter), Fanatics Collect (fanaticsinc.com), Card Ladder (cardladder.com, SI.com), 130point (130point.com, Diversinet), CardHedger (cardhedger.com), Loupe (VentureBeat, Crunchbase), Drip (dripshop.live), COMC (blog.comc.com), VeriSwap (veriswap.com), StockX (stockx.com), PSA API (psacard.com/publicapi), SGC (gosgc.com), SportsCardsPro (sportscardspro.com), Statista, GM Insights, Mordor Intelligence, Custom Market Insights.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Arial" w:cs="Arial" w:eastAsia="Arial" w:hAnsi="Arial"/>
        <w:i/>
        <w:iCs/>
        <w:color w:val="64748B"/>
        <w:sz w:val="18"/>
        <w:szCs w:val="18"/>
      </w:rPr>
      <w:t xml:space="preserve">CardVault — Founder’s Strategy Report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62"/>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2026-04-01T07:52:23.364Z</dcterms:created>
  <dcterms:modified xsi:type="dcterms:W3CDTF">2026-04-01T07:52:23.364Z</dcterms:modified>
</cp:coreProperties>
</file>

<file path=docProps/custom.xml><?xml version="1.0" encoding="utf-8"?>
<Properties xmlns="http://schemas.openxmlformats.org/officeDocument/2006/custom-properties" xmlns:vt="http://schemas.openxmlformats.org/officeDocument/2006/docPropsVTypes"/>
</file>