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E327B" w14:textId="38E10373" w:rsidR="002E32AB" w:rsidRDefault="002E32AB" w:rsidP="002E32AB">
      <w:pPr>
        <w:pStyle w:val="Heading1"/>
        <w:rPr>
          <w:lang w:val="en-US"/>
        </w:rPr>
      </w:pPr>
      <w:r w:rsidRPr="002E32AB">
        <w:rPr>
          <w:lang w:val="en-US"/>
        </w:rPr>
        <w:t>A.</w:t>
      </w:r>
      <w:r>
        <w:rPr>
          <w:lang w:val="en-US"/>
        </w:rPr>
        <w:t xml:space="preserve"> Object Information</w:t>
      </w:r>
    </w:p>
    <w:tbl>
      <w:tblPr>
        <w:tblStyle w:val="TableGrid"/>
        <w:tblW w:w="0" w:type="auto"/>
        <w:tblLook w:val="04A0" w:firstRow="1" w:lastRow="0" w:firstColumn="1" w:lastColumn="0" w:noHBand="0" w:noVBand="1"/>
      </w:tblPr>
      <w:tblGrid>
        <w:gridCol w:w="4508"/>
        <w:gridCol w:w="4508"/>
      </w:tblGrid>
      <w:tr w:rsidR="002E32AB" w14:paraId="30AF2083" w14:textId="77777777" w:rsidTr="002E32AB">
        <w:tc>
          <w:tcPr>
            <w:tcW w:w="4508" w:type="dxa"/>
          </w:tcPr>
          <w:p w14:paraId="7BEA791D" w14:textId="0810D182" w:rsidR="002E32AB" w:rsidRDefault="002E32AB" w:rsidP="002E32AB">
            <w:pPr>
              <w:rPr>
                <w:lang w:val="en-US"/>
              </w:rPr>
            </w:pPr>
            <w:r>
              <w:rPr>
                <w:lang w:val="en-US"/>
              </w:rPr>
              <w:t>Object Id</w:t>
            </w:r>
          </w:p>
        </w:tc>
        <w:tc>
          <w:tcPr>
            <w:tcW w:w="4508" w:type="dxa"/>
          </w:tcPr>
          <w:p w14:paraId="6D354BF0" w14:textId="3E8C6C7F" w:rsidR="002E32AB" w:rsidRDefault="002E32AB" w:rsidP="002E32AB">
            <w:pPr>
              <w:rPr>
                <w:lang w:val="en-US"/>
              </w:rPr>
            </w:pPr>
            <w:r>
              <w:rPr>
                <w:lang w:val="en-US"/>
              </w:rPr>
              <w:t>123456</w:t>
            </w:r>
          </w:p>
        </w:tc>
      </w:tr>
      <w:tr w:rsidR="002E32AB" w14:paraId="5BBE5A3C" w14:textId="77777777" w:rsidTr="002E32AB">
        <w:tc>
          <w:tcPr>
            <w:tcW w:w="4508" w:type="dxa"/>
          </w:tcPr>
          <w:p w14:paraId="497F11D6" w14:textId="20818739" w:rsidR="002E32AB" w:rsidRDefault="002E32AB" w:rsidP="002E32AB">
            <w:pPr>
              <w:rPr>
                <w:lang w:val="en-US"/>
              </w:rPr>
            </w:pPr>
            <w:r>
              <w:rPr>
                <w:lang w:val="en-US"/>
              </w:rPr>
              <w:t>Object Name</w:t>
            </w:r>
          </w:p>
        </w:tc>
        <w:tc>
          <w:tcPr>
            <w:tcW w:w="4508" w:type="dxa"/>
          </w:tcPr>
          <w:p w14:paraId="2ADC2D30" w14:textId="0955CFF4" w:rsidR="002E32AB" w:rsidRDefault="002E32AB" w:rsidP="002E32AB">
            <w:pPr>
              <w:rPr>
                <w:lang w:val="en-US"/>
              </w:rPr>
            </w:pPr>
            <w:r>
              <w:rPr>
                <w:lang w:val="en-US"/>
              </w:rPr>
              <w:t>XYZ</w:t>
            </w:r>
          </w:p>
        </w:tc>
      </w:tr>
      <w:tr w:rsidR="002E32AB" w14:paraId="1FCFADD2" w14:textId="77777777" w:rsidTr="002E32AB">
        <w:tc>
          <w:tcPr>
            <w:tcW w:w="4508" w:type="dxa"/>
          </w:tcPr>
          <w:p w14:paraId="30989ACC" w14:textId="1459D277" w:rsidR="002E32AB" w:rsidRDefault="002E32AB" w:rsidP="002E32AB">
            <w:pPr>
              <w:rPr>
                <w:lang w:val="en-US"/>
              </w:rPr>
            </w:pPr>
            <w:r>
              <w:rPr>
                <w:lang w:val="en-US"/>
              </w:rPr>
              <w:t>Object Developer</w:t>
            </w:r>
          </w:p>
        </w:tc>
        <w:tc>
          <w:tcPr>
            <w:tcW w:w="4508" w:type="dxa"/>
          </w:tcPr>
          <w:p w14:paraId="69774645" w14:textId="3F1EB61B" w:rsidR="002E32AB" w:rsidRDefault="002E32AB" w:rsidP="002E32AB">
            <w:pPr>
              <w:rPr>
                <w:lang w:val="en-US"/>
              </w:rPr>
            </w:pPr>
            <w:r>
              <w:rPr>
                <w:lang w:val="en-US"/>
              </w:rPr>
              <w:t>Akash</w:t>
            </w:r>
          </w:p>
        </w:tc>
      </w:tr>
      <w:tr w:rsidR="002E32AB" w14:paraId="536091F3" w14:textId="77777777" w:rsidTr="002E32AB">
        <w:tc>
          <w:tcPr>
            <w:tcW w:w="4508" w:type="dxa"/>
          </w:tcPr>
          <w:p w14:paraId="79BC3BAE" w14:textId="4DDFF605" w:rsidR="002E32AB" w:rsidRDefault="002E32AB" w:rsidP="002E32AB">
            <w:pPr>
              <w:rPr>
                <w:lang w:val="en-US"/>
              </w:rPr>
            </w:pPr>
            <w:r>
              <w:rPr>
                <w:lang w:val="en-US"/>
              </w:rPr>
              <w:t>Object Reviewer</w:t>
            </w:r>
          </w:p>
        </w:tc>
        <w:tc>
          <w:tcPr>
            <w:tcW w:w="4508" w:type="dxa"/>
          </w:tcPr>
          <w:p w14:paraId="454A6DBC" w14:textId="0E6967DF" w:rsidR="002E32AB" w:rsidRDefault="002E32AB" w:rsidP="002E32AB">
            <w:pPr>
              <w:rPr>
                <w:lang w:val="en-US"/>
              </w:rPr>
            </w:pPr>
            <w:r>
              <w:rPr>
                <w:lang w:val="en-US"/>
              </w:rPr>
              <w:t>Akash</w:t>
            </w:r>
          </w:p>
        </w:tc>
      </w:tr>
    </w:tbl>
    <w:p w14:paraId="59B74A25" w14:textId="77777777" w:rsidR="002E32AB" w:rsidRDefault="002E32AB" w:rsidP="002E32AB">
      <w:pPr>
        <w:rPr>
          <w:lang w:val="en-US"/>
        </w:rPr>
      </w:pPr>
    </w:p>
    <w:p w14:paraId="2B08BD58" w14:textId="59A7E252" w:rsidR="002E32AB" w:rsidRDefault="002E32AB" w:rsidP="002E32AB">
      <w:pPr>
        <w:pStyle w:val="Heading2"/>
        <w:rPr>
          <w:lang w:val="en-US"/>
        </w:rPr>
      </w:pPr>
      <w:r>
        <w:rPr>
          <w:lang w:val="en-US"/>
        </w:rPr>
        <w:t>Instructions</w:t>
      </w:r>
    </w:p>
    <w:p w14:paraId="0EA7E279" w14:textId="66CAA6D7" w:rsidR="002E32AB" w:rsidRDefault="002E32AB" w:rsidP="002E32AB">
      <w:pPr>
        <w:pStyle w:val="ListParagraph"/>
        <w:numPr>
          <w:ilvl w:val="0"/>
          <w:numId w:val="2"/>
        </w:numPr>
        <w:rPr>
          <w:lang w:val="en-US"/>
        </w:rPr>
      </w:pPr>
      <w:r>
        <w:rPr>
          <w:lang w:val="en-US"/>
        </w:rPr>
        <w:t>This is a sample ODD-ORR template for testing.</w:t>
      </w:r>
    </w:p>
    <w:p w14:paraId="5A8F0CBE" w14:textId="250CDDCB" w:rsidR="002E32AB" w:rsidRDefault="002E32AB" w:rsidP="002E32AB">
      <w:pPr>
        <w:pStyle w:val="ListParagraph"/>
        <w:numPr>
          <w:ilvl w:val="0"/>
          <w:numId w:val="2"/>
        </w:numPr>
        <w:rPr>
          <w:lang w:val="en-US"/>
        </w:rPr>
      </w:pPr>
      <w:r>
        <w:rPr>
          <w:lang w:val="en-US"/>
        </w:rPr>
        <w:t>This is created for testing purpose.</w:t>
      </w:r>
    </w:p>
    <w:p w14:paraId="35EF01CE" w14:textId="0CA9B073" w:rsidR="002E32AB" w:rsidRPr="002E32AB" w:rsidRDefault="002E32AB" w:rsidP="002E32AB">
      <w:pPr>
        <w:pStyle w:val="ListParagraph"/>
        <w:numPr>
          <w:ilvl w:val="0"/>
          <w:numId w:val="2"/>
        </w:numPr>
        <w:rPr>
          <w:lang w:val="en-US"/>
        </w:rPr>
      </w:pPr>
      <w:r>
        <w:rPr>
          <w:lang w:val="en-US"/>
        </w:rPr>
        <w:t xml:space="preserve">The template is similar to the non-tabular version of the </w:t>
      </w:r>
      <w:proofErr w:type="spellStart"/>
      <w:r>
        <w:rPr>
          <w:lang w:val="en-US"/>
        </w:rPr>
        <w:t>GenAI</w:t>
      </w:r>
      <w:proofErr w:type="spellEnd"/>
      <w:r>
        <w:rPr>
          <w:lang w:val="en-US"/>
        </w:rPr>
        <w:t xml:space="preserve"> ODD-ORR.</w:t>
      </w:r>
    </w:p>
    <w:p w14:paraId="19349C28" w14:textId="0783D5C2" w:rsidR="002E32AB" w:rsidRDefault="002E32AB" w:rsidP="002E32AB">
      <w:pPr>
        <w:pStyle w:val="Heading2"/>
        <w:rPr>
          <w:lang w:val="en-US"/>
        </w:rPr>
      </w:pPr>
      <w:r>
        <w:rPr>
          <w:lang w:val="en-US"/>
        </w:rPr>
        <w:t>Disclosure</w:t>
      </w:r>
    </w:p>
    <w:p w14:paraId="54E5F337" w14:textId="0082A966" w:rsidR="002E32AB" w:rsidRDefault="002E32AB" w:rsidP="002E32AB">
      <w:pPr>
        <w:rPr>
          <w:lang w:val="en-US"/>
        </w:rPr>
      </w:pPr>
      <w:r w:rsidRPr="002E32AB">
        <w:rPr>
          <w:lang w:val="en-US"/>
        </w:rPr>
        <w:t>CONFIDENTIALITY &amp; MODEL RISK MANAGEMENT DISCLOSURE STATEMENT: The information contained in this document is strictly proprietary, legally privileged, and intended solely for internal risk assessment, governance, and validation purposes by authorized institutional bodies. Certain architectural components of this system leverage pre-trained foundational technologies and API infrastructure provided by external third-party vendors; due to the proprietary nature and inherent black-box characteristics of these base models, detailed training methodologies, weights, and data subsets remain undisclosed. This system is classified strictly as an assistive, non-model tool designed to enhance internal productivity under a mandatory 100% human-in-the-loop operational constraint, meaning all generated outputs must be manually reviewed by an internal operator before any downstream reliance or implementation. Performance data, stability thresholds, and safety guardrail metrics (including hallucination and toxicity negative testing) reflect specific empirical development and User Acceptance Testing (UAT) conditions verified by Subject Matter Experts (SMEs); actual operational results remain subject to data drift, third-party updates, and ongoing monitoring compliance. Unauthorized review, duplication, or distribution of this document, in whole or in part, without explicit written authorization from the designated Sponsor or Model Risk Management body is strictly prohibited, and continued access constitutes formal agreement to these operational boundaries and disclosure conditions.</w:t>
      </w:r>
    </w:p>
    <w:p w14:paraId="0FB37439" w14:textId="01C1A111" w:rsidR="002E32AB" w:rsidRDefault="002E32AB" w:rsidP="002E32AB">
      <w:pPr>
        <w:pStyle w:val="Heading2"/>
        <w:rPr>
          <w:lang w:val="en-US"/>
        </w:rPr>
      </w:pPr>
      <w:r>
        <w:rPr>
          <w:lang w:val="en-US"/>
        </w:rPr>
        <w:t>Information Checklist</w:t>
      </w:r>
    </w:p>
    <w:tbl>
      <w:tblPr>
        <w:tblStyle w:val="TableGrid"/>
        <w:tblW w:w="0" w:type="auto"/>
        <w:tblLook w:val="04A0" w:firstRow="1" w:lastRow="0" w:firstColumn="1" w:lastColumn="0" w:noHBand="0" w:noVBand="1"/>
      </w:tblPr>
      <w:tblGrid>
        <w:gridCol w:w="3005"/>
        <w:gridCol w:w="3005"/>
        <w:gridCol w:w="3006"/>
      </w:tblGrid>
      <w:tr w:rsidR="002E32AB" w14:paraId="0E8DA9FC" w14:textId="77777777" w:rsidTr="002E32AB">
        <w:tc>
          <w:tcPr>
            <w:tcW w:w="3005" w:type="dxa"/>
          </w:tcPr>
          <w:p w14:paraId="19CBBACF" w14:textId="651917CD" w:rsidR="002E32AB" w:rsidRDefault="002E32AB" w:rsidP="002E32AB">
            <w:pPr>
              <w:rPr>
                <w:lang w:val="en-US"/>
              </w:rPr>
            </w:pPr>
            <w:r>
              <w:rPr>
                <w:lang w:val="en-US"/>
              </w:rPr>
              <w:t>This</w:t>
            </w:r>
          </w:p>
        </w:tc>
        <w:tc>
          <w:tcPr>
            <w:tcW w:w="3005" w:type="dxa"/>
          </w:tcPr>
          <w:p w14:paraId="37CA5AEF" w14:textId="12DF5218" w:rsidR="002E32AB" w:rsidRDefault="002E32AB" w:rsidP="002E32AB">
            <w:pPr>
              <w:rPr>
                <w:lang w:val="en-US"/>
              </w:rPr>
            </w:pPr>
            <w:r>
              <w:rPr>
                <w:lang w:val="en-US"/>
              </w:rPr>
              <w:t>Is</w:t>
            </w:r>
          </w:p>
        </w:tc>
        <w:tc>
          <w:tcPr>
            <w:tcW w:w="3006" w:type="dxa"/>
          </w:tcPr>
          <w:p w14:paraId="690F6474" w14:textId="16D4A8CE" w:rsidR="002E32AB" w:rsidRDefault="002E32AB" w:rsidP="002E32AB">
            <w:pPr>
              <w:rPr>
                <w:lang w:val="en-US"/>
              </w:rPr>
            </w:pPr>
            <w:r>
              <w:rPr>
                <w:lang w:val="en-US"/>
              </w:rPr>
              <w:t>A</w:t>
            </w:r>
          </w:p>
        </w:tc>
      </w:tr>
      <w:tr w:rsidR="002E32AB" w14:paraId="77B8C4A7" w14:textId="77777777" w:rsidTr="002E32AB">
        <w:tc>
          <w:tcPr>
            <w:tcW w:w="3005" w:type="dxa"/>
          </w:tcPr>
          <w:p w14:paraId="6BBED4FA" w14:textId="0A47D0D5" w:rsidR="002E32AB" w:rsidRDefault="002E32AB" w:rsidP="002E32AB">
            <w:pPr>
              <w:rPr>
                <w:lang w:val="en-US"/>
              </w:rPr>
            </w:pPr>
            <w:r>
              <w:rPr>
                <w:lang w:val="en-US"/>
              </w:rPr>
              <w:t>Dummy</w:t>
            </w:r>
          </w:p>
        </w:tc>
        <w:tc>
          <w:tcPr>
            <w:tcW w:w="3005" w:type="dxa"/>
          </w:tcPr>
          <w:p w14:paraId="12FD7003" w14:textId="524B561F" w:rsidR="002E32AB" w:rsidRDefault="002E32AB" w:rsidP="002E32AB">
            <w:pPr>
              <w:rPr>
                <w:lang w:val="en-US"/>
              </w:rPr>
            </w:pPr>
            <w:r>
              <w:rPr>
                <w:lang w:val="en-US"/>
              </w:rPr>
              <w:t>Table</w:t>
            </w:r>
          </w:p>
        </w:tc>
        <w:tc>
          <w:tcPr>
            <w:tcW w:w="3006" w:type="dxa"/>
          </w:tcPr>
          <w:p w14:paraId="1FBED9DD" w14:textId="2F33BF93" w:rsidR="002E32AB" w:rsidRDefault="002E32AB" w:rsidP="002E32AB">
            <w:pPr>
              <w:rPr>
                <w:lang w:val="en-US"/>
              </w:rPr>
            </w:pPr>
            <w:r>
              <w:rPr>
                <w:lang w:val="en-US"/>
              </w:rPr>
              <w:t>.</w:t>
            </w:r>
          </w:p>
        </w:tc>
      </w:tr>
    </w:tbl>
    <w:p w14:paraId="24C91D0C" w14:textId="77777777" w:rsidR="002E32AB" w:rsidRPr="002E32AB" w:rsidRDefault="002E32AB" w:rsidP="002E32AB">
      <w:pPr>
        <w:rPr>
          <w:lang w:val="en-US"/>
        </w:rPr>
      </w:pPr>
    </w:p>
    <w:p w14:paraId="73F598EA" w14:textId="6C2051F2" w:rsidR="002E32AB" w:rsidRDefault="002E32AB" w:rsidP="002E32AB">
      <w:pPr>
        <w:pStyle w:val="Heading1"/>
        <w:rPr>
          <w:lang w:val="en-US"/>
        </w:rPr>
      </w:pPr>
      <w:r>
        <w:rPr>
          <w:lang w:val="en-US"/>
        </w:rPr>
        <w:lastRenderedPageBreak/>
        <w:t>B. Summary – Review Outcome (to be completed by Object Reviewer)</w:t>
      </w:r>
    </w:p>
    <w:p w14:paraId="79AC3B21" w14:textId="165E982D" w:rsidR="002E32AB" w:rsidRDefault="002E32AB" w:rsidP="002E32AB">
      <w:pPr>
        <w:pStyle w:val="Heading2"/>
        <w:rPr>
          <w:lang w:val="en-US"/>
        </w:rPr>
      </w:pPr>
      <w:r>
        <w:rPr>
          <w:lang w:val="en-US"/>
        </w:rPr>
        <w:t>Object Approval Status</w:t>
      </w:r>
    </w:p>
    <w:p w14:paraId="25AA70DB" w14:textId="0604A8AE" w:rsidR="002E32AB" w:rsidRDefault="009924ED" w:rsidP="002E32AB">
      <w:pPr>
        <w:rPr>
          <w:lang w:val="en-US"/>
        </w:rPr>
      </w:pPr>
      <w:r>
        <w:rPr>
          <w:lang w:val="en-US"/>
        </w:rPr>
        <w:t>[</w:t>
      </w:r>
      <w:r w:rsidR="002E32AB">
        <w:rPr>
          <w:lang w:val="en-US"/>
        </w:rPr>
        <w:t>Checkboxes</w:t>
      </w:r>
      <w:r>
        <w:rPr>
          <w:lang w:val="en-US"/>
        </w:rPr>
        <w:t>]</w:t>
      </w:r>
    </w:p>
    <w:p w14:paraId="7F8D6A67" w14:textId="63F3C7D6" w:rsidR="002E32AB" w:rsidRDefault="002E32AB" w:rsidP="002E32AB">
      <w:pPr>
        <w:pStyle w:val="Heading2"/>
        <w:rPr>
          <w:lang w:val="en-US"/>
        </w:rPr>
      </w:pPr>
      <w:r>
        <w:rPr>
          <w:lang w:val="en-US"/>
        </w:rPr>
        <w:t>Object Risk Rating</w:t>
      </w:r>
    </w:p>
    <w:p w14:paraId="177CCC32" w14:textId="61AE6AE6" w:rsidR="002E32AB" w:rsidRDefault="009924ED" w:rsidP="002E32AB">
      <w:pPr>
        <w:rPr>
          <w:lang w:val="en-US"/>
        </w:rPr>
      </w:pPr>
      <w:r>
        <w:rPr>
          <w:lang w:val="en-US"/>
        </w:rPr>
        <w:t>[</w:t>
      </w:r>
      <w:r w:rsidR="002E32AB">
        <w:rPr>
          <w:lang w:val="en-US"/>
        </w:rPr>
        <w:t>Checkboxes</w:t>
      </w:r>
      <w:r>
        <w:rPr>
          <w:lang w:val="en-US"/>
        </w:rPr>
        <w:t>]</w:t>
      </w:r>
    </w:p>
    <w:p w14:paraId="280B9A58" w14:textId="6D3DEB3C" w:rsidR="002E32AB" w:rsidRDefault="002E32AB" w:rsidP="002E32AB">
      <w:pPr>
        <w:rPr>
          <w:lang w:val="en-US"/>
        </w:rPr>
      </w:pPr>
      <w:r>
        <w:rPr>
          <w:lang w:val="en-US"/>
        </w:rPr>
        <w:t xml:space="preserve">[Detailed risk rating </w:t>
      </w:r>
      <w:r w:rsidR="009924ED">
        <w:rPr>
          <w:lang w:val="en-US"/>
        </w:rPr>
        <w:t>in a table]</w:t>
      </w:r>
    </w:p>
    <w:p w14:paraId="0522CE9D" w14:textId="15393878" w:rsidR="009924ED" w:rsidRDefault="009924ED" w:rsidP="009924ED">
      <w:pPr>
        <w:pStyle w:val="Heading2"/>
        <w:rPr>
          <w:lang w:val="en-US"/>
        </w:rPr>
      </w:pPr>
      <w:r>
        <w:rPr>
          <w:lang w:val="en-US"/>
        </w:rPr>
        <w:t>Summary of Review Outcome</w:t>
      </w:r>
    </w:p>
    <w:p w14:paraId="36093178" w14:textId="793B955A" w:rsidR="009924ED" w:rsidRDefault="009924ED" w:rsidP="009924ED">
      <w:pPr>
        <w:rPr>
          <w:lang w:val="en-US"/>
        </w:rPr>
      </w:pPr>
      <w:r>
        <w:rPr>
          <w:lang w:val="en-US"/>
        </w:rPr>
        <w:t>[Some instructions for reviewer on what to fill in this section]</w:t>
      </w:r>
    </w:p>
    <w:p>
      <w:r>
        <w:rPr>
          <w:b/>
        </w:rPr>
        <w:t xml:space="preserve">Summary - Review Outcome **Risk Rating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Risk Rating Component</w:t>
            </w:r>
          </w:p>
        </w:tc>
        <w:tc>
          <w:tcPr>
            <w:tcW w:type="dxa" w:w="2880"/>
          </w:tcPr>
          <w:p>
            <w:pPr>
              <w:spacing w:after="40" w:before="40"/>
            </w:pPr>
            <w:r>
              <w:rPr>
                <w:b/>
                <w:sz w:val="18"/>
              </w:rPr>
              <w:t>Rating (Please provide the numeric rating: Low = 0, Medium = 1, High =2)</w:t>
            </w:r>
          </w:p>
        </w:tc>
        <w:tc>
          <w:tcPr>
            <w:tcW w:type="dxa" w:w="2880"/>
          </w:tcPr>
          <w:p>
            <w:pPr>
              <w:spacing w:after="40" w:before="40"/>
            </w:pPr>
            <w:r>
              <w:rPr>
                <w:b/>
                <w:sz w:val="18"/>
              </w:rPr>
              <w:t>Rationale</w:t>
            </w:r>
          </w:p>
        </w:tc>
      </w:tr>
      <w:tr>
        <w:tc>
          <w:tcPr>
            <w:tcW w:type="dxa" w:w="2880"/>
          </w:tcPr>
          <w:p>
            <w:pPr>
              <w:spacing w:after="40" w:before="40"/>
            </w:pPr>
            <w:r>
              <w:rPr>
                <w:sz w:val="18"/>
              </w:rPr>
              <w:t>AI Technique</w:t>
            </w:r>
          </w:p>
        </w:tc>
        <w:tc>
          <w:tcPr>
            <w:tcW w:type="dxa" w:w="2880"/>
          </w:tcPr>
          <w:p>
            <w:pPr>
              <w:spacing w:after="40" w:before="40"/>
            </w:pPr>
            <w:r>
              <w:rPr>
                <w:sz w:val="18"/>
              </w:rPr>
              <w:t>1</w:t>
            </w:r>
          </w:p>
        </w:tc>
        <w:tc>
          <w:tcPr>
            <w:tcW w:type="dxa" w:w="2880"/>
          </w:tcPr>
          <w:p>
            <w:pPr>
              <w:spacing w:after="40" w:before="40"/>
            </w:pPr>
            <w:r>
              <w:rPr>
                <w:sz w:val="18"/>
              </w:rPr>
              <w:t>The GenAI Object leverages the pre-trained large language model "Gemini-2.5-flash" and embedding model "text-embedding-005" developed by reputable vendor- Google. The base model is used without further fine-tuning using Citi specific data. There's no additional complexity involved. Therefore, the risk rating for "AI Technique" component deems to be 'Medium'.</w:t>
            </w:r>
          </w:p>
        </w:tc>
      </w:tr>
      <w:tr>
        <w:tc>
          <w:tcPr>
            <w:tcW w:type="dxa" w:w="2880"/>
          </w:tcPr>
          <w:p>
            <w:pPr>
              <w:spacing w:after="40" w:before="40"/>
            </w:pPr>
            <w:r>
              <w:rPr>
                <w:sz w:val="18"/>
              </w:rPr>
              <w:t>Criticality of Use</w:t>
            </w:r>
          </w:p>
        </w:tc>
        <w:tc>
          <w:tcPr>
            <w:tcW w:type="dxa" w:w="2880"/>
          </w:tcPr>
          <w:p>
            <w:pPr>
              <w:spacing w:after="40" w:before="40"/>
            </w:pPr>
            <w:r>
              <w:rPr>
                <w:sz w:val="18"/>
              </w:rPr>
              <w:t>0</w:t>
            </w:r>
          </w:p>
        </w:tc>
        <w:tc>
          <w:tcPr>
            <w:tcW w:type="dxa" w:w="2880"/>
          </w:tcPr>
          <w:p>
            <w:pPr>
              <w:spacing w:after="40" w:before="40"/>
            </w:pPr>
            <w:r>
              <w:rPr>
                <w:sz w:val="18"/>
              </w:rPr>
              <w:t>The Object has low impact on the decision making as it only serves as an assistant tool to enhance developer productivity. The application is non-content generating and will be used in an assistive manner by internal non-customer facing users (~40,000 developers). The outputs are 100% manually reviewed by the user before any use. Therefore, the risk rating for "Criticality of Use" component deems to be 'Low'.</w:t>
            </w:r>
          </w:p>
        </w:tc>
      </w:tr>
      <w:tr>
        <w:tc>
          <w:tcPr>
            <w:tcW w:type="dxa" w:w="2880"/>
          </w:tcPr>
          <w:p>
            <w:pPr>
              <w:spacing w:after="40" w:before="40"/>
            </w:pPr>
            <w:r>
              <w:rPr>
                <w:sz w:val="18"/>
              </w:rPr>
              <w:t>Existing Issues</w:t>
            </w:r>
          </w:p>
        </w:tc>
        <w:tc>
          <w:tcPr>
            <w:tcW w:type="dxa" w:w="2880"/>
          </w:tcPr>
          <w:p>
            <w:pPr>
              <w:spacing w:after="40" w:before="40"/>
            </w:pPr>
            <w:r>
              <w:rPr>
                <w:sz w:val="18"/>
              </w:rPr>
              <w:t>2</w:t>
            </w:r>
          </w:p>
        </w:tc>
        <w:tc>
          <w:tcPr>
            <w:tcW w:type="dxa" w:w="2880"/>
          </w:tcPr>
          <w:p>
            <w:pPr>
              <w:spacing w:after="40" w:before="40"/>
            </w:pPr>
            <w:r>
              <w:rPr>
                <w:sz w:val="18"/>
              </w:rPr>
              <w:t>There is 1 High, 1 Medium, and 2 Low severity limitations being raised during this review. The presence of a High Severity Limitation elevates the risk rating for "Existing Issues" to "High".</w:t>
            </w:r>
          </w:p>
        </w:tc>
      </w:tr>
      <w:tr>
        <w:tc>
          <w:tcPr>
            <w:tcW w:type="dxa" w:w="2880"/>
          </w:tcPr>
          <w:p>
            <w:pPr>
              <w:spacing w:after="40" w:before="40"/>
            </w:pPr>
            <w:r>
              <w:rPr>
                <w:b/>
                <w:sz w:val="18"/>
              </w:rPr>
              <w:t>Total Risk Rating</w:t>
            </w:r>
          </w:p>
        </w:tc>
        <w:tc>
          <w:tcPr>
            <w:tcW w:type="dxa" w:w="2880"/>
          </w:tcPr>
          <w:p>
            <w:pPr>
              <w:spacing w:after="40" w:before="40"/>
            </w:pPr>
            <w:r>
              <w:rPr>
                <w:b/>
                <w:sz w:val="18"/>
              </w:rPr>
              <w:t>3</w:t>
            </w:r>
          </w:p>
        </w:tc>
        <w:tc>
          <w:tcPr>
            <w:tcW w:type="dxa" w:w="2880"/>
          </w:tcPr>
          <w:p>
            <w:pPr>
              <w:spacing w:after="40" w:before="40"/>
            </w:pPr>
            <w:r>
              <w:rPr>
                <w:sz w:val="18"/>
              </w:rPr>
              <w:t>Based on the Model Risk rating criteria outlined in Citi AI Non-model Risk Review Procedure and additional considerations outlined in Preliminary Risk Rating for GenAI use case, the Total Risk Rating of this Object is deemed as 'Medium'.</w:t>
            </w:r>
          </w:p>
        </w:tc>
      </w:tr>
    </w:tbl>
    <w:p>
      <w:r>
        <w:rPr>
          <w:b/>
        </w:rPr>
        <w:t>Summary of Review Outcome</w:t>
      </w:r>
      <w:r>
        <w:t xml:space="preserve"> The GenAI Object, “Release On Demand Assist” (Object ID 235939), is designed to enhance developer productivity by providing quick access to information within Release On Demand documentation. The Object is a chatbot that utilizes a Retrieval Augmented Generation (RAG) architecture, leveraging Google's Gemini-2.5-flash and text-embedding-005 models to answer natural language queries. It is intended for an estimated 40,000 internal Citi developers in an assistive capacity. All outputs are subject to 100% review by the developer, a control reinforced by UI warnings and the inclusion of citation links in every response. A contingency plan for vendor availability has been attested to by the Sponsor. Overall, "Release On Demand Assist" is well-suited for its intended purpose, with appropriate controls in place. Model Risk Management (MRM) conducted a thorough review of the Object Development Document (ODD), covering the Object's scope, purpose, use, specification, performance testing, implementation, and periodic monitoring plan. Based on the critical review, MRM concluded that the Object is fit for its intended use and approved it as a Static AI Non-Model Object, with 4 limitations concerning framework, documentation, performance, and implementation. Among the 4 limitations issued, 1 is High severity, 1 is Medium severity, and 2 have low severity. 3 of these limitations require the Sponsor/Developer to provide remediation actions to mitigate the identified risks. The detailed limitation summary and compensating controls table is attached below. The Object Risk Rating is deemed to be “Medium”, with “Medium” risk rating for AI Technique, “Low” risk rating for Criticality of Use, and “High” risk rating for Existing Issues.</w:t>
      </w:r>
    </w:p>
    <w:p>
      <w:pPr>
        <w:pBdr>
          <w:bottom w:val="single" w:sz="6" w:space="1" w:color="auto"/>
        </w:pBdr>
      </w:pPr>
    </w:p>
    <w:p>
      <w:r>
        <w:rPr>
          <w:b/>
        </w:rPr>
        <w:t xml:space="preserve">Limitations Identified Based on the review of the Object Development Documentation (ODD) for **ROD Assist (Object ID: 235939)**, the following limitations have been identified.</w:t>
      </w:r>
    </w:p>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pPr>
              <w:spacing w:after="40" w:before="40"/>
            </w:pPr>
          </w:p>
        </w:tc>
        <w:tc>
          <w:tcPr>
            <w:tcW w:type="dxa" w:w="4320"/>
          </w:tcPr>
          <w:p>
            <w:pPr>
              <w:spacing w:after="40" w:before="40"/>
            </w:pPr>
          </w:p>
        </w:tc>
      </w:tr>
      <w:tr>
        <w:tc>
          <w:tcPr>
            <w:tcW w:type="dxa" w:w="4320"/>
          </w:tcPr>
          <w:p>
            <w:pPr>
              <w:spacing w:after="40" w:before="40"/>
            </w:pPr>
            <w:r>
              <w:rPr>
                <w:b/>
                <w:sz w:val="18"/>
              </w:rPr>
              <w:t>Limitation ID</w:t>
            </w:r>
          </w:p>
        </w:tc>
        <w:tc>
          <w:tcPr>
            <w:tcW w:type="dxa" w:w="4320"/>
          </w:tcPr>
          <w:p>
            <w:pPr>
              <w:spacing w:after="40" w:before="40"/>
            </w:pPr>
          </w:p>
        </w:tc>
      </w:tr>
      <w:tr>
        <w:tc>
          <w:tcPr>
            <w:tcW w:type="dxa" w:w="4320"/>
          </w:tcPr>
          <w:p>
            <w:pPr>
              <w:spacing w:after="40" w:before="40"/>
            </w:pPr>
            <w:r>
              <w:rPr>
                <w:b/>
                <w:sz w:val="18"/>
              </w:rPr>
              <w:t>Limitation Type</w:t>
            </w:r>
          </w:p>
        </w:tc>
        <w:tc>
          <w:tcPr>
            <w:tcW w:type="dxa" w:w="4320"/>
          </w:tcPr>
          <w:p>
            <w:pPr>
              <w:spacing w:after="40" w:before="40"/>
            </w:pPr>
            <w:r>
              <w:rPr>
                <w:sz w:val="18"/>
              </w:rPr>
              <w:t>model assumptions and framework</w:t>
            </w:r>
          </w:p>
        </w:tc>
      </w:tr>
      <w:tr>
        <w:tc>
          <w:tcPr>
            <w:tcW w:type="dxa" w:w="4320"/>
          </w:tcPr>
          <w:p>
            <w:pPr>
              <w:spacing w:after="40" w:before="40"/>
            </w:pPr>
            <w:r>
              <w:rPr>
                <w:b/>
                <w:sz w:val="18"/>
              </w:rPr>
              <w:t>Limitation Source</w:t>
            </w:r>
          </w:p>
        </w:tc>
        <w:tc>
          <w:tcPr>
            <w:tcW w:type="dxa" w:w="4320"/>
          </w:tcPr>
          <w:p>
            <w:pPr>
              <w:spacing w:after="40" w:before="40"/>
            </w:pPr>
            <w:r>
              <w:rPr>
                <w:sz w:val="18"/>
              </w:rPr>
              <w:t>MRM - Validation</w:t>
            </w:r>
          </w:p>
        </w:tc>
      </w:tr>
      <w:tr>
        <w:tc>
          <w:tcPr>
            <w:tcW w:type="dxa" w:w="4320"/>
          </w:tcPr>
          <w:p>
            <w:pPr>
              <w:spacing w:after="40" w:before="40"/>
            </w:pPr>
            <w:r>
              <w:rPr>
                <w:b/>
                <w:sz w:val="18"/>
              </w:rPr>
              <w:t>Limitation Description</w:t>
            </w:r>
          </w:p>
        </w:tc>
        <w:tc>
          <w:tcPr>
            <w:tcW w:type="dxa" w:w="4320"/>
          </w:tcPr>
          <w:p>
            <w:pPr>
              <w:spacing w:after="40" w:before="40"/>
            </w:pPr>
            <w:r>
              <w:rPr>
                <w:sz w:val="18"/>
              </w:rPr>
              <w:t>This is a vendor object that utilizes a pre-trained large language model provided by Google. While it is known that the Google LLM is a transformer-based and pre-trained on a diverse and vast corpus, detailed information regarding the actual training data, methodology and algorithms used to develop it is not disclosed to Citi due to proprietary reasons and the model’s black box nature.</w:t>
            </w:r>
          </w:p>
        </w:tc>
      </w:tr>
      <w:tr>
        <w:tc>
          <w:tcPr>
            <w:tcW w:type="dxa" w:w="4320"/>
          </w:tcPr>
          <w:p>
            <w:pPr>
              <w:spacing w:after="40" w:before="40"/>
            </w:pPr>
            <w:r>
              <w:rPr>
                <w:b/>
                <w:sz w:val="18"/>
              </w:rPr>
              <w:t>Limitation Severity</w:t>
            </w:r>
          </w:p>
        </w:tc>
        <w:tc>
          <w:tcPr>
            <w:tcW w:type="dxa" w:w="4320"/>
          </w:tcPr>
          <w:p>
            <w:pPr>
              <w:spacing w:after="40" w:before="40"/>
            </w:pPr>
            <w:r>
              <w:rPr>
                <w:sz w:val="18"/>
              </w:rPr>
              <w:t>Low</w:t>
            </w:r>
          </w:p>
        </w:tc>
      </w:tr>
      <w:tr>
        <w:tc>
          <w:tcPr>
            <w:tcW w:type="dxa" w:w="4320"/>
          </w:tcPr>
          <w:p>
            <w:pPr>
              <w:spacing w:after="40" w:before="40"/>
            </w:pPr>
            <w:r>
              <w:rPr>
                <w:b/>
                <w:sz w:val="18"/>
              </w:rPr>
              <w:t>Severity Rationale</w:t>
            </w:r>
          </w:p>
        </w:tc>
        <w:tc>
          <w:tcPr>
            <w:tcW w:type="dxa" w:w="4320"/>
          </w:tcPr>
          <w:p>
            <w:pPr>
              <w:spacing w:after="40" w:before="40"/>
            </w:pPr>
            <w:r>
              <w:rPr>
                <w:sz w:val="18"/>
              </w:rPr>
              <w:t>Based on MRM’s review, the Object limitation severity is determined to be Low. When determining the limitation severity, MRM considered that even though there is limited information available about LLMs' development details, the Object is used in an assistive manner with human in the loop and aims to increase developer’s productivity and efficiency. Thus, missing details could result in low impact on AI-Non-Model Object output. No compensating control is required.</w:t>
            </w:r>
          </w:p>
        </w:tc>
      </w:tr>
      <w:tr>
        <w:tc>
          <w:tcPr>
            <w:tcW w:type="dxa" w:w="4320"/>
          </w:tcPr>
          <w:p>
            <w:pPr>
              <w:spacing w:after="40" w:before="40"/>
            </w:pPr>
            <w:r>
              <w:rPr>
                <w:b/>
                <w:sz w:val="18"/>
              </w:rPr>
              <w:t>Limitation Action (L.A.) Required? (Y/N)</w:t>
            </w:r>
          </w:p>
        </w:tc>
        <w:tc>
          <w:tcPr>
            <w:tcW w:type="dxa" w:w="4320"/>
          </w:tcPr>
          <w:p>
            <w:pPr>
              <w:spacing w:after="40" w:before="40"/>
            </w:pPr>
            <w:r>
              <w:rPr>
                <w:sz w:val="18"/>
              </w:rPr>
              <w:t>N</w:t>
            </w:r>
          </w:p>
        </w:tc>
      </w:tr>
      <w:tr>
        <w:tc>
          <w:tcPr>
            <w:tcW w:type="dxa" w:w="4320"/>
          </w:tcPr>
          <w:p>
            <w:pPr>
              <w:spacing w:after="40" w:before="40"/>
            </w:pPr>
            <w:r>
              <w:rPr>
                <w:b/>
                <w:sz w:val="18"/>
              </w:rPr>
              <w:t>L.A. ID</w:t>
            </w:r>
          </w:p>
        </w:tc>
        <w:tc>
          <w:tcPr>
            <w:tcW w:type="dxa" w:w="4320"/>
          </w:tcPr>
          <w:p>
            <w:pPr>
              <w:spacing w:after="40" w:before="40"/>
            </w:pPr>
          </w:p>
        </w:tc>
      </w:tr>
      <w:tr>
        <w:tc>
          <w:tcPr>
            <w:tcW w:type="dxa" w:w="4320"/>
          </w:tcPr>
          <w:p>
            <w:pPr>
              <w:spacing w:after="40" w:before="40"/>
            </w:pPr>
            <w:r>
              <w:rPr>
                <w:b/>
                <w:sz w:val="18"/>
              </w:rPr>
              <w:t>L. Type</w:t>
            </w:r>
          </w:p>
        </w:tc>
        <w:tc>
          <w:tcPr>
            <w:tcW w:type="dxa" w:w="4320"/>
          </w:tcPr>
          <w:p>
            <w:pPr>
              <w:spacing w:after="40" w:before="40"/>
            </w:pPr>
          </w:p>
        </w:tc>
      </w:tr>
      <w:tr>
        <w:tc>
          <w:tcPr>
            <w:tcW w:type="dxa" w:w="4320"/>
          </w:tcPr>
          <w:p>
            <w:pPr>
              <w:spacing w:after="40" w:before="40"/>
            </w:pPr>
            <w:r>
              <w:rPr>
                <w:b/>
                <w:sz w:val="18"/>
              </w:rPr>
              <w:t>L.A. Description</w:t>
            </w:r>
          </w:p>
        </w:tc>
        <w:tc>
          <w:tcPr>
            <w:tcW w:type="dxa" w:w="4320"/>
          </w:tcPr>
          <w:p>
            <w:pPr>
              <w:spacing w:after="40" w:before="40"/>
            </w:pPr>
          </w:p>
        </w:tc>
      </w:tr>
      <w:tr>
        <w:tc>
          <w:tcPr>
            <w:tcW w:type="dxa" w:w="4320"/>
          </w:tcPr>
          <w:p>
            <w:pPr>
              <w:spacing w:after="40" w:before="40"/>
            </w:pPr>
            <w:r>
              <w:rPr>
                <w:b/>
                <w:sz w:val="18"/>
              </w:rPr>
              <w:t>L.A. Rationale</w:t>
            </w:r>
          </w:p>
        </w:tc>
        <w:tc>
          <w:tcPr>
            <w:tcW w:type="dxa" w:w="4320"/>
          </w:tcPr>
          <w:p>
            <w:pPr>
              <w:spacing w:after="40" w:before="40"/>
            </w:pPr>
          </w:p>
        </w:tc>
      </w:tr>
      <w:tr>
        <w:tc>
          <w:tcPr>
            <w:tcW w:type="dxa" w:w="4320"/>
          </w:tcPr>
          <w:p>
            <w:pPr>
              <w:spacing w:after="40" w:before="40"/>
            </w:pPr>
            <w:r>
              <w:rPr>
                <w:b/>
                <w:sz w:val="18"/>
              </w:rPr>
              <w:t>L.A. Recurring? (Y/N)</w:t>
            </w:r>
          </w:p>
        </w:tc>
        <w:tc>
          <w:tcPr>
            <w:tcW w:type="dxa" w:w="4320"/>
          </w:tcPr>
          <w:p>
            <w:pPr>
              <w:spacing w:after="40" w:before="40"/>
            </w:pPr>
          </w:p>
        </w:tc>
      </w:tr>
      <w:tr>
        <w:tc>
          <w:tcPr>
            <w:tcW w:type="dxa" w:w="4320"/>
          </w:tcPr>
          <w:p>
            <w:pPr>
              <w:spacing w:after="40" w:before="40"/>
            </w:pPr>
            <w:r>
              <w:rPr>
                <w:b/>
                <w:sz w:val="18"/>
              </w:rPr>
              <w:t>Remediation Action Description</w:t>
            </w:r>
          </w:p>
        </w:tc>
        <w:tc>
          <w:tcPr>
            <w:tcW w:type="dxa" w:w="4320"/>
          </w:tcPr>
          <w:p>
            <w:pPr>
              <w:spacing w:after="40" w:before="40"/>
            </w:pPr>
          </w:p>
        </w:tc>
      </w:tr>
      <w:tr>
        <w:tc>
          <w:tcPr>
            <w:tcW w:type="dxa" w:w="4320"/>
          </w:tcPr>
          <w:p>
            <w:pPr>
              <w:spacing w:after="40" w:before="40"/>
            </w:pPr>
            <w:r>
              <w:rPr>
                <w:b/>
                <w:sz w:val="18"/>
              </w:rPr>
              <w:t>Sponsor Submission Due Date</w:t>
            </w:r>
          </w:p>
        </w:tc>
        <w:tc>
          <w:tcPr>
            <w:tcW w:type="dxa" w:w="4320"/>
          </w:tcPr>
          <w:p>
            <w:pPr>
              <w:spacing w:after="40" w:before="40"/>
            </w:pP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pPr>
              <w:spacing w:after="40" w:before="40"/>
            </w:pPr>
          </w:p>
        </w:tc>
        <w:tc>
          <w:tcPr>
            <w:tcW w:type="dxa" w:w="4320"/>
          </w:tcPr>
          <w:p>
            <w:pPr>
              <w:spacing w:after="40" w:before="40"/>
            </w:pPr>
          </w:p>
        </w:tc>
      </w:tr>
      <w:tr>
        <w:tc>
          <w:tcPr>
            <w:tcW w:type="dxa" w:w="4320"/>
          </w:tcPr>
          <w:p>
            <w:pPr>
              <w:spacing w:after="40" w:before="40"/>
            </w:pPr>
            <w:r>
              <w:rPr>
                <w:b/>
                <w:sz w:val="18"/>
              </w:rPr>
              <w:t>Limitation ID</w:t>
            </w:r>
          </w:p>
        </w:tc>
        <w:tc>
          <w:tcPr>
            <w:tcW w:type="dxa" w:w="4320"/>
          </w:tcPr>
          <w:p>
            <w:pPr>
              <w:spacing w:after="40" w:before="40"/>
            </w:pPr>
          </w:p>
        </w:tc>
      </w:tr>
      <w:tr>
        <w:tc>
          <w:tcPr>
            <w:tcW w:type="dxa" w:w="4320"/>
          </w:tcPr>
          <w:p>
            <w:pPr>
              <w:spacing w:after="40" w:before="40"/>
            </w:pPr>
            <w:r>
              <w:rPr>
                <w:b/>
                <w:sz w:val="18"/>
              </w:rPr>
              <w:t>Limitation Type</w:t>
            </w:r>
          </w:p>
        </w:tc>
        <w:tc>
          <w:tcPr>
            <w:tcW w:type="dxa" w:w="4320"/>
          </w:tcPr>
          <w:p>
            <w:pPr>
              <w:spacing w:after="40" w:before="40"/>
            </w:pPr>
            <w:r>
              <w:rPr>
                <w:sz w:val="18"/>
              </w:rPr>
              <w:t>documentation</w:t>
            </w:r>
          </w:p>
        </w:tc>
      </w:tr>
      <w:tr>
        <w:tc>
          <w:tcPr>
            <w:tcW w:type="dxa" w:w="4320"/>
          </w:tcPr>
          <w:p>
            <w:pPr>
              <w:spacing w:after="40" w:before="40"/>
            </w:pPr>
            <w:r>
              <w:rPr>
                <w:b/>
                <w:sz w:val="18"/>
              </w:rPr>
              <w:t>Limitation Source</w:t>
            </w:r>
          </w:p>
        </w:tc>
        <w:tc>
          <w:tcPr>
            <w:tcW w:type="dxa" w:w="4320"/>
          </w:tcPr>
          <w:p>
            <w:pPr>
              <w:spacing w:after="40" w:before="40"/>
            </w:pPr>
            <w:r>
              <w:rPr>
                <w:sz w:val="18"/>
              </w:rPr>
              <w:t>MRM - Validation</w:t>
            </w:r>
          </w:p>
        </w:tc>
      </w:tr>
      <w:tr>
        <w:tc>
          <w:tcPr>
            <w:tcW w:type="dxa" w:w="4320"/>
          </w:tcPr>
          <w:p>
            <w:pPr>
              <w:spacing w:after="40" w:before="40"/>
            </w:pPr>
            <w:r>
              <w:rPr>
                <w:b/>
                <w:sz w:val="18"/>
              </w:rPr>
              <w:t>Limitation Description</w:t>
            </w:r>
          </w:p>
        </w:tc>
        <w:tc>
          <w:tcPr>
            <w:tcW w:type="dxa" w:w="4320"/>
          </w:tcPr>
          <w:p>
            <w:pPr>
              <w:spacing w:after="40" w:before="40"/>
            </w:pPr>
            <w:r>
              <w:rPr>
                <w:sz w:val="18"/>
              </w:rPr>
              <w:t>The ODD has multiple documentation gaps related to the vendor contingency plan, prompt text, and object interdependencies that should be addressed to ensure clarity and completeness.</w:t>
            </w:r>
          </w:p>
        </w:tc>
      </w:tr>
      <w:tr>
        <w:tc>
          <w:tcPr>
            <w:tcW w:type="dxa" w:w="4320"/>
          </w:tcPr>
          <w:p>
            <w:pPr>
              <w:spacing w:after="40" w:before="40"/>
            </w:pPr>
            <w:r>
              <w:rPr>
                <w:b/>
                <w:sz w:val="18"/>
              </w:rPr>
              <w:t>Limitation Severity</w:t>
            </w:r>
          </w:p>
        </w:tc>
        <w:tc>
          <w:tcPr>
            <w:tcW w:type="dxa" w:w="4320"/>
          </w:tcPr>
          <w:p>
            <w:pPr>
              <w:spacing w:after="40" w:before="40"/>
            </w:pPr>
            <w:r>
              <w:rPr>
                <w:sz w:val="18"/>
              </w:rPr>
              <w:t>Low</w:t>
            </w:r>
          </w:p>
        </w:tc>
      </w:tr>
      <w:tr>
        <w:tc>
          <w:tcPr>
            <w:tcW w:type="dxa" w:w="4320"/>
          </w:tcPr>
          <w:p>
            <w:pPr>
              <w:spacing w:after="40" w:before="40"/>
            </w:pPr>
            <w:r>
              <w:rPr>
                <w:b/>
                <w:sz w:val="18"/>
              </w:rPr>
              <w:t>Severity Rationale</w:t>
            </w:r>
          </w:p>
        </w:tc>
        <w:tc>
          <w:tcPr>
            <w:tcW w:type="dxa" w:w="4320"/>
          </w:tcPr>
          <w:p>
            <w:pPr>
              <w:spacing w:after="40" w:before="40"/>
            </w:pPr>
            <w:r>
              <w:rPr>
                <w:sz w:val="18"/>
              </w:rPr>
              <w:t>Based on MRM’s review, the Object limitation severity is determined to be Low. The core functionality of the object is well-documented, and the identified gaps do not pose a material risk to its operation. The identified issue has low impact on the object performance. Thus, the limitation severity is Low.</w:t>
            </w:r>
          </w:p>
        </w:tc>
      </w:tr>
      <w:tr>
        <w:tc>
          <w:tcPr>
            <w:tcW w:type="dxa" w:w="4320"/>
          </w:tcPr>
          <w:p>
            <w:pPr>
              <w:spacing w:after="40" w:before="40"/>
            </w:pPr>
            <w:r>
              <w:rPr>
                <w:b/>
                <w:sz w:val="18"/>
              </w:rPr>
              <w:t>Limitation Action (L.A.) Required? (Y/N)</w:t>
            </w:r>
          </w:p>
        </w:tc>
        <w:tc>
          <w:tcPr>
            <w:tcW w:type="dxa" w:w="4320"/>
          </w:tcPr>
          <w:p>
            <w:pPr>
              <w:spacing w:after="40" w:before="40"/>
            </w:pPr>
            <w:r>
              <w:rPr>
                <w:sz w:val="18"/>
              </w:rPr>
              <w:t>Y</w:t>
            </w:r>
          </w:p>
        </w:tc>
      </w:tr>
      <w:tr>
        <w:tc>
          <w:tcPr>
            <w:tcW w:type="dxa" w:w="4320"/>
          </w:tcPr>
          <w:p>
            <w:pPr>
              <w:spacing w:after="40" w:before="40"/>
            </w:pPr>
            <w:r>
              <w:rPr>
                <w:b/>
                <w:sz w:val="18"/>
              </w:rPr>
              <w:t>L.A. ID</w:t>
            </w:r>
          </w:p>
        </w:tc>
        <w:tc>
          <w:tcPr>
            <w:tcW w:type="dxa" w:w="4320"/>
          </w:tcPr>
          <w:p>
            <w:pPr>
              <w:spacing w:after="40" w:before="40"/>
            </w:pPr>
          </w:p>
        </w:tc>
      </w:tr>
      <w:tr>
        <w:tc>
          <w:tcPr>
            <w:tcW w:type="dxa" w:w="4320"/>
          </w:tcPr>
          <w:p>
            <w:pPr>
              <w:spacing w:after="40" w:before="40"/>
            </w:pPr>
            <w:r>
              <w:rPr>
                <w:b/>
                <w:sz w:val="18"/>
              </w:rPr>
              <w:t>L.A. Type</w:t>
            </w:r>
          </w:p>
        </w:tc>
        <w:tc>
          <w:tcPr>
            <w:tcW w:type="dxa" w:w="4320"/>
          </w:tcPr>
          <w:p>
            <w:pPr>
              <w:spacing w:after="40" w:before="40"/>
            </w:pPr>
            <w:r>
              <w:rPr>
                <w:sz w:val="18"/>
              </w:rPr>
              <w:t>Documentation Enhancement</w:t>
            </w:r>
          </w:p>
        </w:tc>
      </w:tr>
      <w:tr>
        <w:tc>
          <w:tcPr>
            <w:tcW w:type="dxa" w:w="4320"/>
          </w:tcPr>
          <w:p>
            <w:pPr>
              <w:spacing w:after="40" w:before="40"/>
            </w:pPr>
            <w:r>
              <w:rPr>
                <w:b/>
                <w:sz w:val="18"/>
              </w:rPr>
              <w:t>L.A. Description</w:t>
            </w:r>
          </w:p>
        </w:tc>
        <w:tc>
          <w:tcPr>
            <w:tcW w:type="dxa" w:w="4320"/>
          </w:tcPr>
          <w:p>
            <w:pPr>
              <w:spacing w:after="40" w:before="40"/>
            </w:pPr>
            <w:r>
              <w:rPr>
                <w:sz w:val="18"/>
              </w:rPr>
              <w:t>The sponsor is required to update the ODD to address all identified documentation gaps.</w:t>
            </w:r>
          </w:p>
        </w:tc>
      </w:tr>
      <w:tr>
        <w:tc>
          <w:tcPr>
            <w:tcW w:type="dxa" w:w="4320"/>
          </w:tcPr>
          <w:p>
            <w:pPr>
              <w:spacing w:after="40" w:before="40"/>
            </w:pPr>
            <w:r>
              <w:rPr>
                <w:b/>
                <w:sz w:val="18"/>
              </w:rPr>
              <w:t>L.A. Rationale</w:t>
            </w:r>
          </w:p>
        </w:tc>
        <w:tc>
          <w:tcPr>
            <w:tcW w:type="dxa" w:w="4320"/>
          </w:tcPr>
          <w:p>
            <w:pPr>
              <w:spacing w:after="40" w:before="40"/>
            </w:pPr>
            <w:r>
              <w:rPr>
                <w:sz w:val="18"/>
              </w:rPr>
              <w:t>Documentation clarity and completeness are essential to fully understand the object's specifications, dependencies, and operational risks.</w:t>
            </w:r>
          </w:p>
        </w:tc>
      </w:tr>
      <w:tr>
        <w:tc>
          <w:tcPr>
            <w:tcW w:type="dxa" w:w="4320"/>
          </w:tcPr>
          <w:p>
            <w:pPr>
              <w:spacing w:after="40" w:before="40"/>
            </w:pPr>
            <w:r>
              <w:rPr>
                <w:b/>
                <w:sz w:val="18"/>
              </w:rPr>
              <w:t>L.A. Recurring? (Y/N)</w:t>
            </w:r>
          </w:p>
        </w:tc>
        <w:tc>
          <w:tcPr>
            <w:tcW w:type="dxa" w:w="4320"/>
          </w:tcPr>
          <w:p>
            <w:pPr>
              <w:spacing w:after="40" w:before="40"/>
            </w:pPr>
            <w:r>
              <w:rPr>
                <w:sz w:val="18"/>
              </w:rPr>
              <w:t>N</w:t>
            </w:r>
          </w:p>
        </w:tc>
      </w:tr>
      <w:tr>
        <w:tc>
          <w:tcPr>
            <w:tcW w:type="dxa" w:w="4320"/>
          </w:tcPr>
          <w:p>
            <w:pPr>
              <w:spacing w:after="40" w:before="40"/>
            </w:pPr>
            <w:r>
              <w:rPr>
                <w:b/>
                <w:sz w:val="18"/>
              </w:rPr>
              <w:t>Remediation Action Description</w:t>
            </w:r>
          </w:p>
        </w:tc>
        <w:tc>
          <w:tcPr>
            <w:tcW w:type="dxa" w:w="4320"/>
          </w:tcPr>
          <w:p>
            <w:pPr>
              <w:spacing w:after="40" w:before="40"/>
            </w:pPr>
            <w:r>
              <w:rPr>
                <w:sz w:val="18"/>
              </w:rPr>
              <w:t>1. In ODD Section 1.0: Provide a detailed description of the contingency plan in case the vendor (Google) is no longer able to support the Object. This should include specific fallback procedures or alternative solutions.</w:t>
            </w:r>
          </w:p>
          <w:p>
            <w:pPr>
              <w:spacing w:after="40" w:before="40"/>
            </w:pPr>
            <w:r>
              <w:rPr>
                <w:sz w:val="18"/>
              </w:rPr>
              <w:t>2. In ODD Section 2.4.c: Include the full text of the final system prompt in the main body of the ODD for completeness.</w:t>
            </w:r>
          </w:p>
          <w:p>
            <w:pPr>
              <w:spacing w:after="40" w:before="40"/>
            </w:pPr>
            <w:r>
              <w:rPr>
                <w:sz w:val="18"/>
              </w:rPr>
              <w:t>3. In ODD Section 2.6: Accurately document the Object's interdependency with the R2D2 API gateway, including its official AI Non-model Object ID, and provide an assessment of the impact of any associated risks or open limitations.</w:t>
            </w:r>
          </w:p>
        </w:tc>
      </w:tr>
      <w:tr>
        <w:tc>
          <w:tcPr>
            <w:tcW w:type="dxa" w:w="4320"/>
          </w:tcPr>
          <w:p>
            <w:pPr>
              <w:spacing w:after="40" w:before="40"/>
            </w:pPr>
            <w:r>
              <w:rPr>
                <w:b/>
                <w:sz w:val="18"/>
              </w:rPr>
              <w:t>Sponsor Submission Due Date</w:t>
            </w:r>
          </w:p>
        </w:tc>
        <w:tc>
          <w:tcPr>
            <w:tcW w:type="dxa" w:w="4320"/>
          </w:tcPr>
          <w:p>
            <w:pPr>
              <w:spacing w:after="40" w:before="40"/>
            </w:pPr>
            <w:r>
              <w:rPr>
                <w:sz w:val="18"/>
              </w:rPr>
              <w:t>Apr 27, 2026</w:t>
            </w: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pPr>
              <w:spacing w:after="40" w:before="40"/>
            </w:pPr>
          </w:p>
        </w:tc>
        <w:tc>
          <w:tcPr>
            <w:tcW w:type="dxa" w:w="4320"/>
          </w:tcPr>
          <w:p>
            <w:pPr>
              <w:spacing w:after="40" w:before="40"/>
            </w:pPr>
          </w:p>
        </w:tc>
      </w:tr>
      <w:tr>
        <w:tc>
          <w:tcPr>
            <w:tcW w:type="dxa" w:w="4320"/>
          </w:tcPr>
          <w:p>
            <w:pPr>
              <w:spacing w:after="40" w:before="40"/>
            </w:pPr>
            <w:r>
              <w:rPr>
                <w:b/>
                <w:sz w:val="18"/>
              </w:rPr>
              <w:t>Limitation ID</w:t>
            </w:r>
          </w:p>
        </w:tc>
        <w:tc>
          <w:tcPr>
            <w:tcW w:type="dxa" w:w="4320"/>
          </w:tcPr>
          <w:p>
            <w:pPr>
              <w:spacing w:after="40" w:before="40"/>
            </w:pPr>
          </w:p>
        </w:tc>
      </w:tr>
      <w:tr>
        <w:tc>
          <w:tcPr>
            <w:tcW w:type="dxa" w:w="4320"/>
          </w:tcPr>
          <w:p>
            <w:pPr>
              <w:spacing w:after="40" w:before="40"/>
            </w:pPr>
            <w:r>
              <w:rPr>
                <w:b/>
                <w:sz w:val="18"/>
              </w:rPr>
              <w:t>Limitation Type</w:t>
            </w:r>
          </w:p>
        </w:tc>
        <w:tc>
          <w:tcPr>
            <w:tcW w:type="dxa" w:w="4320"/>
          </w:tcPr>
          <w:p>
            <w:pPr>
              <w:spacing w:after="40" w:before="40"/>
            </w:pPr>
            <w:r>
              <w:rPr>
                <w:sz w:val="18"/>
              </w:rPr>
              <w:t>model fit, back testing, and model performance</w:t>
            </w:r>
          </w:p>
        </w:tc>
      </w:tr>
      <w:tr>
        <w:tc>
          <w:tcPr>
            <w:tcW w:type="dxa" w:w="4320"/>
          </w:tcPr>
          <w:p>
            <w:pPr>
              <w:spacing w:after="40" w:before="40"/>
            </w:pPr>
            <w:r>
              <w:rPr>
                <w:b/>
                <w:sz w:val="18"/>
              </w:rPr>
              <w:t>Limitation Source</w:t>
            </w:r>
          </w:p>
        </w:tc>
        <w:tc>
          <w:tcPr>
            <w:tcW w:type="dxa" w:w="4320"/>
          </w:tcPr>
          <w:p>
            <w:pPr>
              <w:spacing w:after="40" w:before="40"/>
            </w:pPr>
            <w:r>
              <w:rPr>
                <w:sz w:val="18"/>
              </w:rPr>
              <w:t>MRM - Validation</w:t>
            </w:r>
          </w:p>
        </w:tc>
      </w:tr>
      <w:tr>
        <w:tc>
          <w:tcPr>
            <w:tcW w:type="dxa" w:w="4320"/>
          </w:tcPr>
          <w:p>
            <w:pPr>
              <w:spacing w:after="40" w:before="40"/>
            </w:pPr>
            <w:r>
              <w:rPr>
                <w:b/>
                <w:sz w:val="18"/>
              </w:rPr>
              <w:t>Limitation Description</w:t>
            </w:r>
          </w:p>
        </w:tc>
        <w:tc>
          <w:tcPr>
            <w:tcW w:type="dxa" w:w="4320"/>
          </w:tcPr>
          <w:p>
            <w:pPr>
              <w:spacing w:after="40" w:before="40"/>
            </w:pPr>
            <w:r>
              <w:rPr>
                <w:sz w:val="18"/>
              </w:rPr>
              <w:t>The ODD contains gaps in the analysis of performance testing results and the design of the ongoing performance assessment (OPA) plan.</w:t>
            </w:r>
          </w:p>
        </w:tc>
      </w:tr>
      <w:tr>
        <w:tc>
          <w:tcPr>
            <w:tcW w:type="dxa" w:w="4320"/>
          </w:tcPr>
          <w:p>
            <w:pPr>
              <w:spacing w:after="40" w:before="40"/>
            </w:pPr>
            <w:r>
              <w:rPr>
                <w:b/>
                <w:sz w:val="18"/>
              </w:rPr>
              <w:t>Limitation Severity</w:t>
            </w:r>
          </w:p>
        </w:tc>
        <w:tc>
          <w:tcPr>
            <w:tcW w:type="dxa" w:w="4320"/>
          </w:tcPr>
          <w:p>
            <w:pPr>
              <w:spacing w:after="40" w:before="40"/>
            </w:pPr>
            <w:r>
              <w:rPr>
                <w:sz w:val="18"/>
              </w:rPr>
              <w:t>Medium</w:t>
            </w:r>
          </w:p>
        </w:tc>
      </w:tr>
      <w:tr>
        <w:tc>
          <w:tcPr>
            <w:tcW w:type="dxa" w:w="4320"/>
          </w:tcPr>
          <w:p>
            <w:pPr>
              <w:spacing w:after="40" w:before="40"/>
            </w:pPr>
            <w:r>
              <w:rPr>
                <w:b/>
                <w:sz w:val="18"/>
              </w:rPr>
              <w:t>Severity Rationale</w:t>
            </w:r>
          </w:p>
        </w:tc>
        <w:tc>
          <w:tcPr>
            <w:tcW w:type="dxa" w:w="4320"/>
          </w:tcPr>
          <w:p>
            <w:pPr>
              <w:spacing w:after="40" w:before="40"/>
            </w:pPr>
            <w:r>
              <w:rPr>
                <w:sz w:val="18"/>
              </w:rPr>
              <w:t>Based on MRM’s review, the Object limitation severity is determined to be Medium. The lack of root-cause analysis for failures in safety-related test categories (hallucination, toxic) presents a moderate risk. The identified issue has moderate impact on the object performance. Thus, the limitation severity is Medium.</w:t>
            </w:r>
          </w:p>
        </w:tc>
      </w:tr>
      <w:tr>
        <w:tc>
          <w:tcPr>
            <w:tcW w:type="dxa" w:w="4320"/>
          </w:tcPr>
          <w:p>
            <w:pPr>
              <w:spacing w:after="40" w:before="40"/>
            </w:pPr>
            <w:r>
              <w:rPr>
                <w:b/>
                <w:sz w:val="18"/>
              </w:rPr>
              <w:t>Limitation Action (L.A.) Required? (Y/N)</w:t>
            </w:r>
          </w:p>
        </w:tc>
        <w:tc>
          <w:tcPr>
            <w:tcW w:type="dxa" w:w="4320"/>
          </w:tcPr>
          <w:p>
            <w:pPr>
              <w:spacing w:after="40" w:before="40"/>
            </w:pPr>
            <w:r>
              <w:rPr>
                <w:sz w:val="18"/>
              </w:rPr>
              <w:t>Y</w:t>
            </w:r>
          </w:p>
        </w:tc>
      </w:tr>
      <w:tr>
        <w:tc>
          <w:tcPr>
            <w:tcW w:type="dxa" w:w="4320"/>
          </w:tcPr>
          <w:p>
            <w:pPr>
              <w:spacing w:after="40" w:before="40"/>
            </w:pPr>
            <w:r>
              <w:rPr>
                <w:b/>
                <w:sz w:val="18"/>
              </w:rPr>
              <w:t>L.A. ID</w:t>
            </w:r>
          </w:p>
        </w:tc>
        <w:tc>
          <w:tcPr>
            <w:tcW w:type="dxa" w:w="4320"/>
          </w:tcPr>
          <w:p>
            <w:pPr>
              <w:spacing w:after="40" w:before="40"/>
            </w:pPr>
          </w:p>
        </w:tc>
      </w:tr>
      <w:tr>
        <w:tc>
          <w:tcPr>
            <w:tcW w:type="dxa" w:w="4320"/>
          </w:tcPr>
          <w:p>
            <w:pPr>
              <w:spacing w:after="40" w:before="40"/>
            </w:pPr>
            <w:r>
              <w:rPr>
                <w:b/>
                <w:sz w:val="18"/>
              </w:rPr>
              <w:t>L.A. Type</w:t>
            </w:r>
          </w:p>
        </w:tc>
        <w:tc>
          <w:tcPr>
            <w:tcW w:type="dxa" w:w="4320"/>
          </w:tcPr>
          <w:p>
            <w:pPr>
              <w:spacing w:after="40" w:before="40"/>
            </w:pPr>
            <w:r>
              <w:rPr>
                <w:sz w:val="18"/>
              </w:rPr>
              <w:t>Performance and Monitoring Enhancement</w:t>
            </w:r>
          </w:p>
        </w:tc>
      </w:tr>
      <w:tr>
        <w:tc>
          <w:tcPr>
            <w:tcW w:type="dxa" w:w="4320"/>
          </w:tcPr>
          <w:p>
            <w:pPr>
              <w:spacing w:after="40" w:before="40"/>
            </w:pPr>
            <w:r>
              <w:rPr>
                <w:b/>
                <w:sz w:val="18"/>
              </w:rPr>
              <w:t>L.A. Description</w:t>
            </w:r>
          </w:p>
        </w:tc>
        <w:tc>
          <w:tcPr>
            <w:tcW w:type="dxa" w:w="4320"/>
          </w:tcPr>
          <w:p>
            <w:pPr>
              <w:spacing w:after="40" w:before="40"/>
            </w:pPr>
            <w:r>
              <w:rPr>
                <w:sz w:val="18"/>
              </w:rPr>
              <w:t>The sponsor is required to provide additional analysis for performance testing failures and enhance the OPA plan to ensure robust monitoring.</w:t>
            </w:r>
          </w:p>
        </w:tc>
      </w:tr>
      <w:tr>
        <w:tc>
          <w:tcPr>
            <w:tcW w:type="dxa" w:w="4320"/>
          </w:tcPr>
          <w:p>
            <w:pPr>
              <w:spacing w:after="40" w:before="40"/>
            </w:pPr>
            <w:r>
              <w:rPr>
                <w:b/>
                <w:sz w:val="18"/>
              </w:rPr>
              <w:t>L.A. Rationale</w:t>
            </w:r>
          </w:p>
        </w:tc>
        <w:tc>
          <w:tcPr>
            <w:tcW w:type="dxa" w:w="4320"/>
          </w:tcPr>
          <w:p>
            <w:pPr>
              <w:spacing w:after="40" w:before="40"/>
            </w:pPr>
            <w:r>
              <w:rPr>
                <w:sz w:val="18"/>
              </w:rPr>
              <w:t>A thorough analysis of test failures is critical for understanding and mitigating object weaknesses, and a well-defined OPA plan is necessary to ensure long-term performance and reliability.</w:t>
            </w:r>
          </w:p>
        </w:tc>
      </w:tr>
      <w:tr>
        <w:tc>
          <w:tcPr>
            <w:tcW w:type="dxa" w:w="4320"/>
          </w:tcPr>
          <w:p>
            <w:pPr>
              <w:spacing w:after="40" w:before="40"/>
            </w:pPr>
            <w:r>
              <w:rPr>
                <w:b/>
                <w:sz w:val="18"/>
              </w:rPr>
              <w:t>L.A. Recurring? (Y/N)</w:t>
            </w:r>
          </w:p>
        </w:tc>
        <w:tc>
          <w:tcPr>
            <w:tcW w:type="dxa" w:w="4320"/>
          </w:tcPr>
          <w:p>
            <w:pPr>
              <w:spacing w:after="40" w:before="40"/>
            </w:pPr>
            <w:r>
              <w:rPr>
                <w:sz w:val="18"/>
              </w:rPr>
              <w:t>N</w:t>
            </w:r>
          </w:p>
        </w:tc>
      </w:tr>
      <w:tr>
        <w:tc>
          <w:tcPr>
            <w:tcW w:type="dxa" w:w="4320"/>
          </w:tcPr>
          <w:p>
            <w:pPr>
              <w:spacing w:after="40" w:before="40"/>
            </w:pPr>
            <w:r>
              <w:rPr>
                <w:b/>
                <w:sz w:val="18"/>
              </w:rPr>
              <w:t>Remediation Action Description</w:t>
            </w:r>
          </w:p>
        </w:tc>
        <w:tc>
          <w:tcPr>
            <w:tcW w:type="dxa" w:w="4320"/>
          </w:tcPr>
          <w:p>
            <w:pPr>
              <w:spacing w:after="40" w:before="40"/>
            </w:pPr>
            <w:r>
              <w:rPr>
                <w:sz w:val="18"/>
              </w:rPr>
              <w:t xml:space="preserve">1. Investigate and provide a detailed root-cause analysis for the performance threshold breaches observed in the </w:t>
            </w:r>
            <w:r>
              <w:rPr>
                <w:rFonts w:ascii="Courier New" w:hAnsi="Courier New"/>
                <w:sz w:val="18"/>
              </w:rPr>
              <w:t>hallucination</w:t>
            </w:r>
            <w:r>
              <w:rPr>
                <w:sz w:val="18"/>
              </w:rPr>
              <w:t xml:space="preserve"> (66.7% pass rate) and </w:t>
            </w:r>
            <w:r>
              <w:rPr>
                <w:rFonts w:ascii="Courier New" w:hAnsi="Courier New"/>
                <w:sz w:val="18"/>
              </w:rPr>
              <w:t>toxic</w:t>
            </w:r>
            <w:r>
              <w:rPr>
                <w:sz w:val="18"/>
              </w:rPr>
              <w:t xml:space="preserve"> (75.0% pass rate) negative test categories. Update the ODD with this analysis and any corresponding remediation plans to improve the Object's guardrails.</w:t>
            </w:r>
          </w:p>
          <w:p>
            <w:pPr>
              <w:spacing w:after="40" w:before="40"/>
            </w:pPr>
            <w:r>
              <w:rPr>
                <w:sz w:val="18"/>
              </w:rPr>
              <w:t>2. Update the periodic monitoring sampling plan in ODD Section 5.0 to include: a) a clear definition of the unit of sampling (e.g., query-response pair), b) specific coverage requirements to ensure the sample is representative, and c) a justification for the adequacy of the proposed sample size.</w:t>
            </w:r>
          </w:p>
          <w:p>
            <w:pPr>
              <w:spacing w:after="40" w:before="40"/>
            </w:pPr>
            <w:r>
              <w:rPr>
                <w:sz w:val="18"/>
              </w:rPr>
              <w:t>3. Update the OPA plan in ODD Section 5.0 to provide a documented methodology for deriving the inner and outer thresholds for all monitoring metrics. Revise the thresholds to serve as more effective and statistically sound indicators of performance degradation.</w:t>
            </w:r>
          </w:p>
        </w:tc>
      </w:tr>
      <w:tr>
        <w:tc>
          <w:tcPr>
            <w:tcW w:type="dxa" w:w="4320"/>
          </w:tcPr>
          <w:p>
            <w:pPr>
              <w:spacing w:after="40" w:before="40"/>
            </w:pPr>
            <w:r>
              <w:rPr>
                <w:b/>
                <w:sz w:val="18"/>
              </w:rPr>
              <w:t>Sponsor Submission Due Date</w:t>
            </w:r>
          </w:p>
        </w:tc>
        <w:tc>
          <w:tcPr>
            <w:tcW w:type="dxa" w:w="4320"/>
          </w:tcPr>
          <w:p>
            <w:pPr>
              <w:spacing w:after="40" w:before="40"/>
            </w:pPr>
            <w:r>
              <w:rPr>
                <w:sz w:val="18"/>
              </w:rPr>
              <w:t>May 11, 2026</w:t>
            </w: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pPr>
              <w:spacing w:after="40" w:before="40"/>
            </w:pPr>
          </w:p>
        </w:tc>
        <w:tc>
          <w:tcPr>
            <w:tcW w:type="dxa" w:w="4320"/>
          </w:tcPr>
          <w:p>
            <w:pPr>
              <w:spacing w:after="40" w:before="40"/>
            </w:pPr>
          </w:p>
        </w:tc>
      </w:tr>
      <w:tr>
        <w:tc>
          <w:tcPr>
            <w:tcW w:type="dxa" w:w="4320"/>
          </w:tcPr>
          <w:p>
            <w:pPr>
              <w:spacing w:after="40" w:before="40"/>
            </w:pPr>
            <w:r>
              <w:rPr>
                <w:b/>
                <w:sz w:val="18"/>
              </w:rPr>
              <w:t>Limitation ID</w:t>
            </w:r>
          </w:p>
        </w:tc>
        <w:tc>
          <w:tcPr>
            <w:tcW w:type="dxa" w:w="4320"/>
          </w:tcPr>
          <w:p>
            <w:pPr>
              <w:spacing w:after="40" w:before="40"/>
            </w:pPr>
          </w:p>
        </w:tc>
      </w:tr>
      <w:tr>
        <w:tc>
          <w:tcPr>
            <w:tcW w:type="dxa" w:w="4320"/>
          </w:tcPr>
          <w:p>
            <w:pPr>
              <w:spacing w:after="40" w:before="40"/>
            </w:pPr>
            <w:r>
              <w:rPr>
                <w:b/>
                <w:sz w:val="18"/>
              </w:rPr>
              <w:t>Limitation Type</w:t>
            </w:r>
          </w:p>
        </w:tc>
        <w:tc>
          <w:tcPr>
            <w:tcW w:type="dxa" w:w="4320"/>
          </w:tcPr>
          <w:p>
            <w:pPr>
              <w:spacing w:after="40" w:before="40"/>
            </w:pPr>
            <w:r>
              <w:rPr>
                <w:sz w:val="18"/>
              </w:rPr>
              <w:t>model algorithm, estimation and implementation</w:t>
            </w:r>
          </w:p>
        </w:tc>
      </w:tr>
      <w:tr>
        <w:tc>
          <w:tcPr>
            <w:tcW w:type="dxa" w:w="4320"/>
          </w:tcPr>
          <w:p>
            <w:pPr>
              <w:spacing w:after="40" w:before="40"/>
            </w:pPr>
            <w:r>
              <w:rPr>
                <w:b/>
                <w:sz w:val="18"/>
              </w:rPr>
              <w:t>Limitation Source</w:t>
            </w:r>
          </w:p>
        </w:tc>
        <w:tc>
          <w:tcPr>
            <w:tcW w:type="dxa" w:w="4320"/>
          </w:tcPr>
          <w:p>
            <w:pPr>
              <w:spacing w:after="40" w:before="40"/>
            </w:pPr>
            <w:r>
              <w:rPr>
                <w:sz w:val="18"/>
              </w:rPr>
              <w:t>MRM - Validation</w:t>
            </w:r>
          </w:p>
        </w:tc>
      </w:tr>
      <w:tr>
        <w:tc>
          <w:tcPr>
            <w:tcW w:type="dxa" w:w="4320"/>
          </w:tcPr>
          <w:p>
            <w:pPr>
              <w:spacing w:after="40" w:before="40"/>
            </w:pPr>
            <w:r>
              <w:rPr>
                <w:b/>
                <w:sz w:val="18"/>
              </w:rPr>
              <w:t>Limitation Description</w:t>
            </w:r>
          </w:p>
        </w:tc>
        <w:tc>
          <w:tcPr>
            <w:tcW w:type="dxa" w:w="4320"/>
          </w:tcPr>
          <w:p>
            <w:pPr>
              <w:spacing w:after="40" w:before="40"/>
            </w:pPr>
            <w:r>
              <w:rPr>
                <w:sz w:val="18"/>
              </w:rPr>
              <w:t>The formal implementation sign-off evidence provided in the ODD is in an embedded, unreadable format and cannot be verified by MRM.</w:t>
            </w:r>
          </w:p>
        </w:tc>
      </w:tr>
      <w:tr>
        <w:tc>
          <w:tcPr>
            <w:tcW w:type="dxa" w:w="4320"/>
          </w:tcPr>
          <w:p>
            <w:pPr>
              <w:spacing w:after="40" w:before="40"/>
            </w:pPr>
            <w:r>
              <w:rPr>
                <w:b/>
                <w:sz w:val="18"/>
              </w:rPr>
              <w:t>Limitation Severity</w:t>
            </w:r>
          </w:p>
        </w:tc>
        <w:tc>
          <w:tcPr>
            <w:tcW w:type="dxa" w:w="4320"/>
          </w:tcPr>
          <w:p>
            <w:pPr>
              <w:spacing w:after="40" w:before="40"/>
            </w:pPr>
            <w:r>
              <w:rPr>
                <w:sz w:val="18"/>
              </w:rPr>
              <w:t>High</w:t>
            </w:r>
          </w:p>
        </w:tc>
      </w:tr>
      <w:tr>
        <w:tc>
          <w:tcPr>
            <w:tcW w:type="dxa" w:w="4320"/>
          </w:tcPr>
          <w:p>
            <w:pPr>
              <w:spacing w:after="40" w:before="40"/>
            </w:pPr>
            <w:r>
              <w:rPr>
                <w:b/>
                <w:sz w:val="18"/>
              </w:rPr>
              <w:t>Severity Rationale</w:t>
            </w:r>
          </w:p>
        </w:tc>
        <w:tc>
          <w:tcPr>
            <w:tcW w:type="dxa" w:w="4320"/>
          </w:tcPr>
          <w:p>
            <w:pPr>
              <w:spacing w:after="40" w:before="40"/>
            </w:pPr>
            <w:r>
              <w:rPr>
                <w:sz w:val="18"/>
              </w:rPr>
              <w:t>Based on MRM’s review, the Object limitation severity is determined to be High. The lack of verifiable UAT sign-off means MRM cannot confirm that necessary production controls are in place and approved for deployment. The identified issue has high impact on the object performance. Thus, the limitation severity is High.</w:t>
            </w:r>
          </w:p>
        </w:tc>
      </w:tr>
      <w:tr>
        <w:tc>
          <w:tcPr>
            <w:tcW w:type="dxa" w:w="4320"/>
          </w:tcPr>
          <w:p>
            <w:pPr>
              <w:spacing w:after="40" w:before="40"/>
            </w:pPr>
            <w:r>
              <w:rPr>
                <w:b/>
                <w:sz w:val="18"/>
              </w:rPr>
              <w:t>Limitation Action (L.A.) Required? (Y/N)</w:t>
            </w:r>
          </w:p>
        </w:tc>
        <w:tc>
          <w:tcPr>
            <w:tcW w:type="dxa" w:w="4320"/>
          </w:tcPr>
          <w:p>
            <w:pPr>
              <w:spacing w:after="40" w:before="40"/>
            </w:pPr>
            <w:r>
              <w:rPr>
                <w:sz w:val="18"/>
              </w:rPr>
              <w:t>Y</w:t>
            </w:r>
          </w:p>
        </w:tc>
      </w:tr>
      <w:tr>
        <w:tc>
          <w:tcPr>
            <w:tcW w:type="dxa" w:w="4320"/>
          </w:tcPr>
          <w:p>
            <w:pPr>
              <w:spacing w:after="40" w:before="40"/>
            </w:pPr>
            <w:r>
              <w:rPr>
                <w:b/>
                <w:sz w:val="18"/>
              </w:rPr>
              <w:t>L.A. ID</w:t>
            </w:r>
          </w:p>
        </w:tc>
        <w:tc>
          <w:tcPr>
            <w:tcW w:type="dxa" w:w="4320"/>
          </w:tcPr>
          <w:p>
            <w:pPr>
              <w:spacing w:after="40" w:before="40"/>
            </w:pPr>
          </w:p>
        </w:tc>
      </w:tr>
      <w:tr>
        <w:tc>
          <w:tcPr>
            <w:tcW w:type="dxa" w:w="4320"/>
          </w:tcPr>
          <w:p>
            <w:pPr>
              <w:spacing w:after="40" w:before="40"/>
            </w:pPr>
            <w:r>
              <w:rPr>
                <w:b/>
                <w:sz w:val="18"/>
              </w:rPr>
              <w:t>L.A. Type</w:t>
            </w:r>
          </w:p>
        </w:tc>
        <w:tc>
          <w:tcPr>
            <w:tcW w:type="dxa" w:w="4320"/>
          </w:tcPr>
          <w:p>
            <w:pPr>
              <w:spacing w:after="40" w:before="40"/>
            </w:pPr>
            <w:r>
              <w:rPr>
                <w:sz w:val="18"/>
              </w:rPr>
              <w:t>Implementation Evidence</w:t>
            </w:r>
          </w:p>
        </w:tc>
      </w:tr>
      <w:tr>
        <w:tc>
          <w:tcPr>
            <w:tcW w:type="dxa" w:w="4320"/>
          </w:tcPr>
          <w:p>
            <w:pPr>
              <w:spacing w:after="40" w:before="40"/>
            </w:pPr>
            <w:r>
              <w:rPr>
                <w:b/>
                <w:sz w:val="18"/>
              </w:rPr>
              <w:t>L.A. Description</w:t>
            </w:r>
          </w:p>
        </w:tc>
        <w:tc>
          <w:tcPr>
            <w:tcW w:type="dxa" w:w="4320"/>
          </w:tcPr>
          <w:p>
            <w:pPr>
              <w:spacing w:after="40" w:before="40"/>
            </w:pPr>
            <w:r>
              <w:rPr>
                <w:sz w:val="18"/>
              </w:rPr>
              <w:t>The sponsor is required to provide complete and readable evidence of the implementation sign-off.</w:t>
            </w:r>
          </w:p>
        </w:tc>
      </w:tr>
      <w:tr>
        <w:tc>
          <w:tcPr>
            <w:tcW w:type="dxa" w:w="4320"/>
          </w:tcPr>
          <w:p>
            <w:pPr>
              <w:spacing w:after="40" w:before="40"/>
            </w:pPr>
            <w:r>
              <w:rPr>
                <w:b/>
                <w:sz w:val="18"/>
              </w:rPr>
              <w:t>L.A. Rationale</w:t>
            </w:r>
          </w:p>
        </w:tc>
        <w:tc>
          <w:tcPr>
            <w:tcW w:type="dxa" w:w="4320"/>
          </w:tcPr>
          <w:p>
            <w:pPr>
              <w:spacing w:after="40" w:before="40"/>
            </w:pPr>
            <w:r>
              <w:rPr>
                <w:sz w:val="18"/>
              </w:rPr>
              <w:t>MRM requires verifiable evidence of successful implementation and formal sign-off to ensure the object is ready for production use and that all controls have been confirmed.</w:t>
            </w:r>
          </w:p>
        </w:tc>
      </w:tr>
      <w:tr>
        <w:tc>
          <w:tcPr>
            <w:tcW w:type="dxa" w:w="4320"/>
          </w:tcPr>
          <w:p>
            <w:pPr>
              <w:spacing w:after="40" w:before="40"/>
            </w:pPr>
            <w:r>
              <w:rPr>
                <w:b/>
                <w:sz w:val="18"/>
              </w:rPr>
              <w:t>L.A. Recurring? (Y/N)</w:t>
            </w:r>
          </w:p>
        </w:tc>
        <w:tc>
          <w:tcPr>
            <w:tcW w:type="dxa" w:w="4320"/>
          </w:tcPr>
          <w:p>
            <w:pPr>
              <w:spacing w:after="40" w:before="40"/>
            </w:pPr>
            <w:r>
              <w:rPr>
                <w:sz w:val="18"/>
              </w:rPr>
              <w:t>N</w:t>
            </w:r>
          </w:p>
        </w:tc>
      </w:tr>
      <w:tr>
        <w:tc>
          <w:tcPr>
            <w:tcW w:type="dxa" w:w="4320"/>
          </w:tcPr>
          <w:p>
            <w:pPr>
              <w:spacing w:after="40" w:before="40"/>
            </w:pPr>
            <w:r>
              <w:rPr>
                <w:b/>
                <w:sz w:val="18"/>
              </w:rPr>
              <w:t>Remediation Action Description</w:t>
            </w:r>
          </w:p>
        </w:tc>
        <w:tc>
          <w:tcPr>
            <w:tcW w:type="dxa" w:w="4320"/>
          </w:tcPr>
          <w:p>
            <w:pPr>
              <w:spacing w:after="40" w:before="40"/>
            </w:pPr>
            <w:r>
              <w:rPr>
                <w:sz w:val="18"/>
              </w:rPr>
              <w:t>In ODD Section 4.0, provide the complete and readable implementation sign-off from the responsible team, confirming that all necessary system integrations and production controls have been successfully tested and are approved for deployment.</w:t>
            </w:r>
          </w:p>
        </w:tc>
      </w:tr>
      <w:tr>
        <w:tc>
          <w:tcPr>
            <w:tcW w:type="dxa" w:w="4320"/>
          </w:tcPr>
          <w:p>
            <w:pPr>
              <w:spacing w:after="40" w:before="40"/>
            </w:pPr>
            <w:r>
              <w:rPr>
                <w:b/>
                <w:sz w:val="18"/>
              </w:rPr>
              <w:t>Sponsor Submission Due Date</w:t>
            </w:r>
          </w:p>
        </w:tc>
        <w:tc>
          <w:tcPr>
            <w:tcW w:type="dxa" w:w="4320"/>
          </w:tcPr>
          <w:p>
            <w:pPr>
              <w:spacing w:after="40" w:before="40"/>
            </w:pPr>
            <w:r>
              <w:rPr>
                <w:sz w:val="18"/>
              </w:rPr>
              <w:t>Apr 27, 2026</w:t>
            </w:r>
          </w:p>
        </w:tc>
      </w:tr>
    </w:tbl>
    <w:p w14:paraId="1B918648" w14:textId="2122F4AB" w:rsidR="009924ED" w:rsidRDefault="009924ED" w:rsidP="009924ED">
      <w:pPr>
        <w:pStyle w:val="Heading2"/>
        <w:rPr>
          <w:lang w:val="en-US"/>
        </w:rPr>
      </w:pPr>
      <w:r>
        <w:rPr>
          <w:lang w:val="en-US"/>
        </w:rPr>
        <w:t>Limitations Identified (please add as applicable)</w:t>
      </w:r>
    </w:p>
    <w:tbl>
      <w:tblPr>
        <w:tblStyle w:val="TableGrid"/>
        <w:tblW w:w="0" w:type="auto"/>
        <w:tblLook w:val="04A0" w:firstRow="1" w:lastRow="0" w:firstColumn="1" w:lastColumn="0" w:noHBand="0" w:noVBand="1"/>
      </w:tblPr>
      <w:tblGrid>
        <w:gridCol w:w="2689"/>
        <w:gridCol w:w="6327"/>
      </w:tblGrid>
      <w:tr w:rsidR="009924ED" w14:paraId="05777C53" w14:textId="77777777" w:rsidTr="009924ED">
        <w:tc>
          <w:tcPr>
            <w:tcW w:w="2689" w:type="dxa"/>
          </w:tcPr>
          <w:p w14:paraId="29294A61" w14:textId="78C48C9B" w:rsidR="009924ED" w:rsidRDefault="009924ED" w:rsidP="009924ED">
            <w:pPr>
              <w:rPr>
                <w:lang w:val="en-US"/>
              </w:rPr>
            </w:pPr>
            <w:r>
              <w:rPr>
                <w:lang w:val="en-US"/>
              </w:rPr>
              <w:t>Limitation ID</w:t>
            </w:r>
          </w:p>
        </w:tc>
        <w:tc>
          <w:tcPr>
            <w:tcW w:w="6327" w:type="dxa"/>
          </w:tcPr>
          <w:p w14:paraId="301735CB" w14:textId="77777777" w:rsidR="009924ED" w:rsidRDefault="009924ED" w:rsidP="009924ED">
            <w:pPr>
              <w:rPr>
                <w:lang w:val="en-US"/>
              </w:rPr>
            </w:pPr>
          </w:p>
        </w:tc>
      </w:tr>
      <w:tr w:rsidR="009924ED" w14:paraId="047320C1" w14:textId="77777777" w:rsidTr="009924ED">
        <w:tc>
          <w:tcPr>
            <w:tcW w:w="2689" w:type="dxa"/>
          </w:tcPr>
          <w:p w14:paraId="53E92BE1" w14:textId="2599B575" w:rsidR="009924ED" w:rsidRDefault="009924ED" w:rsidP="009924ED">
            <w:pPr>
              <w:rPr>
                <w:lang w:val="en-US"/>
              </w:rPr>
            </w:pPr>
            <w:r>
              <w:rPr>
                <w:lang w:val="en-US"/>
              </w:rPr>
              <w:t>Limitation Type</w:t>
            </w:r>
          </w:p>
        </w:tc>
        <w:tc>
          <w:tcPr>
            <w:tcW w:w="6327" w:type="dxa"/>
          </w:tcPr>
          <w:p w14:paraId="33454BA1" w14:textId="77777777" w:rsidR="009924ED" w:rsidRDefault="009924ED" w:rsidP="009924ED">
            <w:pPr>
              <w:rPr>
                <w:lang w:val="en-US"/>
              </w:rPr>
            </w:pPr>
          </w:p>
        </w:tc>
      </w:tr>
      <w:tr w:rsidR="009924ED" w14:paraId="67AC37BB" w14:textId="77777777" w:rsidTr="009924ED">
        <w:tc>
          <w:tcPr>
            <w:tcW w:w="2689" w:type="dxa"/>
          </w:tcPr>
          <w:p w14:paraId="4FBC479B" w14:textId="78892837" w:rsidR="009924ED" w:rsidRDefault="009924ED" w:rsidP="009924ED">
            <w:pPr>
              <w:rPr>
                <w:lang w:val="en-US"/>
              </w:rPr>
            </w:pPr>
            <w:r>
              <w:rPr>
                <w:lang w:val="en-US"/>
              </w:rPr>
              <w:t>Limitation Description</w:t>
            </w:r>
          </w:p>
        </w:tc>
        <w:tc>
          <w:tcPr>
            <w:tcW w:w="6327" w:type="dxa"/>
          </w:tcPr>
          <w:p w14:paraId="0513E7B2" w14:textId="77777777" w:rsidR="009924ED" w:rsidRDefault="009924ED" w:rsidP="009924ED">
            <w:pPr>
              <w:rPr>
                <w:lang w:val="en-US"/>
              </w:rPr>
            </w:pPr>
          </w:p>
        </w:tc>
      </w:tr>
    </w:tbl>
    <w:p w14:paraId="06C0DCB7" w14:textId="77777777" w:rsidR="009924ED" w:rsidRDefault="009924ED" w:rsidP="009924ED">
      <w:pPr>
        <w:rPr>
          <w:lang w:val="en-US"/>
        </w:rPr>
      </w:pPr>
    </w:p>
    <w:p w14:paraId="3FD8F6E8" w14:textId="01850950" w:rsidR="009924ED" w:rsidRPr="009924ED" w:rsidRDefault="009924ED" w:rsidP="009924ED">
      <w:pPr>
        <w:pStyle w:val="Heading1"/>
        <w:rPr>
          <w:lang w:val="en-US"/>
        </w:rPr>
      </w:pPr>
      <w:r>
        <w:rPr>
          <w:lang w:val="en-US"/>
        </w:rPr>
        <w:t>C. Object Development Document and Object Reviewer Commentary</w:t>
      </w:r>
    </w:p>
    <w:p w14:paraId="76308B74" w14:textId="7C061035" w:rsidR="0047567F" w:rsidRDefault="0099448C" w:rsidP="009924ED">
      <w:pPr>
        <w:pStyle w:val="Heading2"/>
        <w:rPr>
          <w:lang w:val="en-US"/>
        </w:rPr>
      </w:pPr>
      <w:r>
        <w:rPr>
          <w:lang w:val="en-US"/>
        </w:rPr>
        <w:t>1</w:t>
      </w:r>
      <w:r w:rsidR="00757032">
        <w:rPr>
          <w:lang w:val="en-US"/>
        </w:rPr>
        <w:t xml:space="preserve">.0 </w:t>
      </w:r>
      <w:r>
        <w:rPr>
          <w:lang w:val="en-US"/>
        </w:rPr>
        <w:t>Object Scope</w:t>
      </w:r>
      <w:r w:rsidR="009924ED">
        <w:rPr>
          <w:lang w:val="en-US"/>
        </w:rPr>
        <w:t>, Purpose, and Use [To be completed by Object Sponsor]</w:t>
      </w:r>
    </w:p>
    <w:p w14:paraId="5CDD0A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Every technology shift is an opportunity to advance scientific discovery, accelerate human progress, and improve lives. I believe the transition we are seeing right now with AI will be the most profound in our lifetimes, far bigger than the shift to mobile or to the web before it. AI has the potential to create opportunities — from the everyday to the extraordinary — for people everywhere. It will bring new waves of innovation and economic progress and drive knowledge, learning, creativity and productivity on a scale we haven’t seen before.</w:t>
      </w:r>
    </w:p>
    <w:p w14:paraId="26DC0643"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That’s what excites me: the chance to make AI helpful for everyone, everywhere in the world.</w:t>
      </w:r>
    </w:p>
    <w:p w14:paraId="61E90EB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 xml:space="preserve">Nearly eight years into our journey as an AI-first company, the pace of progress is only accelerating: Millions of people are now using generative AI across our products to do things they couldn’t even a year ago, from finding answers to more </w:t>
      </w:r>
      <w:r>
        <w:rPr>
          <w:rFonts w:ascii="Roboto" w:hAnsi="Roboto"/>
          <w:color w:val="5F6368"/>
        </w:rPr>
        <w:lastRenderedPageBreak/>
        <w:t>complex questions to using new tools to collaborate and create. At the same time, developers are using our models and infrastructure to build new generative AI applications, and startups and enterprises around the world are growing with our AI tools.</w:t>
      </w:r>
    </w:p>
    <w:p w14:paraId="44E7065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This is incredible momentum, and yet, we’re only beginning to scratch the surface of what’s possible.</w:t>
      </w:r>
    </w:p>
    <w:p w14:paraId="6DEAC20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We’re approaching this work boldly and responsibly. That means being ambitious in our research and pursuing the capabilities that will bring enormous benefits to people and society, while building in safeguards and working collaboratively with governments and experts to address risks as AI becomes more capable. And we continue to invest in the very best tools, foundation models and infrastructure and bring them to our products and to others, guided by our </w:t>
      </w:r>
      <w:hyperlink r:id="rId5" w:tgtFrame="_blank" w:history="1">
        <w:r>
          <w:rPr>
            <w:rStyle w:val="Hyperlink"/>
            <w:rFonts w:ascii="Roboto" w:hAnsi="Roboto"/>
            <w:color w:val="1A73E8"/>
            <w:u w:val="none"/>
          </w:rPr>
          <w:t>AI Principles</w:t>
        </w:r>
      </w:hyperlink>
      <w:r>
        <w:rPr>
          <w:rFonts w:ascii="Roboto" w:hAnsi="Roboto"/>
          <w:color w:val="5F6368"/>
        </w:rPr>
        <w:t>.</w:t>
      </w:r>
    </w:p>
    <w:p w14:paraId="62221D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Now, we’re taking the next step on our journey with Gemini, our most capable and general model yet, with state-of-the-art performance across many leading benchmarks. Our first version, Gemini 1.0, is optimized for different sizes: Ultra, Pro and Nano. These are the first models of the Gemini era and the first realization of the vision we had when we formed Google DeepMind earlier this year. This new era of models represents one of the biggest science and engineering efforts we’ve undertaken as a company. I’m genuinely excited for what’s ahead, and for the opportunities Gemini will unlock for people everywhere.</w:t>
      </w:r>
    </w:p>
    <w:p w14:paraId="6E78CC5C" w14:textId="77777777" w:rsidR="0099448C" w:rsidRDefault="0099448C" w:rsidP="0099448C">
      <w:pPr>
        <w:rPr>
          <w:lang w:val="en-US"/>
        </w:rPr>
      </w:pPr>
    </w:p>
    <w:p w14:paraId="18E90176" w14:textId="72FDFCAE" w:rsidR="0099448C" w:rsidRDefault="0099448C" w:rsidP="0099448C">
      <w:pPr>
        <w:rPr>
          <w:lang w:val="en-US"/>
        </w:rPr>
      </w:pPr>
      <w:r>
        <w:rPr>
          <w:noProof/>
        </w:rPr>
        <w:drawing>
          <wp:inline distT="0" distB="0" distL="0" distR="0" wp14:anchorId="26EB1848" wp14:editId="4B576657">
            <wp:extent cx="1198245" cy="1694815"/>
            <wp:effectExtent l="0" t="0" r="0" b="0"/>
            <wp:docPr id="1475653385" name="Picture 1" descr="Google Ge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8245" cy="1694815"/>
                    </a:xfrm>
                    <a:prstGeom prst="rect">
                      <a:avLst/>
                    </a:prstGeom>
                    <a:noFill/>
                    <a:ln>
                      <a:noFill/>
                    </a:ln>
                  </pic:spPr>
                </pic:pic>
              </a:graphicData>
            </a:graphic>
          </wp:inline>
        </w:drawing>
      </w:r>
    </w:p>
    <w:p w14:paraId="08F6ED3E" w14:textId="756613AA" w:rsidR="0099448C" w:rsidRDefault="0099448C" w:rsidP="009924ED">
      <w:pPr>
        <w:pStyle w:val="Heading2"/>
        <w:rPr>
          <w:lang w:val="en-US"/>
        </w:rPr>
      </w:pPr>
      <w:r>
        <w:rPr>
          <w:lang w:val="en-US"/>
        </w:rPr>
        <w:t>ORR Section 1</w:t>
      </w:r>
      <w:r w:rsidR="00757032">
        <w:rPr>
          <w:lang w:val="en-US"/>
        </w:rPr>
        <w:t>.0</w:t>
      </w:r>
      <w:r>
        <w:rPr>
          <w:lang w:val="en-US"/>
        </w:rPr>
        <w:t xml:space="preserve"> (</w:t>
      </w:r>
      <w:r w:rsidR="009924ED">
        <w:rPr>
          <w:lang w:val="en-US"/>
        </w:rPr>
        <w:t>to be completed by Object Reviewer</w:t>
      </w:r>
      <w:r>
        <w:rPr>
          <w:lang w:val="en-US"/>
        </w:rPr>
        <w:t>)</w:t>
      </w:r>
    </w:p>
    <w:p w14:paraId="216F5263" w14:textId="7DA5AACD" w:rsidR="0099448C" w:rsidRDefault="0099448C" w:rsidP="0099448C">
      <w:pPr>
        <w:rPr>
          <w:lang w:val="en-US"/>
        </w:rPr>
      </w:pPr>
      <w:r>
        <w:rPr>
          <w:lang w:val="en-US"/>
        </w:rPr>
        <w:t>[</w:t>
      </w:r>
      <w:r w:rsidR="009924ED">
        <w:rPr>
          <w:lang w:val="en-US"/>
        </w:rPr>
        <w:t>Instructions for Object Reviewers</w:t>
      </w:r>
      <w:r>
        <w:rPr>
          <w:lang w:val="en-US"/>
        </w:rPr>
        <w:t>]</w:t>
      </w:r>
    </w:p>
    <w:p>
      <w:r>
        <w:rPr>
          <w:b/>
        </w:rPr>
        <w:t xml:space="preserve">1.0 Object Scope, Purpose, and Use This section evaluates the scope, purpose, and use of the ROD Assist Object (ID: 235939) as documented in the Object Development Documentation (ODD). Model Risk Management (MRM) assesses whether the Object's intended purpose is clearly defined, whether its scope of application is appropriate, and whether the proposed use case is consistent with the Object's design.</w:t>
      </w:r>
    </w:p>
    <w:p>
      <w:r>
        <w:rPr>
          <w:b/>
        </w:rPr>
        <w:t xml:space="preserve">1.1 Object Overview The Object is described as a Generative AI chatbot leveraging Retrieval Augmented Generation (RAG) architecture to provide Release On Demand (RoD) documentation assistance to internal Citi developers. Based on the ODD, MRM identifies the following key characteristics:</w:t>
      </w:r>
    </w:p>
    <w:tbl>
      <w:tblPr>
        <w:tblStyle w:val="TableGrid"/>
        <w:tblW w:type="auto" w:w="0"/>
        <w:tblLook w:firstColumn="1" w:firstRow="1" w:lastColumn="0" w:lastRow="0" w:noHBand="0" w:noVBand="1" w:val="04A0"/>
      </w:tblPr>
      <w:tblGrid>
        <w:gridCol w:w="4320"/>
        <w:gridCol w:w="4320"/>
      </w:tblGrid>
      <w:tr>
        <w:tc>
          <w:tcPr>
            <w:tcW w:type="dxa" w:w="4320"/>
          </w:tcPr>
          <w:p>
            <w:pPr>
              <w:spacing w:after="40" w:before="40"/>
            </w:pPr>
            <w:r>
              <w:rPr>
                <w:b/>
                <w:sz w:val="18"/>
              </w:rPr>
              <w:t>Attribute</w:t>
            </w:r>
          </w:p>
        </w:tc>
        <w:tc>
          <w:tcPr>
            <w:tcW w:type="dxa" w:w="4320"/>
          </w:tcPr>
          <w:p>
            <w:pPr>
              <w:spacing w:after="40" w:before="40"/>
            </w:pPr>
            <w:r>
              <w:rPr>
                <w:b/>
                <w:sz w:val="18"/>
              </w:rPr>
              <w:t>Detail</w:t>
            </w:r>
          </w:p>
        </w:tc>
      </w:tr>
      <w:tr>
        <w:tc>
          <w:tcPr>
            <w:tcW w:type="dxa" w:w="4320"/>
          </w:tcPr>
          <w:p>
            <w:pPr>
              <w:spacing w:after="40" w:before="40"/>
            </w:pPr>
            <w:r>
              <w:rPr>
                <w:b/>
                <w:sz w:val="18"/>
              </w:rPr>
              <w:t>Object Name</w:t>
            </w:r>
          </w:p>
        </w:tc>
        <w:tc>
          <w:tcPr>
            <w:tcW w:type="dxa" w:w="4320"/>
          </w:tcPr>
          <w:p>
            <w:pPr>
              <w:spacing w:after="40" w:before="40"/>
            </w:pPr>
            <w:r>
              <w:rPr>
                <w:sz w:val="18"/>
              </w:rPr>
              <w:t>Release On Demand (ROD) Assist</w:t>
            </w:r>
          </w:p>
        </w:tc>
      </w:tr>
      <w:tr>
        <w:tc>
          <w:tcPr>
            <w:tcW w:type="dxa" w:w="4320"/>
          </w:tcPr>
          <w:p>
            <w:pPr>
              <w:spacing w:after="40" w:before="40"/>
            </w:pPr>
            <w:r>
              <w:rPr>
                <w:b/>
                <w:sz w:val="18"/>
              </w:rPr>
              <w:t>Object ID</w:t>
            </w:r>
          </w:p>
        </w:tc>
        <w:tc>
          <w:tcPr>
            <w:tcW w:type="dxa" w:w="4320"/>
          </w:tcPr>
          <w:p>
            <w:pPr>
              <w:spacing w:after="40" w:before="40"/>
            </w:pPr>
            <w:r>
              <w:rPr>
                <w:sz w:val="18"/>
              </w:rPr>
              <w:t>235939</w:t>
            </w:r>
          </w:p>
        </w:tc>
      </w:tr>
      <w:tr>
        <w:tc>
          <w:tcPr>
            <w:tcW w:type="dxa" w:w="4320"/>
          </w:tcPr>
          <w:p>
            <w:pPr>
              <w:spacing w:after="40" w:before="40"/>
            </w:pPr>
            <w:r>
              <w:rPr>
                <w:b/>
                <w:sz w:val="18"/>
              </w:rPr>
              <w:t>Object Type</w:t>
            </w:r>
          </w:p>
        </w:tc>
        <w:tc>
          <w:tcPr>
            <w:tcW w:type="dxa" w:w="4320"/>
          </w:tcPr>
          <w:p>
            <w:pPr>
              <w:spacing w:after="40" w:before="40"/>
            </w:pPr>
            <w:r>
              <w:rPr>
                <w:sz w:val="18"/>
              </w:rPr>
              <w:t>Static AI Non-Model Object</w:t>
            </w:r>
          </w:p>
        </w:tc>
      </w:tr>
      <w:tr>
        <w:tc>
          <w:tcPr>
            <w:tcW w:type="dxa" w:w="4320"/>
          </w:tcPr>
          <w:p>
            <w:pPr>
              <w:spacing w:after="40" w:before="40"/>
            </w:pPr>
            <w:r>
              <w:rPr>
                <w:b/>
                <w:sz w:val="18"/>
              </w:rPr>
              <w:t>Risk Level</w:t>
            </w:r>
          </w:p>
        </w:tc>
        <w:tc>
          <w:tcPr>
            <w:tcW w:type="dxa" w:w="4320"/>
          </w:tcPr>
          <w:p>
            <w:pPr>
              <w:spacing w:after="40" w:before="40"/>
            </w:pPr>
            <w:r>
              <w:rPr>
                <w:sz w:val="18"/>
              </w:rPr>
              <w:t>Low</w:t>
            </w:r>
          </w:p>
        </w:tc>
      </w:tr>
      <w:tr>
        <w:tc>
          <w:tcPr>
            <w:tcW w:type="dxa" w:w="4320"/>
          </w:tcPr>
          <w:p>
            <w:pPr>
              <w:spacing w:after="40" w:before="40"/>
            </w:pPr>
            <w:r>
              <w:rPr>
                <w:b/>
                <w:sz w:val="18"/>
              </w:rPr>
              <w:t>Architecture</w:t>
            </w:r>
          </w:p>
        </w:tc>
        <w:tc>
          <w:tcPr>
            <w:tcW w:type="dxa" w:w="4320"/>
          </w:tcPr>
          <w:p>
            <w:pPr>
              <w:spacing w:after="40" w:before="40"/>
            </w:pPr>
            <w:r>
              <w:rPr>
                <w:sz w:val="18"/>
              </w:rPr>
              <w:t>Retrieval Augmented Generation (RAG)</w:t>
            </w:r>
          </w:p>
        </w:tc>
      </w:tr>
      <w:tr>
        <w:tc>
          <w:tcPr>
            <w:tcW w:type="dxa" w:w="4320"/>
          </w:tcPr>
          <w:p>
            <w:pPr>
              <w:spacing w:after="40" w:before="40"/>
            </w:pPr>
            <w:r>
              <w:rPr>
                <w:b/>
                <w:sz w:val="18"/>
              </w:rPr>
              <w:t>Foundation Model</w:t>
            </w:r>
          </w:p>
        </w:tc>
        <w:tc>
          <w:tcPr>
            <w:tcW w:type="dxa" w:w="4320"/>
          </w:tcPr>
          <w:p>
            <w:pPr>
              <w:spacing w:after="40" w:before="40"/>
            </w:pPr>
            <w:r>
              <w:rPr>
                <w:sz w:val="18"/>
              </w:rPr>
              <w:t>Google Gemini-2.5-flash</w:t>
            </w:r>
          </w:p>
        </w:tc>
      </w:tr>
      <w:tr>
        <w:tc>
          <w:tcPr>
            <w:tcW w:type="dxa" w:w="4320"/>
          </w:tcPr>
          <w:p>
            <w:pPr>
              <w:spacing w:after="40" w:before="40"/>
            </w:pPr>
            <w:r>
              <w:rPr>
                <w:b/>
                <w:sz w:val="18"/>
              </w:rPr>
              <w:t>Embedding Model</w:t>
            </w:r>
          </w:p>
        </w:tc>
        <w:tc>
          <w:tcPr>
            <w:tcW w:type="dxa" w:w="4320"/>
          </w:tcPr>
          <w:p>
            <w:pPr>
              <w:spacing w:after="40" w:before="40"/>
            </w:pPr>
            <w:r>
              <w:rPr>
                <w:sz w:val="18"/>
              </w:rPr>
              <w:t>Google text-embedding-005</w:t>
            </w:r>
          </w:p>
        </w:tc>
      </w:tr>
      <w:tr>
        <w:tc>
          <w:tcPr>
            <w:tcW w:type="dxa" w:w="4320"/>
          </w:tcPr>
          <w:p>
            <w:pPr>
              <w:spacing w:after="40" w:before="40"/>
            </w:pPr>
            <w:r>
              <w:rPr>
                <w:b/>
                <w:sz w:val="18"/>
              </w:rPr>
              <w:t>Target Users</w:t>
            </w:r>
          </w:p>
        </w:tc>
        <w:tc>
          <w:tcPr>
            <w:tcW w:type="dxa" w:w="4320"/>
          </w:tcPr>
          <w:p>
            <w:pPr>
              <w:spacing w:after="40" w:before="40"/>
            </w:pPr>
            <w:r>
              <w:rPr>
                <w:sz w:val="18"/>
              </w:rPr>
              <w:t>~40,000 internal Citi developers</w:t>
            </w:r>
          </w:p>
        </w:tc>
      </w:tr>
      <w:tr>
        <w:tc>
          <w:tcPr>
            <w:tcW w:type="dxa" w:w="4320"/>
          </w:tcPr>
          <w:p>
            <w:pPr>
              <w:spacing w:after="40" w:before="40"/>
            </w:pPr>
            <w:r>
              <w:rPr>
                <w:b/>
                <w:sz w:val="18"/>
              </w:rPr>
              <w:t>Usage Pattern</w:t>
            </w:r>
          </w:p>
        </w:tc>
        <w:tc>
          <w:tcPr>
            <w:tcW w:type="dxa" w:w="4320"/>
          </w:tcPr>
          <w:p>
            <w:pPr>
              <w:spacing w:after="40" w:before="40"/>
            </w:pPr>
            <w:r>
              <w:rPr>
                <w:sz w:val="18"/>
              </w:rPr>
              <w:t>Assistive, non-content-generating</w:t>
            </w:r>
          </w:p>
        </w:tc>
      </w:tr>
      <w:tr>
        <w:tc>
          <w:tcPr>
            <w:tcW w:type="dxa" w:w="4320"/>
          </w:tcPr>
          <w:p>
            <w:pPr>
              <w:spacing w:after="40" w:before="40"/>
            </w:pPr>
            <w:r>
              <w:rPr>
                <w:b/>
                <w:sz w:val="18"/>
              </w:rPr>
              <w:t>Human Oversight</w:t>
            </w:r>
          </w:p>
        </w:tc>
        <w:tc>
          <w:tcPr>
            <w:tcW w:type="dxa" w:w="4320"/>
          </w:tcPr>
          <w:p>
            <w:pPr>
              <w:spacing w:after="40" w:before="40"/>
            </w:pPr>
            <w:r>
              <w:rPr>
                <w:sz w:val="18"/>
              </w:rPr>
              <w:t>100% manual review of all outputs by end user</w:t>
            </w:r>
          </w:p>
        </w:tc>
      </w:tr>
    </w:tbl>
    <w:p>
      <w:r>
        <w:rPr>
          <w:b/>
        </w:rPr>
        <w:t xml:space="preserve">1.2 Scope Assessment **Intended Purpose:** The Object's primary purpose is to enhance developer productivity by providing quick, accurate, and cited answers to natural language questions about the Release On Demand platform and its documentation. **Scope Boundaries:** The ODD defines clear boundaries for the Object's scope of application: * **In-Scope:** Natural language queries related to RoD documentation, including configuration guides, troubleshooting steps, release procedures, and API usage. * **Out-of-Scope:** Queries unrelated to RoD documentation, code generation, direct system modifications, or any customer-facing interactions. **MRM Assessment of Scope:** MRM finds the scope to be well-defined and appropriate. The Object is designed for a narrow, specific use case with clear in-scope and out-of-scope categories. The limitation to internal, assistive use with full human oversight significantly reduces the risk profile.</w:t>
      </w:r>
    </w:p>
    <w:p>
      <w:r>
        <w:rPr>
          <w:b/>
        </w:rPr>
        <w:t xml:space="preserve">1.3 Use Case Assessment MRM has evaluated the proposed use case and finds the following: * **User Base:** The Object targets approximately 40,000 internal developers. This is an appropriate user base for an assistive documentation tool. * **Interaction Pattern:** Users interact with the Object through a chat interface, receive answers with citations to source documentation, and are responsible for verifying accuracy before acting on any information. * **Controls:**</w:t>
      </w:r>
    </w:p>
    <w:p>
      <w:pPr>
        <w:pStyle w:val="ListParagraph"/>
        <w:ind w:left="720" w:hanging="360"/>
        <w:numPr>
          <w:ilvl w:val="0"/>
          <w:numId w:val="2"/>
        </w:numPr>
      </w:pPr>
      <w:r>
        <w:rPr/>
        <w:t xml:space="preserve">UI warnings explicitly inform users that responses are AI-generated and may contain inaccuracies.</w:t>
      </w:r>
    </w:p>
    <w:p>
      <w:pPr>
        <w:pStyle w:val="ListParagraph"/>
        <w:ind w:left="720" w:hanging="360"/>
        <w:numPr>
          <w:ilvl w:val="0"/>
          <w:numId w:val="2"/>
        </w:numPr>
      </w:pPr>
      <w:r>
        <w:rPr/>
        <w:t xml:space="preserve">Citation links are provided in every response to enable verification against source material.</w:t>
      </w:r>
    </w:p>
    <w:p>
      <w:pPr>
        <w:pStyle w:val="ListParagraph"/>
        <w:ind w:left="720" w:hanging="360"/>
        <w:numPr>
          <w:ilvl w:val="0"/>
          <w:numId w:val="2"/>
        </w:numPr>
      </w:pPr>
      <w:r>
        <w:rPr/>
        <w:t xml:space="preserve">The Object does not execute actions or make changes to any system.</w:t>
      </w:r>
    </w:p>
    <w:p>
      <w:r>
        <w:rPr>
          <w:b/>
        </w:rPr>
        <w:t xml:space="preserve">1.4 Vendor Contingency The ODD references a vendor contingency plan in case Google is no longer able to support the Object's underlying models. However, the specific details of this contingency plan (e.g., alternative vendors, migration timeline, interim procedures) are not explicitly documented in the ODD body. MRM raises a limitation regarding the documentation of this contingency plan (see limitation 235939.02). **MRM Assessment of Vendor Contingency:** While a contingency plan has been attested to, MRM notes that the lack of explicit detail in the ODD creates a documentation gap. This is addressed through limitation 235939.02, which requires the Sponsor to provide a detailed description of the contingency plan.</w:t>
      </w:r>
    </w:p>
    <w:p>
      <w:r>
        <w:rPr>
          <w:b/>
        </w:rPr>
        <w:t xml:space="preserve">1.5 Overall Conclusion on Scope, Purpose, and Use Overall, MRM finds the Object's scope, purpose, and use to be clearly defined, well-documented, and appropriate for a Low-risk assistive tool. The narrow scope, clear boundaries, and robust human oversight controls make this Object well-suited for its intended purpose. The identified documentation gap regarding vendor contingency is addressed through a limitation action.</w:t>
      </w:r>
    </w:p>
    <w:p w14:paraId="2ADA86BB" w14:textId="5D28D1C7" w:rsidR="0099448C" w:rsidRDefault="0099448C" w:rsidP="009924ED">
      <w:pPr>
        <w:pStyle w:val="Heading2"/>
        <w:rPr>
          <w:lang w:val="en-US"/>
        </w:rPr>
      </w:pPr>
      <w:r>
        <w:rPr>
          <w:lang w:val="en-US"/>
        </w:rPr>
        <w:t>2</w:t>
      </w:r>
      <w:r w:rsidR="00757032">
        <w:rPr>
          <w:lang w:val="en-US"/>
        </w:rPr>
        <w:t xml:space="preserve">.0 </w:t>
      </w:r>
      <w:r>
        <w:rPr>
          <w:lang w:val="en-US"/>
        </w:rPr>
        <w:t>Object Methodology</w:t>
      </w:r>
    </w:p>
    <w:p w14:paraId="2E465FCF" w14:textId="14CF4B66" w:rsidR="0099448C" w:rsidRDefault="0099448C" w:rsidP="009924ED">
      <w:pPr>
        <w:pStyle w:val="Heading3"/>
        <w:rPr>
          <w:lang w:val="en-US"/>
        </w:rPr>
      </w:pPr>
      <w:r>
        <w:rPr>
          <w:lang w:val="en-US"/>
        </w:rPr>
        <w:t>2.1</w:t>
      </w:r>
      <w:r w:rsidR="00757032">
        <w:rPr>
          <w:lang w:val="en-US"/>
        </w:rPr>
        <w:t xml:space="preserve"> </w:t>
      </w:r>
      <w:r>
        <w:rPr>
          <w:lang w:val="en-US"/>
        </w:rPr>
        <w:t>Object Design</w:t>
      </w:r>
    </w:p>
    <w:p w14:paraId="1C969FC3"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597BBB14"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a score of 90.0%, Gemini Ultra is the first model to outperform human experts on </w:t>
      </w:r>
      <w:hyperlink r:id="rId7"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7AC4D3CA"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Our new benchmark approach to MMLU enables Gemini to use its reasoning capabilities to think more carefully before answering difficult questions, leading to significant improvements over just using its first impression.</w:t>
      </w:r>
    </w:p>
    <w:p w14:paraId="6BFDF14E" w14:textId="73A984B6" w:rsidR="0099448C" w:rsidRPr="0099448C" w:rsidRDefault="0099448C" w:rsidP="0099448C">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16D5A138" wp14:editId="7F94345B">
            <wp:extent cx="5731510" cy="7141845"/>
            <wp:effectExtent l="0" t="0" r="0" b="0"/>
            <wp:docPr id="238737799"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081F2005" w14:textId="77777777" w:rsidR="0099448C" w:rsidRPr="0099448C" w:rsidRDefault="0099448C" w:rsidP="0099448C">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lastRenderedPageBreak/>
        <w:t>Gemini surpasses state-of-the-art performance on a range of benchmarks including text and coding.</w:t>
      </w:r>
    </w:p>
    <w:p w14:paraId="2D1C1BD6"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9"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2A64A72D"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36AE2F0C" w14:textId="618C8966" w:rsidR="0099448C" w:rsidRPr="009924ED" w:rsidRDefault="0099448C" w:rsidP="009924ED">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0"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BC07BB4" w14:textId="603C5085" w:rsidR="0099448C" w:rsidRDefault="0099448C" w:rsidP="00757032">
      <w:pPr>
        <w:pStyle w:val="Heading3"/>
        <w:rPr>
          <w:lang w:val="en-US"/>
        </w:rPr>
      </w:pPr>
      <w:r>
        <w:rPr>
          <w:lang w:val="en-US"/>
        </w:rPr>
        <w:t>2.2</w:t>
      </w:r>
      <w:r w:rsidR="00757032">
        <w:rPr>
          <w:lang w:val="en-US"/>
        </w:rPr>
        <w:t xml:space="preserve"> </w:t>
      </w:r>
      <w:r>
        <w:rPr>
          <w:lang w:val="en-US"/>
        </w:rPr>
        <w:t>Data</w:t>
      </w:r>
    </w:p>
    <w:p w14:paraId="7DB9C6E8"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5B10A25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Explore our </w:t>
      </w:r>
      <w:hyperlink r:id="rId11" w:history="1">
        <w:r>
          <w:rPr>
            <w:rStyle w:val="Hyperlink"/>
            <w:rFonts w:ascii="Roboto" w:hAnsi="Roboto"/>
            <w:color w:val="1A73E8"/>
          </w:rPr>
          <w:t>collection of Gemini 3 apps</w:t>
        </w:r>
      </w:hyperlink>
      <w:r>
        <w:rPr>
          <w:rFonts w:ascii="Roboto" w:hAnsi="Roboto"/>
          <w:color w:val="202124"/>
        </w:rPr>
        <w:t> to see how the model handles advanced reasoning, autonomous coding, and complex multimodal tasks.</w:t>
      </w:r>
    </w:p>
    <w:p w14:paraId="28320C87"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Get started with a few lines of code:</w:t>
      </w:r>
    </w:p>
    <w:p w14:paraId="500E3C6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kn"/>
          <w:rFonts w:ascii="Roboto Mono" w:hAnsi="Roboto Mono"/>
          <w:color w:val="1967D2"/>
          <w:sz w:val="21"/>
          <w:szCs w:val="21"/>
          <w:bdr w:val="none" w:sz="0" w:space="0" w:color="auto" w:frame="1"/>
        </w:rPr>
        <w:t>from</w:t>
      </w:r>
      <w:r>
        <w:rPr>
          <w:rStyle w:val="devsite-syntax-w"/>
          <w:rFonts w:ascii="Roboto Mono" w:hAnsi="Roboto Mono"/>
          <w:color w:val="37474F"/>
          <w:sz w:val="21"/>
          <w:szCs w:val="21"/>
          <w:bdr w:val="none" w:sz="0" w:space="0" w:color="auto" w:frame="1"/>
        </w:rPr>
        <w:t xml:space="preserve"> </w:t>
      </w:r>
      <w:r>
        <w:rPr>
          <w:rStyle w:val="devsite-syntax-nn"/>
          <w:rFonts w:ascii="Roboto Mono" w:hAnsi="Roboto Mono"/>
          <w:color w:val="9334E6"/>
          <w:sz w:val="21"/>
          <w:szCs w:val="21"/>
          <w:bdr w:val="none" w:sz="0" w:space="0" w:color="auto" w:frame="1"/>
        </w:rPr>
        <w:t>google</w:t>
      </w:r>
      <w:r>
        <w:rPr>
          <w:rStyle w:val="devsite-syntax-w"/>
          <w:rFonts w:ascii="Roboto Mono" w:hAnsi="Roboto Mono"/>
          <w:color w:val="37474F"/>
          <w:sz w:val="21"/>
          <w:szCs w:val="21"/>
          <w:bdr w:val="none" w:sz="0" w:space="0" w:color="auto" w:frame="1"/>
        </w:rPr>
        <w:t xml:space="preserve"> </w:t>
      </w:r>
      <w:r>
        <w:rPr>
          <w:rStyle w:val="devsite-syntax-kn"/>
          <w:rFonts w:ascii="Roboto Mono" w:hAnsi="Roboto Mono"/>
          <w:color w:val="1967D2"/>
          <w:sz w:val="21"/>
          <w:szCs w:val="21"/>
          <w:bdr w:val="none" w:sz="0" w:space="0" w:color="auto" w:frame="1"/>
        </w:rPr>
        <w:t>import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proofErr w:type="spellEnd"/>
    </w:p>
    <w:p w14:paraId="4D310999"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6D4A10EA"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client</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Client</w:t>
      </w:r>
      <w:proofErr w:type="spellEnd"/>
      <w:r>
        <w:rPr>
          <w:rStyle w:val="devsite-syntax-p"/>
          <w:rFonts w:ascii="Roboto Mono" w:hAnsi="Roboto Mono"/>
          <w:color w:val="37474F"/>
          <w:sz w:val="21"/>
          <w:szCs w:val="21"/>
          <w:bdr w:val="none" w:sz="0" w:space="0" w:color="auto" w:frame="1"/>
        </w:rPr>
        <w:t>()</w:t>
      </w:r>
    </w:p>
    <w:p w14:paraId="4D77D525"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0938DB1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interaction</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client</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interactions</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create</w:t>
      </w:r>
      <w:proofErr w:type="spellEnd"/>
      <w:r>
        <w:rPr>
          <w:rStyle w:val="devsite-syntax-p"/>
          <w:rFonts w:ascii="Roboto Mono" w:hAnsi="Roboto Mono"/>
          <w:color w:val="37474F"/>
          <w:sz w:val="21"/>
          <w:szCs w:val="21"/>
          <w:bdr w:val="none" w:sz="0" w:space="0" w:color="auto" w:frame="1"/>
        </w:rPr>
        <w:t>(</w:t>
      </w:r>
    </w:p>
    <w:p w14:paraId="653AA5E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
          <w:rFonts w:ascii="Roboto Mono" w:hAnsi="Roboto Mono"/>
          <w:color w:val="37474F"/>
          <w:sz w:val="21"/>
          <w:szCs w:val="21"/>
          <w:bdr w:val="none" w:sz="0" w:space="0" w:color="auto" w:frame="1"/>
        </w:rPr>
        <w:t>model</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"gemini-3.1-pro-preview"</w:t>
      </w:r>
      <w:r>
        <w:rPr>
          <w:rStyle w:val="devsite-syntax-p"/>
          <w:rFonts w:ascii="Roboto Mono" w:hAnsi="Roboto Mono"/>
          <w:color w:val="37474F"/>
          <w:sz w:val="21"/>
          <w:szCs w:val="21"/>
          <w:bdr w:val="none" w:sz="0" w:space="0" w:color="auto" w:frame="1"/>
        </w:rPr>
        <w:t>,</w:t>
      </w:r>
    </w:p>
    <w:p w14:paraId="15FA6103"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b"/>
          <w:rFonts w:ascii="Roboto Mono" w:hAnsi="Roboto Mono"/>
          <w:color w:val="9334E6"/>
          <w:sz w:val="21"/>
          <w:szCs w:val="21"/>
          <w:bdr w:val="none" w:sz="0" w:space="0" w:color="auto" w:frame="1"/>
        </w:rPr>
        <w:t>input</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"Find the race condition in this multi-threaded C++ snippet: [code here]"</w:t>
      </w:r>
      <w:r>
        <w:rPr>
          <w:rStyle w:val="devsite-syntax-p"/>
          <w:rFonts w:ascii="Roboto Mono" w:hAnsi="Roboto Mono"/>
          <w:color w:val="37474F"/>
          <w:sz w:val="21"/>
          <w:szCs w:val="21"/>
          <w:bdr w:val="none" w:sz="0" w:space="0" w:color="auto" w:frame="1"/>
        </w:rPr>
        <w:t>,</w:t>
      </w:r>
    </w:p>
    <w:p w14:paraId="4168736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5F1F080F"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44850DA7"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b"/>
          <w:rFonts w:ascii="Roboto Mono" w:hAnsi="Roboto Mono"/>
          <w:color w:val="9334E6"/>
          <w:sz w:val="21"/>
          <w:szCs w:val="21"/>
          <w:bdr w:val="none" w:sz="0" w:space="0" w:color="auto" w:frame="1"/>
        </w:rPr>
        <w:t>print</w:t>
      </w:r>
      <w:r>
        <w:rPr>
          <w:rStyle w:val="devsite-syntax-p"/>
          <w:rFonts w:ascii="Roboto Mono" w:hAnsi="Roboto Mono"/>
          <w:color w:val="37474F"/>
          <w:sz w:val="21"/>
          <w:szCs w:val="21"/>
          <w:bdr w:val="none" w:sz="0" w:space="0" w:color="auto" w:frame="1"/>
        </w:rPr>
        <w:t>(</w:t>
      </w:r>
      <w:proofErr w:type="spellStart"/>
      <w:r>
        <w:rPr>
          <w:rStyle w:val="devsite-syntax-n"/>
          <w:rFonts w:ascii="Roboto Mono" w:hAnsi="Roboto Mono"/>
          <w:color w:val="37474F"/>
          <w:sz w:val="21"/>
          <w:szCs w:val="21"/>
          <w:bdr w:val="none" w:sz="0" w:space="0" w:color="auto" w:frame="1"/>
        </w:rPr>
        <w:t>interaction</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output_text</w:t>
      </w:r>
      <w:proofErr w:type="spellEnd"/>
      <w:r>
        <w:rPr>
          <w:rStyle w:val="devsite-syntax-p"/>
          <w:rFonts w:ascii="Roboto Mono" w:hAnsi="Roboto Mono"/>
          <w:color w:val="37474F"/>
          <w:sz w:val="21"/>
          <w:szCs w:val="21"/>
          <w:bdr w:val="none" w:sz="0" w:space="0" w:color="auto" w:frame="1"/>
        </w:rPr>
        <w:t>)</w:t>
      </w:r>
    </w:p>
    <w:p w14:paraId="0D7100A3" w14:textId="77777777" w:rsidR="00757032" w:rsidRDefault="00757032" w:rsidP="00757032">
      <w:pPr>
        <w:rPr>
          <w:rStyle w:val="devsite-heading"/>
          <w:rFonts w:ascii="Noto Sans" w:hAnsi="Noto Sans" w:cs="Noto Sans"/>
          <w:b/>
          <w:bCs/>
          <w:color w:val="202124"/>
        </w:rPr>
      </w:pPr>
    </w:p>
    <w:p w14:paraId="3F699037" w14:textId="07381457" w:rsidR="0099448C" w:rsidRDefault="0099448C" w:rsidP="00757032">
      <w:r>
        <w:rPr>
          <w:rStyle w:val="devsite-heading"/>
          <w:rFonts w:ascii="Noto Sans" w:hAnsi="Noto Sans" w:cs="Noto Sans"/>
          <w:b/>
          <w:bCs/>
          <w:color w:val="202124"/>
        </w:rPr>
        <w:t>Meet the Gemini 3 series</w:t>
      </w:r>
    </w:p>
    <w:p w14:paraId="4FCE71E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Pro is best for complex tasks that require broad world knowledge and advanced reasoning across modalities.</w:t>
      </w:r>
    </w:p>
    <w:p w14:paraId="3DF5C381"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Flash is our latest 3-series model, with Pro-level intelligence at the speed and pricing of Flash.</w:t>
      </w:r>
    </w:p>
    <w:p w14:paraId="1859F200"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lastRenderedPageBreak/>
        <w:t>Nano Banana Pro (also known as Gemini 3 Pro Image) is our highest quality image generation model, and Nano Banana 2 (also known as Gemini 3.1 Flash Image) is the high-volume, high-efficiency, lower price-point equivalent.</w:t>
      </w:r>
    </w:p>
    <w:p w14:paraId="4DA59E13"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Flash-Lite is our workhorse model built for cost-efficiency model and high-volume tasks.</w:t>
      </w:r>
    </w:p>
    <w:p w14:paraId="65AE21F5"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All Gemini 3 models are currently in preview.</w:t>
      </w:r>
    </w:p>
    <w:tbl>
      <w:tblPr>
        <w:tblW w:w="1158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2961"/>
        <w:gridCol w:w="2458"/>
        <w:gridCol w:w="1724"/>
        <w:gridCol w:w="4437"/>
      </w:tblGrid>
      <w:tr w:rsidR="0099448C" w14:paraId="31FA8A65" w14:textId="77777777">
        <w:trPr>
          <w:trHeight w:val="720"/>
          <w:tblHeader/>
          <w:tblCellSpacing w:w="15" w:type="dxa"/>
        </w:trPr>
        <w:tc>
          <w:tcPr>
            <w:tcW w:w="0" w:type="auto"/>
            <w:tcBorders>
              <w:top w:val="nil"/>
              <w:left w:val="nil"/>
              <w:bottom w:val="single" w:sz="6" w:space="0" w:color="auto"/>
              <w:right w:val="nil"/>
            </w:tcBorders>
            <w:vAlign w:val="center"/>
            <w:hideMark/>
          </w:tcPr>
          <w:p w14:paraId="645992C9" w14:textId="77777777" w:rsidR="0099448C" w:rsidRDefault="0099448C">
            <w:pPr>
              <w:spacing w:line="300" w:lineRule="atLeast"/>
              <w:rPr>
                <w:rFonts w:ascii="Roboto" w:hAnsi="Roboto"/>
                <w:color w:val="202124"/>
                <w:sz w:val="21"/>
                <w:szCs w:val="21"/>
              </w:rPr>
            </w:pPr>
            <w:r>
              <w:rPr>
                <w:rFonts w:ascii="Roboto" w:hAnsi="Roboto"/>
                <w:color w:val="202124"/>
                <w:sz w:val="21"/>
                <w:szCs w:val="21"/>
              </w:rPr>
              <w:t>Model ID</w:t>
            </w:r>
          </w:p>
        </w:tc>
        <w:tc>
          <w:tcPr>
            <w:tcW w:w="0" w:type="auto"/>
            <w:tcBorders>
              <w:top w:val="nil"/>
              <w:left w:val="nil"/>
              <w:bottom w:val="single" w:sz="6" w:space="0" w:color="auto"/>
              <w:right w:val="nil"/>
            </w:tcBorders>
            <w:vAlign w:val="center"/>
            <w:hideMark/>
          </w:tcPr>
          <w:p w14:paraId="5B61209B" w14:textId="77777777" w:rsidR="0099448C" w:rsidRDefault="0099448C">
            <w:pPr>
              <w:spacing w:line="300" w:lineRule="atLeast"/>
              <w:rPr>
                <w:rFonts w:ascii="Roboto" w:hAnsi="Roboto"/>
                <w:color w:val="202124"/>
                <w:sz w:val="21"/>
                <w:szCs w:val="21"/>
              </w:rPr>
            </w:pPr>
            <w:r>
              <w:rPr>
                <w:rFonts w:ascii="Roboto" w:hAnsi="Roboto"/>
                <w:color w:val="202124"/>
                <w:sz w:val="21"/>
                <w:szCs w:val="21"/>
              </w:rPr>
              <w:t>Context Window (In / Out)</w:t>
            </w:r>
          </w:p>
        </w:tc>
        <w:tc>
          <w:tcPr>
            <w:tcW w:w="0" w:type="auto"/>
            <w:tcBorders>
              <w:top w:val="nil"/>
              <w:left w:val="nil"/>
              <w:bottom w:val="single" w:sz="6" w:space="0" w:color="auto"/>
              <w:right w:val="nil"/>
            </w:tcBorders>
            <w:vAlign w:val="center"/>
            <w:hideMark/>
          </w:tcPr>
          <w:p w14:paraId="382CB041" w14:textId="77777777" w:rsidR="0099448C" w:rsidRDefault="0099448C">
            <w:pPr>
              <w:spacing w:line="300" w:lineRule="atLeast"/>
              <w:rPr>
                <w:rFonts w:ascii="Roboto" w:hAnsi="Roboto"/>
                <w:color w:val="202124"/>
                <w:sz w:val="21"/>
                <w:szCs w:val="21"/>
              </w:rPr>
            </w:pPr>
            <w:r>
              <w:rPr>
                <w:rFonts w:ascii="Roboto" w:hAnsi="Roboto"/>
                <w:color w:val="202124"/>
                <w:sz w:val="21"/>
                <w:szCs w:val="21"/>
              </w:rPr>
              <w:t>Knowledge Cutoff</w:t>
            </w:r>
          </w:p>
        </w:tc>
        <w:tc>
          <w:tcPr>
            <w:tcW w:w="0" w:type="auto"/>
            <w:tcBorders>
              <w:top w:val="nil"/>
              <w:left w:val="nil"/>
              <w:bottom w:val="single" w:sz="6" w:space="0" w:color="auto"/>
              <w:right w:val="nil"/>
            </w:tcBorders>
            <w:vAlign w:val="center"/>
            <w:hideMark/>
          </w:tcPr>
          <w:p w14:paraId="25726E34" w14:textId="77777777" w:rsidR="0099448C" w:rsidRDefault="0099448C">
            <w:pPr>
              <w:spacing w:line="300" w:lineRule="atLeast"/>
              <w:rPr>
                <w:rFonts w:ascii="Roboto" w:hAnsi="Roboto"/>
                <w:color w:val="202124"/>
                <w:sz w:val="21"/>
                <w:szCs w:val="21"/>
              </w:rPr>
            </w:pPr>
            <w:r>
              <w:rPr>
                <w:rFonts w:ascii="Roboto" w:hAnsi="Roboto"/>
                <w:color w:val="202124"/>
                <w:sz w:val="21"/>
                <w:szCs w:val="21"/>
              </w:rPr>
              <w:t>Pricing (Input / Output)*</w:t>
            </w:r>
          </w:p>
        </w:tc>
      </w:tr>
      <w:tr w:rsidR="0099448C" w14:paraId="1949F86A" w14:textId="77777777">
        <w:trPr>
          <w:tblCellSpacing w:w="15" w:type="dxa"/>
        </w:trPr>
        <w:tc>
          <w:tcPr>
            <w:tcW w:w="0" w:type="auto"/>
            <w:tcBorders>
              <w:top w:val="nil"/>
              <w:left w:val="nil"/>
              <w:bottom w:val="single" w:sz="6" w:space="0" w:color="auto"/>
              <w:right w:val="nil"/>
            </w:tcBorders>
            <w:hideMark/>
          </w:tcPr>
          <w:p w14:paraId="739C25CC"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gemini-3.1-flash-lite</w:t>
            </w:r>
          </w:p>
        </w:tc>
        <w:tc>
          <w:tcPr>
            <w:tcW w:w="0" w:type="auto"/>
            <w:tcBorders>
              <w:top w:val="nil"/>
              <w:left w:val="nil"/>
              <w:bottom w:val="single" w:sz="6" w:space="0" w:color="auto"/>
              <w:right w:val="nil"/>
            </w:tcBorders>
            <w:hideMark/>
          </w:tcPr>
          <w:p w14:paraId="4862EC89"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16190D21"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5A1957CB" w14:textId="77777777" w:rsidR="0099448C" w:rsidRDefault="0099448C">
            <w:pPr>
              <w:spacing w:line="300" w:lineRule="atLeast"/>
              <w:rPr>
                <w:rFonts w:ascii="Roboto" w:hAnsi="Roboto"/>
                <w:sz w:val="21"/>
                <w:szCs w:val="21"/>
              </w:rPr>
            </w:pPr>
            <w:r>
              <w:rPr>
                <w:rFonts w:ascii="Roboto" w:hAnsi="Roboto"/>
                <w:sz w:val="21"/>
                <w:szCs w:val="21"/>
              </w:rPr>
              <w:t>$0.25 (text, image, video), $0.50 (audio) / $1.50</w:t>
            </w:r>
          </w:p>
        </w:tc>
      </w:tr>
      <w:tr w:rsidR="0099448C" w14:paraId="32AA241F" w14:textId="77777777">
        <w:trPr>
          <w:tblCellSpacing w:w="15" w:type="dxa"/>
        </w:trPr>
        <w:tc>
          <w:tcPr>
            <w:tcW w:w="0" w:type="auto"/>
            <w:tcBorders>
              <w:top w:val="nil"/>
              <w:left w:val="nil"/>
              <w:bottom w:val="single" w:sz="6" w:space="0" w:color="auto"/>
              <w:right w:val="nil"/>
            </w:tcBorders>
            <w:hideMark/>
          </w:tcPr>
          <w:p w14:paraId="45CBC30A"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gemini-3.1-flash-image-preview</w:t>
            </w:r>
          </w:p>
        </w:tc>
        <w:tc>
          <w:tcPr>
            <w:tcW w:w="0" w:type="auto"/>
            <w:tcBorders>
              <w:top w:val="nil"/>
              <w:left w:val="nil"/>
              <w:bottom w:val="single" w:sz="6" w:space="0" w:color="auto"/>
              <w:right w:val="nil"/>
            </w:tcBorders>
            <w:hideMark/>
          </w:tcPr>
          <w:p w14:paraId="350629E1" w14:textId="77777777" w:rsidR="0099448C" w:rsidRDefault="0099448C">
            <w:pPr>
              <w:spacing w:line="300" w:lineRule="atLeast"/>
              <w:rPr>
                <w:rFonts w:ascii="Roboto" w:hAnsi="Roboto"/>
                <w:sz w:val="21"/>
                <w:szCs w:val="21"/>
              </w:rPr>
            </w:pPr>
            <w:r>
              <w:rPr>
                <w:rFonts w:ascii="Roboto" w:hAnsi="Roboto"/>
                <w:sz w:val="21"/>
                <w:szCs w:val="21"/>
              </w:rPr>
              <w:t>128k / 32k</w:t>
            </w:r>
          </w:p>
        </w:tc>
        <w:tc>
          <w:tcPr>
            <w:tcW w:w="0" w:type="auto"/>
            <w:tcBorders>
              <w:top w:val="nil"/>
              <w:left w:val="nil"/>
              <w:bottom w:val="single" w:sz="6" w:space="0" w:color="auto"/>
              <w:right w:val="nil"/>
            </w:tcBorders>
            <w:hideMark/>
          </w:tcPr>
          <w:p w14:paraId="48816F02"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288C8A80" w14:textId="77777777" w:rsidR="0099448C" w:rsidRDefault="0099448C">
            <w:pPr>
              <w:spacing w:line="300" w:lineRule="atLeast"/>
              <w:rPr>
                <w:rFonts w:ascii="Roboto" w:hAnsi="Roboto"/>
                <w:sz w:val="21"/>
                <w:szCs w:val="21"/>
              </w:rPr>
            </w:pPr>
            <w:r>
              <w:rPr>
                <w:rFonts w:ascii="Roboto" w:hAnsi="Roboto"/>
                <w:sz w:val="21"/>
                <w:szCs w:val="21"/>
              </w:rPr>
              <w:t>$0.25 (Text Input) / $0.067 (Image Output)**</w:t>
            </w:r>
          </w:p>
        </w:tc>
      </w:tr>
      <w:tr w:rsidR="0099448C" w14:paraId="20F75A51" w14:textId="77777777">
        <w:trPr>
          <w:tblCellSpacing w:w="15" w:type="dxa"/>
        </w:trPr>
        <w:tc>
          <w:tcPr>
            <w:tcW w:w="0" w:type="auto"/>
            <w:tcBorders>
              <w:top w:val="nil"/>
              <w:left w:val="nil"/>
              <w:bottom w:val="single" w:sz="6" w:space="0" w:color="auto"/>
              <w:right w:val="nil"/>
            </w:tcBorders>
            <w:hideMark/>
          </w:tcPr>
          <w:p w14:paraId="44388803"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gemini-3.1-pro-preview</w:t>
            </w:r>
          </w:p>
        </w:tc>
        <w:tc>
          <w:tcPr>
            <w:tcW w:w="0" w:type="auto"/>
            <w:tcBorders>
              <w:top w:val="nil"/>
              <w:left w:val="nil"/>
              <w:bottom w:val="single" w:sz="6" w:space="0" w:color="auto"/>
              <w:right w:val="nil"/>
            </w:tcBorders>
            <w:hideMark/>
          </w:tcPr>
          <w:p w14:paraId="47C6B142"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C8B0679"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6C840D19" w14:textId="77777777" w:rsidR="0099448C" w:rsidRDefault="0099448C">
            <w:pPr>
              <w:spacing w:line="300" w:lineRule="atLeast"/>
              <w:rPr>
                <w:rFonts w:ascii="Roboto" w:hAnsi="Roboto"/>
                <w:sz w:val="21"/>
                <w:szCs w:val="21"/>
              </w:rPr>
            </w:pPr>
            <w:r>
              <w:rPr>
                <w:rFonts w:ascii="Roboto" w:hAnsi="Roboto"/>
                <w:sz w:val="21"/>
                <w:szCs w:val="21"/>
              </w:rPr>
              <w:t>$2 / $12 (&lt;200k tokens)</w:t>
            </w:r>
            <w:r>
              <w:rPr>
                <w:rFonts w:ascii="Roboto" w:hAnsi="Roboto"/>
                <w:sz w:val="21"/>
                <w:szCs w:val="21"/>
              </w:rPr>
              <w:br/>
              <w:t>$4 / $18 (&gt;200k tokens)</w:t>
            </w:r>
          </w:p>
        </w:tc>
      </w:tr>
      <w:tr w:rsidR="0099448C" w14:paraId="50423961" w14:textId="77777777">
        <w:trPr>
          <w:tblCellSpacing w:w="15" w:type="dxa"/>
        </w:trPr>
        <w:tc>
          <w:tcPr>
            <w:tcW w:w="0" w:type="auto"/>
            <w:tcBorders>
              <w:top w:val="nil"/>
              <w:left w:val="nil"/>
              <w:bottom w:val="single" w:sz="6" w:space="0" w:color="auto"/>
              <w:right w:val="nil"/>
            </w:tcBorders>
            <w:hideMark/>
          </w:tcPr>
          <w:p w14:paraId="4C508DFF"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gemini-3-flash-preview</w:t>
            </w:r>
          </w:p>
        </w:tc>
        <w:tc>
          <w:tcPr>
            <w:tcW w:w="0" w:type="auto"/>
            <w:tcBorders>
              <w:top w:val="nil"/>
              <w:left w:val="nil"/>
              <w:bottom w:val="single" w:sz="6" w:space="0" w:color="auto"/>
              <w:right w:val="nil"/>
            </w:tcBorders>
            <w:hideMark/>
          </w:tcPr>
          <w:p w14:paraId="49644ECC"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82FB5D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495EADE6" w14:textId="77777777" w:rsidR="0099448C" w:rsidRDefault="0099448C">
            <w:pPr>
              <w:spacing w:line="300" w:lineRule="atLeast"/>
              <w:rPr>
                <w:rFonts w:ascii="Roboto" w:hAnsi="Roboto"/>
                <w:sz w:val="21"/>
                <w:szCs w:val="21"/>
              </w:rPr>
            </w:pPr>
            <w:r>
              <w:rPr>
                <w:rFonts w:ascii="Roboto" w:hAnsi="Roboto"/>
                <w:sz w:val="21"/>
                <w:szCs w:val="21"/>
              </w:rPr>
              <w:t>$0.50 / $3</w:t>
            </w:r>
          </w:p>
        </w:tc>
      </w:tr>
      <w:tr w:rsidR="0099448C" w14:paraId="4749A5CC" w14:textId="77777777">
        <w:trPr>
          <w:tblCellSpacing w:w="15" w:type="dxa"/>
        </w:trPr>
        <w:tc>
          <w:tcPr>
            <w:tcW w:w="0" w:type="auto"/>
            <w:tcBorders>
              <w:top w:val="nil"/>
              <w:left w:val="nil"/>
              <w:bottom w:val="nil"/>
              <w:right w:val="nil"/>
            </w:tcBorders>
            <w:hideMark/>
          </w:tcPr>
          <w:p w14:paraId="17A01C80"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gemini-3-pro-image-preview</w:t>
            </w:r>
          </w:p>
        </w:tc>
        <w:tc>
          <w:tcPr>
            <w:tcW w:w="0" w:type="auto"/>
            <w:tcBorders>
              <w:top w:val="nil"/>
              <w:left w:val="nil"/>
              <w:bottom w:val="nil"/>
              <w:right w:val="nil"/>
            </w:tcBorders>
            <w:hideMark/>
          </w:tcPr>
          <w:p w14:paraId="7472214E" w14:textId="77777777" w:rsidR="0099448C" w:rsidRDefault="0099448C">
            <w:pPr>
              <w:spacing w:line="300" w:lineRule="atLeast"/>
              <w:rPr>
                <w:rFonts w:ascii="Roboto" w:hAnsi="Roboto"/>
                <w:sz w:val="21"/>
                <w:szCs w:val="21"/>
              </w:rPr>
            </w:pPr>
            <w:r>
              <w:rPr>
                <w:rFonts w:ascii="Roboto" w:hAnsi="Roboto"/>
                <w:sz w:val="21"/>
                <w:szCs w:val="21"/>
              </w:rPr>
              <w:t>65k / 32k</w:t>
            </w:r>
          </w:p>
        </w:tc>
        <w:tc>
          <w:tcPr>
            <w:tcW w:w="0" w:type="auto"/>
            <w:tcBorders>
              <w:top w:val="nil"/>
              <w:left w:val="nil"/>
              <w:bottom w:val="nil"/>
              <w:right w:val="nil"/>
            </w:tcBorders>
            <w:hideMark/>
          </w:tcPr>
          <w:p w14:paraId="5974A02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nil"/>
              <w:right w:val="nil"/>
            </w:tcBorders>
            <w:hideMark/>
          </w:tcPr>
          <w:p w14:paraId="6A2FCFF4" w14:textId="77777777" w:rsidR="0099448C" w:rsidRDefault="0099448C">
            <w:pPr>
              <w:spacing w:line="300" w:lineRule="atLeast"/>
              <w:rPr>
                <w:rFonts w:ascii="Roboto" w:hAnsi="Roboto"/>
                <w:sz w:val="21"/>
                <w:szCs w:val="21"/>
              </w:rPr>
            </w:pPr>
            <w:r>
              <w:rPr>
                <w:rFonts w:ascii="Roboto" w:hAnsi="Roboto"/>
                <w:sz w:val="21"/>
                <w:szCs w:val="21"/>
              </w:rPr>
              <w:t>$2 (Text Input) / $0.134 (Image Output)**</w:t>
            </w:r>
          </w:p>
        </w:tc>
      </w:tr>
    </w:tbl>
    <w:p w14:paraId="6F6A5AF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Style w:val="Emphasis"/>
          <w:rFonts w:ascii="Roboto" w:hAnsi="Roboto"/>
          <w:color w:val="202124"/>
        </w:rPr>
        <w:t>* Pricing is per 1 million tokens unless otherwise noted.</w:t>
      </w:r>
      <w:r>
        <w:rPr>
          <w:rFonts w:ascii="Roboto" w:hAnsi="Roboto"/>
          <w:color w:val="202124"/>
        </w:rPr>
        <w:t> </w:t>
      </w:r>
      <w:r>
        <w:rPr>
          <w:rStyle w:val="Emphasis"/>
          <w:rFonts w:ascii="Roboto" w:hAnsi="Roboto"/>
          <w:color w:val="202124"/>
        </w:rPr>
        <w:t>** Image pricing varies by resolution. See the </w:t>
      </w:r>
      <w:hyperlink r:id="rId12" w:history="1">
        <w:r>
          <w:rPr>
            <w:rStyle w:val="Hyperlink"/>
            <w:rFonts w:ascii="Roboto" w:hAnsi="Roboto"/>
            <w:i/>
            <w:iCs/>
            <w:color w:val="1A73E8"/>
          </w:rPr>
          <w:t>pricing page</w:t>
        </w:r>
      </w:hyperlink>
      <w:r>
        <w:rPr>
          <w:rStyle w:val="Emphasis"/>
          <w:rFonts w:ascii="Roboto" w:hAnsi="Roboto"/>
          <w:color w:val="202124"/>
        </w:rPr>
        <w:t> for details.</w:t>
      </w:r>
    </w:p>
    <w:p w14:paraId="000440FE" w14:textId="43321514" w:rsidR="0099448C" w:rsidRPr="00757032" w:rsidRDefault="0099448C" w:rsidP="00757032">
      <w:pPr>
        <w:pStyle w:val="NormalWeb"/>
        <w:shd w:val="clear" w:color="auto" w:fill="FFFFFF"/>
        <w:spacing w:before="240" w:beforeAutospacing="0" w:after="240" w:afterAutospacing="0"/>
        <w:rPr>
          <w:rFonts w:ascii="Roboto" w:hAnsi="Roboto"/>
          <w:color w:val="202124"/>
        </w:rPr>
      </w:pPr>
      <w:r>
        <w:rPr>
          <w:rFonts w:ascii="Roboto" w:hAnsi="Roboto"/>
          <w:color w:val="202124"/>
        </w:rPr>
        <w:t>For detailed limits, pricing, and additional information, see the </w:t>
      </w:r>
      <w:hyperlink r:id="rId13" w:history="1">
        <w:r>
          <w:rPr>
            <w:rStyle w:val="Hyperlink"/>
            <w:rFonts w:ascii="Roboto" w:hAnsi="Roboto"/>
            <w:color w:val="1A73E8"/>
          </w:rPr>
          <w:t>models page</w:t>
        </w:r>
      </w:hyperlink>
      <w:r>
        <w:rPr>
          <w:rFonts w:ascii="Roboto" w:hAnsi="Roboto"/>
          <w:color w:val="202124"/>
        </w:rPr>
        <w:t>.</w:t>
      </w:r>
    </w:p>
    <w:p w14:paraId="090AF684" w14:textId="126E6A69" w:rsidR="0099448C" w:rsidRDefault="0099448C" w:rsidP="00757032">
      <w:pPr>
        <w:pStyle w:val="Heading2"/>
        <w:rPr>
          <w:lang w:val="en-US"/>
        </w:rPr>
      </w:pPr>
      <w:r>
        <w:rPr>
          <w:lang w:val="en-US"/>
        </w:rPr>
        <w:t>ORR Section 2</w:t>
      </w:r>
      <w:r w:rsidR="00757032">
        <w:rPr>
          <w:lang w:val="en-US"/>
        </w:rPr>
        <w:t>.0</w:t>
      </w:r>
      <w:r>
        <w:rPr>
          <w:lang w:val="en-US"/>
        </w:rPr>
        <w:t xml:space="preserve"> (</w:t>
      </w:r>
      <w:r w:rsidR="00757032">
        <w:rPr>
          <w:lang w:val="en-US"/>
        </w:rPr>
        <w:t>to be completed by Object Reviewer</w:t>
      </w:r>
      <w:r>
        <w:rPr>
          <w:lang w:val="en-US"/>
        </w:rPr>
        <w:t>)</w:t>
      </w:r>
    </w:p>
    <w:p w14:paraId="54414118" w14:textId="77777777" w:rsidR="00757032" w:rsidRDefault="00757032" w:rsidP="00757032">
      <w:pPr>
        <w:rPr>
          <w:lang w:val="en-US"/>
        </w:rPr>
      </w:pPr>
      <w:r>
        <w:rPr>
          <w:lang w:val="en-US"/>
        </w:rPr>
        <w:t>[Instructions for Object Reviewers]</w:t>
      </w:r>
    </w:p>
    <w:p>
      <w:r>
        <w:rPr>
          <w:b/>
        </w:rPr>
        <w:t xml:space="preserve">2.0 Object Methodology This section evaluates the methodology and specification of the ROD Assist Object (ID: 235939) as documented in the Object Development Documentation (ODD). Model Risk Management (MRM) assesses the soundness of the Object's architecture, design choices, and technical implementation methodology.</w:t>
      </w:r>
    </w:p>
    <w:p>
      <w:r>
        <w:rPr>
          <w:b/>
        </w:rPr>
        <w:t xml:space="preserve">2.1 Architecture Assessment The Object employs a Retrieval Augmented Generation (RAG) architecture consisting of the following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Component</w:t>
            </w:r>
          </w:p>
        </w:tc>
        <w:tc>
          <w:tcPr>
            <w:tcW w:type="dxa" w:w="2880"/>
          </w:tcPr>
          <w:p>
            <w:pPr>
              <w:spacing w:after="40" w:before="40"/>
            </w:pPr>
            <w:r>
              <w:rPr>
                <w:b/>
                <w:sz w:val="18"/>
              </w:rPr>
              <w:t>Technology</w:t>
            </w:r>
          </w:p>
        </w:tc>
        <w:tc>
          <w:tcPr>
            <w:tcW w:type="dxa" w:w="2880"/>
          </w:tcPr>
          <w:p>
            <w:pPr>
              <w:spacing w:after="40" w:before="40"/>
            </w:pPr>
            <w:r>
              <w:rPr>
                <w:b/>
                <w:sz w:val="18"/>
              </w:rPr>
              <w:t>Purpose</w:t>
            </w:r>
          </w:p>
        </w:tc>
      </w:tr>
      <w:tr>
        <w:tc>
          <w:tcPr>
            <w:tcW w:type="dxa" w:w="2880"/>
          </w:tcPr>
          <w:p>
            <w:pPr>
              <w:spacing w:after="40" w:before="40"/>
            </w:pPr>
            <w:r>
              <w:rPr>
                <w:b/>
                <w:sz w:val="18"/>
              </w:rPr>
              <w:t>Foundation Model</w:t>
            </w:r>
          </w:p>
        </w:tc>
        <w:tc>
          <w:tcPr>
            <w:tcW w:type="dxa" w:w="2880"/>
          </w:tcPr>
          <w:p>
            <w:pPr>
              <w:spacing w:after="40" w:before="40"/>
            </w:pPr>
            <w:r>
              <w:rPr>
                <w:sz w:val="18"/>
              </w:rPr>
              <w:t>Google Gemini-2.5-flash</w:t>
            </w:r>
          </w:p>
        </w:tc>
        <w:tc>
          <w:tcPr>
            <w:tcW w:type="dxa" w:w="2880"/>
          </w:tcPr>
          <w:p>
            <w:pPr>
              <w:spacing w:after="40" w:before="40"/>
            </w:pPr>
            <w:r>
              <w:rPr>
                <w:sz w:val="18"/>
              </w:rPr>
              <w:t>Generates natural language responses based on retrieved context</w:t>
            </w:r>
          </w:p>
        </w:tc>
      </w:tr>
      <w:tr>
        <w:tc>
          <w:tcPr>
            <w:tcW w:type="dxa" w:w="2880"/>
          </w:tcPr>
          <w:p>
            <w:pPr>
              <w:spacing w:after="40" w:before="40"/>
            </w:pPr>
            <w:r>
              <w:rPr>
                <w:b/>
                <w:sz w:val="18"/>
              </w:rPr>
              <w:t>Embedding Model</w:t>
            </w:r>
          </w:p>
        </w:tc>
        <w:tc>
          <w:tcPr>
            <w:tcW w:type="dxa" w:w="2880"/>
          </w:tcPr>
          <w:p>
            <w:pPr>
              <w:spacing w:after="40" w:before="40"/>
            </w:pPr>
            <w:r>
              <w:rPr>
                <w:sz w:val="18"/>
              </w:rPr>
              <w:t>Google text-embedding-005</w:t>
            </w:r>
          </w:p>
        </w:tc>
        <w:tc>
          <w:tcPr>
            <w:tcW w:type="dxa" w:w="2880"/>
          </w:tcPr>
          <w:p>
            <w:pPr>
              <w:spacing w:after="40" w:before="40"/>
            </w:pPr>
            <w:r>
              <w:rPr>
                <w:sz w:val="18"/>
              </w:rPr>
              <w:t>Converts documents and queries into vector representations</w:t>
            </w:r>
          </w:p>
        </w:tc>
      </w:tr>
      <w:tr>
        <w:tc>
          <w:tcPr>
            <w:tcW w:type="dxa" w:w="2880"/>
          </w:tcPr>
          <w:p>
            <w:pPr>
              <w:spacing w:after="40" w:before="40"/>
            </w:pPr>
            <w:r>
              <w:rPr>
                <w:b/>
                <w:sz w:val="18"/>
              </w:rPr>
              <w:t>Vector Database</w:t>
            </w:r>
          </w:p>
        </w:tc>
        <w:tc>
          <w:tcPr>
            <w:tcW w:type="dxa" w:w="2880"/>
          </w:tcPr>
          <w:p>
            <w:pPr>
              <w:spacing w:after="40" w:before="40"/>
            </w:pPr>
            <w:r>
              <w:rPr>
                <w:sz w:val="18"/>
              </w:rPr>
              <w:t>Vertex AI Vector Search</w:t>
            </w:r>
          </w:p>
        </w:tc>
        <w:tc>
          <w:tcPr>
            <w:tcW w:type="dxa" w:w="2880"/>
          </w:tcPr>
          <w:p>
            <w:pPr>
              <w:spacing w:after="40" w:before="40"/>
            </w:pPr>
            <w:r>
              <w:rPr>
                <w:sz w:val="18"/>
              </w:rPr>
              <w:t>Stores and retrieves document embeddings</w:t>
            </w:r>
          </w:p>
        </w:tc>
      </w:tr>
      <w:tr>
        <w:tc>
          <w:tcPr>
            <w:tcW w:type="dxa" w:w="2880"/>
          </w:tcPr>
          <w:p>
            <w:pPr>
              <w:spacing w:after="40" w:before="40"/>
            </w:pPr>
            <w:r>
              <w:rPr>
                <w:b/>
                <w:sz w:val="18"/>
              </w:rPr>
              <w:t>Orchestration</w:t>
            </w:r>
          </w:p>
        </w:tc>
        <w:tc>
          <w:tcPr>
            <w:tcW w:type="dxa" w:w="2880"/>
          </w:tcPr>
          <w:p>
            <w:pPr>
              <w:spacing w:after="40" w:before="40"/>
            </w:pPr>
            <w:r>
              <w:rPr>
                <w:sz w:val="18"/>
              </w:rPr>
              <w:t>Custom pipeline</w:t>
            </w:r>
          </w:p>
        </w:tc>
        <w:tc>
          <w:tcPr>
            <w:tcW w:type="dxa" w:w="2880"/>
          </w:tcPr>
          <w:p>
            <w:pPr>
              <w:spacing w:after="40" w:before="40"/>
            </w:pPr>
            <w:r>
              <w:rPr>
                <w:sz w:val="18"/>
              </w:rPr>
              <w:t>Manages retrieval, context assembly, and response generation</w:t>
            </w:r>
          </w:p>
        </w:tc>
      </w:tr>
      <w:tr>
        <w:tc>
          <w:tcPr>
            <w:tcW w:type="dxa" w:w="2880"/>
          </w:tcPr>
          <w:p>
            <w:pPr>
              <w:spacing w:after="40" w:before="40"/>
            </w:pPr>
            <w:r>
              <w:rPr>
                <w:b/>
                <w:sz w:val="18"/>
              </w:rPr>
              <w:t>API Gateway</w:t>
            </w:r>
          </w:p>
        </w:tc>
        <w:tc>
          <w:tcPr>
            <w:tcW w:type="dxa" w:w="2880"/>
          </w:tcPr>
          <w:p>
            <w:pPr>
              <w:spacing w:after="40" w:before="40"/>
            </w:pPr>
            <w:r>
              <w:rPr>
                <w:sz w:val="18"/>
              </w:rPr>
              <w:t>R2D2</w:t>
            </w:r>
          </w:p>
        </w:tc>
        <w:tc>
          <w:tcPr>
            <w:tcW w:type="dxa" w:w="2880"/>
          </w:tcPr>
          <w:p>
            <w:pPr>
              <w:spacing w:after="40" w:before="40"/>
            </w:pPr>
            <w:r>
              <w:rPr>
                <w:sz w:val="18"/>
              </w:rPr>
              <w:t>Routes requests and manages access control</w:t>
            </w:r>
          </w:p>
        </w:tc>
      </w:tr>
    </w:tbl>
    <w:p>
      <w:r>
        <w:rPr>
          <w:b/>
        </w:rPr>
        <w:t>MRM Assessment:</w:t>
      </w:r>
      <w:r>
        <w:t xml:space="preserve"> The RAG architecture is appropriate for a documentation Q&amp;A use case. It provides grounding in factual source material and reduces the risk of hallucination compared to pure generative approaches. The use of a well-established vendor (Google) and proven technologies reduces implementation risk.</w:t>
      </w:r>
    </w:p>
    <w:p>
      <w:r>
        <w:rPr>
          <w:b/>
        </w:rPr>
        <w:t xml:space="preserve">2.2 Retrieval Methodology The retrieval component processes user queries through the following pipeline:</w:t>
      </w:r>
    </w:p>
    <w:p>
      <w:pPr>
        <w:pStyle w:val="ListParagraph"/>
        <w:ind w:left="720" w:hanging="360"/>
        <w:numPr>
          <w:ilvl w:val="0"/>
          <w:numId w:val="1"/>
        </w:numPr>
      </w:pPr>
      <w:r>
        <w:rPr>
          <w:b/>
        </w:rPr>
        <w:t xml:space="preserve">Query Embedding:</w:t>
      </w:r>
      <w:r>
        <w:rPr/>
        <w:t xml:space="preserve"> User queries are converted to vector representations using the text-embedding-005 model.</w:t>
      </w:r>
    </w:p>
    <w:p>
      <w:pPr>
        <w:pStyle w:val="ListParagraph"/>
        <w:ind w:left="720" w:hanging="360"/>
        <w:numPr>
          <w:ilvl w:val="0"/>
          <w:numId w:val="1"/>
        </w:numPr>
      </w:pPr>
      <w:r>
        <w:rPr>
          <w:b/>
        </w:rPr>
        <w:t xml:space="preserve">Similarity Search:</w:t>
      </w:r>
      <w:r>
        <w:rPr/>
        <w:t xml:space="preserve"> The query vector is compared against the document index using cosine similarity.</w:t>
      </w:r>
    </w:p>
    <w:p>
      <w:pPr>
        <w:pStyle w:val="ListParagraph"/>
        <w:ind w:left="720" w:hanging="360"/>
        <w:numPr>
          <w:ilvl w:val="0"/>
          <w:numId w:val="1"/>
        </w:numPr>
      </w:pPr>
      <w:r>
        <w:rPr>
          <w:b/>
        </w:rPr>
        <w:t xml:space="preserve">Top-K Retrieval:</w:t>
      </w:r>
      <w:r>
        <w:rPr/>
        <w:t xml:space="preserve"> The top-K most similar document chunks are retrieved (K configured based on context window constraints).</w:t>
      </w:r>
    </w:p>
    <w:p>
      <w:pPr>
        <w:pStyle w:val="ListParagraph"/>
        <w:ind w:left="720" w:hanging="360"/>
        <w:numPr>
          <w:ilvl w:val="0"/>
          <w:numId w:val="1"/>
        </w:numPr>
      </w:pPr>
      <w:r>
        <w:rPr>
          <w:b/>
        </w:rPr>
        <w:t xml:space="preserve">Context Assembly:</w:t>
      </w:r>
      <w:r>
        <w:rPr/>
        <w:t xml:space="preserve"> Retrieved chunks are assembled into a context window for the foundation model. </w:t>
      </w:r>
      <w:r>
        <w:rPr>
          <w:b/>
        </w:rPr>
        <w:t xml:space="preserve">Retrieval Configuration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Parameter</w:t>
            </w:r>
          </w:p>
        </w:tc>
        <w:tc>
          <w:tcPr>
            <w:tcW w:type="dxa" w:w="2880"/>
          </w:tcPr>
          <w:p>
            <w:pPr>
              <w:spacing w:after="40" w:before="40"/>
            </w:pPr>
            <w:r>
              <w:rPr>
                <w:b/>
                <w:sz w:val="18"/>
              </w:rPr>
              <w:t>Value</w:t>
            </w:r>
          </w:p>
        </w:tc>
        <w:tc>
          <w:tcPr>
            <w:tcW w:type="dxa" w:w="2880"/>
          </w:tcPr>
          <w:p>
            <w:pPr>
              <w:spacing w:after="40" w:before="40"/>
            </w:pPr>
            <w:r>
              <w:rPr>
                <w:b/>
                <w:sz w:val="18"/>
              </w:rPr>
              <w:t>Rationale</w:t>
            </w:r>
          </w:p>
        </w:tc>
      </w:tr>
      <w:tr>
        <w:tc>
          <w:tcPr>
            <w:tcW w:type="dxa" w:w="2880"/>
          </w:tcPr>
          <w:p>
            <w:pPr>
              <w:spacing w:after="40" w:before="40"/>
            </w:pPr>
            <w:r>
              <w:rPr>
                <w:sz w:val="18"/>
              </w:rPr>
              <w:t>Chunk Size</w:t>
            </w:r>
          </w:p>
        </w:tc>
        <w:tc>
          <w:tcPr>
            <w:tcW w:type="dxa" w:w="2880"/>
          </w:tcPr>
          <w:p>
            <w:pPr>
              <w:spacing w:after="40" w:before="40"/>
            </w:pPr>
            <w:r>
              <w:rPr>
                <w:sz w:val="18"/>
              </w:rPr>
              <w:t>1,000 tokens</w:t>
            </w:r>
          </w:p>
        </w:tc>
        <w:tc>
          <w:tcPr>
            <w:tcW w:type="dxa" w:w="2880"/>
          </w:tcPr>
          <w:p>
            <w:pPr>
              <w:spacing w:after="40" w:before="40"/>
            </w:pPr>
            <w:r>
              <w:rPr>
                <w:sz w:val="18"/>
              </w:rPr>
              <w:t>Balances context completeness with retrieval precision</w:t>
            </w:r>
          </w:p>
        </w:tc>
      </w:tr>
      <w:tr>
        <w:tc>
          <w:tcPr>
            <w:tcW w:type="dxa" w:w="2880"/>
          </w:tcPr>
          <w:p>
            <w:pPr>
              <w:spacing w:after="40" w:before="40"/>
            </w:pPr>
            <w:r>
              <w:rPr>
                <w:sz w:val="18"/>
              </w:rPr>
              <w:t>Chunk Overlap</w:t>
            </w:r>
          </w:p>
        </w:tc>
        <w:tc>
          <w:tcPr>
            <w:tcW w:type="dxa" w:w="2880"/>
          </w:tcPr>
          <w:p>
            <w:pPr>
              <w:spacing w:after="40" w:before="40"/>
            </w:pPr>
            <w:r>
              <w:rPr>
                <w:sz w:val="18"/>
              </w:rPr>
              <w:t>200 tokens</w:t>
            </w:r>
          </w:p>
        </w:tc>
        <w:tc>
          <w:tcPr>
            <w:tcW w:type="dxa" w:w="2880"/>
          </w:tcPr>
          <w:p>
            <w:pPr>
              <w:spacing w:after="40" w:before="40"/>
            </w:pPr>
            <w:r>
              <w:rPr>
                <w:sz w:val="18"/>
              </w:rPr>
              <w:t>Ensures continuity across chunk boundaries</w:t>
            </w:r>
          </w:p>
        </w:tc>
      </w:tr>
      <w:tr>
        <w:tc>
          <w:tcPr>
            <w:tcW w:type="dxa" w:w="2880"/>
          </w:tcPr>
          <w:p>
            <w:pPr>
              <w:spacing w:after="40" w:before="40"/>
            </w:pPr>
            <w:r>
              <w:rPr>
                <w:sz w:val="18"/>
              </w:rPr>
              <w:t>Top-K</w:t>
            </w:r>
          </w:p>
        </w:tc>
        <w:tc>
          <w:tcPr>
            <w:tcW w:type="dxa" w:w="2880"/>
          </w:tcPr>
          <w:p>
            <w:pPr>
              <w:spacing w:after="40" w:before="40"/>
            </w:pPr>
            <w:r>
              <w:rPr>
                <w:sz w:val="18"/>
              </w:rPr>
              <w:t>5</w:t>
            </w:r>
          </w:p>
        </w:tc>
        <w:tc>
          <w:tcPr>
            <w:tcW w:type="dxa" w:w="2880"/>
          </w:tcPr>
          <w:p>
            <w:pPr>
              <w:spacing w:after="40" w:before="40"/>
            </w:pPr>
            <w:r>
              <w:rPr>
                <w:sz w:val="18"/>
              </w:rPr>
              <w:t>Provides sufficient context without exceeding optimal window size</w:t>
            </w:r>
          </w:p>
        </w:tc>
      </w:tr>
      <w:tr>
        <w:tc>
          <w:tcPr>
            <w:tcW w:type="dxa" w:w="2880"/>
          </w:tcPr>
          <w:p>
            <w:pPr>
              <w:spacing w:after="40" w:before="40"/>
            </w:pPr>
            <w:r>
              <w:rPr>
                <w:sz w:val="18"/>
              </w:rPr>
              <w:t>Similarity Threshold</w:t>
            </w:r>
          </w:p>
        </w:tc>
        <w:tc>
          <w:tcPr>
            <w:tcW w:type="dxa" w:w="2880"/>
          </w:tcPr>
          <w:p>
            <w:pPr>
              <w:spacing w:after="40" w:before="40"/>
            </w:pPr>
            <w:r>
              <w:rPr>
                <w:sz w:val="18"/>
              </w:rPr>
              <w:t>0.72</w:t>
            </w:r>
          </w:p>
        </w:tc>
        <w:tc>
          <w:tcPr>
            <w:tcW w:type="dxa" w:w="2880"/>
          </w:tcPr>
          <w:p>
            <w:pPr>
              <w:spacing w:after="40" w:before="40"/>
            </w:pPr>
            <w:r>
              <w:rPr>
                <w:sz w:val="18"/>
              </w:rPr>
              <w:t>Filters low-relevance results to reduce noise</w:t>
            </w:r>
          </w:p>
        </w:tc>
      </w:tr>
      <w:tr>
        <w:tc>
          <w:tcPr>
            <w:tcW w:type="dxa" w:w="2880"/>
          </w:tcPr>
          <w:p>
            <w:pPr>
              <w:spacing w:after="40" w:before="40"/>
            </w:pPr>
            <w:r>
              <w:rPr>
                <w:sz w:val="18"/>
              </w:rPr>
              <w:t>Re-ranking</w:t>
            </w:r>
          </w:p>
        </w:tc>
        <w:tc>
          <w:tcPr>
            <w:tcW w:type="dxa" w:w="2880"/>
          </w:tcPr>
          <w:p>
            <w:pPr>
              <w:spacing w:after="40" w:before="40"/>
            </w:pPr>
            <w:r>
              <w:rPr>
                <w:sz w:val="18"/>
              </w:rPr>
              <w:t>Enabled</w:t>
            </w:r>
          </w:p>
        </w:tc>
        <w:tc>
          <w:tcPr>
            <w:tcW w:type="dxa" w:w="2880"/>
          </w:tcPr>
          <w:p>
            <w:pPr>
              <w:spacing w:after="40" w:before="40"/>
            </w:pPr>
            <w:r>
              <w:rPr>
                <w:sz w:val="18"/>
              </w:rPr>
              <w:t>Cross-encoder re-ranking improves precision of final context</w:t>
            </w:r>
          </w:p>
        </w:tc>
      </w:tr>
    </w:tbl>
    <w:p>
      <w:r>
        <w:rPr>
          <w:b/>
        </w:rPr>
        <w:t>MRM Assessment:</w:t>
      </w:r>
      <w:r>
        <w:t xml:space="preserve"> The retrieval methodology is sound and follows established best practices for RAG systems. The inclusion of chunk overlap and re-ranking demonstrates attention to retrieval quality. MRM notes that the similarity threshold of 0.72 was empirically determined through testing, which is appropriate.</w:t>
      </w:r>
    </w:p>
    <w:p>
      <w:r>
        <w:rPr>
          <w:b/>
        </w:rPr>
        <w:t xml:space="preserve">2.3 Generation Methodology The generation component uses Google Gemini-2.5-flash with the following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Parameter</w:t>
            </w:r>
          </w:p>
        </w:tc>
        <w:tc>
          <w:tcPr>
            <w:tcW w:type="dxa" w:w="2880"/>
          </w:tcPr>
          <w:p>
            <w:pPr>
              <w:spacing w:after="40" w:before="40"/>
            </w:pPr>
            <w:r>
              <w:rPr>
                <w:b/>
                <w:sz w:val="18"/>
              </w:rPr>
              <w:t>Setting</w:t>
            </w:r>
          </w:p>
        </w:tc>
        <w:tc>
          <w:tcPr>
            <w:tcW w:type="dxa" w:w="2880"/>
          </w:tcPr>
          <w:p>
            <w:pPr>
              <w:spacing w:after="40" w:before="40"/>
            </w:pPr>
            <w:r>
              <w:rPr>
                <w:b/>
                <w:sz w:val="18"/>
              </w:rPr>
              <w:t>Rationale</w:t>
            </w:r>
          </w:p>
        </w:tc>
      </w:tr>
      <w:tr>
        <w:tc>
          <w:tcPr>
            <w:tcW w:type="dxa" w:w="2880"/>
          </w:tcPr>
          <w:p>
            <w:pPr>
              <w:spacing w:after="40" w:before="40"/>
            </w:pPr>
            <w:r>
              <w:rPr>
                <w:sz w:val="18"/>
              </w:rPr>
              <w:t>Temperature</w:t>
            </w:r>
          </w:p>
        </w:tc>
        <w:tc>
          <w:tcPr>
            <w:tcW w:type="dxa" w:w="2880"/>
          </w:tcPr>
          <w:p>
            <w:pPr>
              <w:spacing w:after="40" w:before="40"/>
            </w:pPr>
            <w:r>
              <w:rPr>
                <w:sz w:val="18"/>
              </w:rPr>
              <w:t>0.0</w:t>
            </w:r>
          </w:p>
        </w:tc>
        <w:tc>
          <w:tcPr>
            <w:tcW w:type="dxa" w:w="2880"/>
          </w:tcPr>
          <w:p>
            <w:pPr>
              <w:spacing w:after="40" w:before="40"/>
            </w:pPr>
            <w:r>
              <w:rPr>
                <w:sz w:val="18"/>
              </w:rPr>
              <w:t>Maximizes determinism for documentation Q&amp;A</w:t>
            </w:r>
          </w:p>
        </w:tc>
      </w:tr>
      <w:tr>
        <w:tc>
          <w:tcPr>
            <w:tcW w:type="dxa" w:w="2880"/>
          </w:tcPr>
          <w:p>
            <w:pPr>
              <w:spacing w:after="40" w:before="40"/>
            </w:pPr>
            <w:r>
              <w:rPr>
                <w:sz w:val="18"/>
              </w:rPr>
              <w:t>Max Output Tokens</w:t>
            </w:r>
          </w:p>
        </w:tc>
        <w:tc>
          <w:tcPr>
            <w:tcW w:type="dxa" w:w="2880"/>
          </w:tcPr>
          <w:p>
            <w:pPr>
              <w:spacing w:after="40" w:before="40"/>
            </w:pPr>
            <w:r>
              <w:rPr>
                <w:sz w:val="18"/>
              </w:rPr>
              <w:t>2,048</w:t>
            </w:r>
          </w:p>
        </w:tc>
        <w:tc>
          <w:tcPr>
            <w:tcW w:type="dxa" w:w="2880"/>
          </w:tcPr>
          <w:p>
            <w:pPr>
              <w:spacing w:after="40" w:before="40"/>
            </w:pPr>
            <w:r>
              <w:rPr>
                <w:sz w:val="18"/>
              </w:rPr>
              <w:t>Sufficient for detailed answers without excessive length</w:t>
            </w:r>
          </w:p>
        </w:tc>
      </w:tr>
      <w:tr>
        <w:tc>
          <w:tcPr>
            <w:tcW w:type="dxa" w:w="2880"/>
          </w:tcPr>
          <w:p>
            <w:pPr>
              <w:spacing w:after="40" w:before="40"/>
            </w:pPr>
            <w:r>
              <w:rPr>
                <w:sz w:val="18"/>
              </w:rPr>
              <w:t>Top-P</w:t>
            </w:r>
          </w:p>
        </w:tc>
        <w:tc>
          <w:tcPr>
            <w:tcW w:type="dxa" w:w="2880"/>
          </w:tcPr>
          <w:p>
            <w:pPr>
              <w:spacing w:after="40" w:before="40"/>
            </w:pPr>
            <w:r>
              <w:rPr>
                <w:sz w:val="18"/>
              </w:rPr>
              <w:t>1.0</w:t>
            </w:r>
          </w:p>
        </w:tc>
        <w:tc>
          <w:tcPr>
            <w:tcW w:type="dxa" w:w="2880"/>
          </w:tcPr>
          <w:p>
            <w:pPr>
              <w:spacing w:after="40" w:before="40"/>
            </w:pPr>
            <w:r>
              <w:rPr>
                <w:sz w:val="18"/>
              </w:rPr>
              <w:t>Combined with temperature=0, ensures greedy decoding</w:t>
            </w:r>
          </w:p>
        </w:tc>
      </w:tr>
      <w:tr>
        <w:tc>
          <w:tcPr>
            <w:tcW w:type="dxa" w:w="2880"/>
          </w:tcPr>
          <w:p>
            <w:pPr>
              <w:spacing w:after="40" w:before="40"/>
            </w:pPr>
            <w:r>
              <w:rPr>
                <w:sz w:val="18"/>
              </w:rPr>
              <w:t>Safety Settings</w:t>
            </w:r>
          </w:p>
        </w:tc>
        <w:tc>
          <w:tcPr>
            <w:tcW w:type="dxa" w:w="2880"/>
          </w:tcPr>
          <w:p>
            <w:pPr>
              <w:spacing w:after="40" w:before="40"/>
            </w:pPr>
            <w:r>
              <w:rPr>
                <w:sz w:val="18"/>
              </w:rPr>
              <w:t>Default Google filters</w:t>
            </w:r>
          </w:p>
        </w:tc>
        <w:tc>
          <w:tcPr>
            <w:tcW w:type="dxa" w:w="2880"/>
          </w:tcPr>
          <w:p>
            <w:pPr>
              <w:spacing w:after="40" w:before="40"/>
            </w:pPr>
            <w:r>
              <w:rPr>
                <w:sz w:val="18"/>
              </w:rPr>
              <w:t>Blocks harmful content generation</w:t>
            </w:r>
          </w:p>
        </w:tc>
      </w:tr>
      <w:tr>
        <w:tc>
          <w:tcPr>
            <w:tcW w:type="dxa" w:w="2880"/>
          </w:tcPr>
          <w:p>
            <w:pPr>
              <w:spacing w:after="40" w:before="40"/>
            </w:pPr>
            <w:r>
              <w:rPr>
                <w:sz w:val="18"/>
              </w:rPr>
              <w:t>Grounding</w:t>
            </w:r>
          </w:p>
        </w:tc>
        <w:tc>
          <w:tcPr>
            <w:tcW w:type="dxa" w:w="2880"/>
          </w:tcPr>
          <w:p>
            <w:pPr>
              <w:spacing w:after="40" w:before="40"/>
            </w:pPr>
            <w:r>
              <w:rPr>
                <w:sz w:val="18"/>
              </w:rPr>
              <w:t>Enabled</w:t>
            </w:r>
          </w:p>
        </w:tc>
        <w:tc>
          <w:tcPr>
            <w:tcW w:type="dxa" w:w="2880"/>
          </w:tcPr>
          <w:p>
            <w:pPr>
              <w:spacing w:after="40" w:before="40"/>
            </w:pPr>
            <w:r>
              <w:rPr>
                <w:sz w:val="18"/>
              </w:rPr>
              <w:t>Constrains responses to provided context</w:t>
            </w:r>
          </w:p>
        </w:tc>
      </w:tr>
    </w:tbl>
    <w:p>
      <w:r>
        <w:rPr>
          <w:b/>
        </w:rPr>
        <w:t>MRM Assessment:</w:t>
      </w:r>
      <w:r>
        <w:t xml:space="preserve"> The generation configuration is appropriate for the use case. The temperature setting of 0.0 maximizes reproducibility and reduces variance in outputs, which is desirable for documentation assistance. The grounding feature constrains the model to respond based on retrieved context, reducing hallucination risk.</w:t>
      </w:r>
    </w:p>
    <w:p>
      <w:r>
        <w:rPr>
          <w:b/>
        </w:rPr>
        <w:t xml:space="preserve">2.4 System Prompt Design The ODD provides a summary of the system prompt's key instructions but does not include the full prompt text in the main body. Based on the ODD description, the system prompt instructs the model to:</w:t>
      </w:r>
    </w:p>
    <w:p>
      <w:pPr>
        <w:pStyle w:val="ListParagraph"/>
        <w:ind w:left="720" w:hanging="360"/>
        <w:numPr>
          <w:ilvl w:val="0"/>
          <w:numId w:val="2"/>
        </w:numPr>
      </w:pPr>
      <w:r>
        <w:rPr/>
        <w:t xml:space="preserve">Answer questions only based on the provided context </w:t>
      </w:r>
      <w:r>
        <w:rPr>
          <w:i/>
        </w:rPr>
        <w:t xml:space="preserve"> Include citations to source documents in every response </w:t>
      </w:r>
      <w:r>
        <w:rPr/>
        <w:t xml:space="preserve"> Decline to answer queries that fall outside the scope of available documentation </w:t>
      </w:r>
      <w:r>
        <w:rPr>
          <w:i/>
        </w:rPr>
        <w:t xml:space="preserve"> Format responses clearly using markdown structure </w:t>
      </w:r>
      <w:r>
        <w:rPr>
          <w:i/>
        </w:rPr>
        <w:t xml:space="preserve">MRM Assessment:</w:t>
      </w:r>
      <w:r>
        <w:rPr/>
        <w:t xml:space="preserve">* The system prompt design follows appropriate patterns for a RAG chatbot. The emphasis on citation, scope limitation, and context-grounding are positive attributes. However, the absence of the full prompt text in the ODD body is a documentation gap addressed through limitation 235939.02.</w:t>
      </w:r>
    </w:p>
    <w:p>
      <w:r>
        <w:rPr>
          <w:b/>
        </w:rPr>
        <w:t xml:space="preserve">2.5 Guardrails and Safety Controls The Object implements multiple layers of safety controls: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Control Layer</w:t>
            </w:r>
          </w:p>
        </w:tc>
        <w:tc>
          <w:tcPr>
            <w:tcW w:type="dxa" w:w="2880"/>
          </w:tcPr>
          <w:p>
            <w:pPr>
              <w:spacing w:after="40" w:before="40"/>
            </w:pPr>
            <w:r>
              <w:rPr>
                <w:b/>
                <w:sz w:val="18"/>
              </w:rPr>
              <w:t>Implementation</w:t>
            </w:r>
          </w:p>
        </w:tc>
        <w:tc>
          <w:tcPr>
            <w:tcW w:type="dxa" w:w="2880"/>
          </w:tcPr>
          <w:p>
            <w:pPr>
              <w:spacing w:after="40" w:before="40"/>
            </w:pPr>
            <w:r>
              <w:rPr>
                <w:b/>
                <w:sz w:val="18"/>
              </w:rPr>
              <w:t>Purpose</w:t>
            </w:r>
          </w:p>
        </w:tc>
      </w:tr>
      <w:tr>
        <w:tc>
          <w:tcPr>
            <w:tcW w:type="dxa" w:w="2880"/>
          </w:tcPr>
          <w:p>
            <w:pPr>
              <w:spacing w:after="40" w:before="40"/>
            </w:pPr>
            <w:r>
              <w:rPr>
                <w:b/>
                <w:sz w:val="18"/>
              </w:rPr>
              <w:t>Input Filtering</w:t>
            </w:r>
          </w:p>
        </w:tc>
        <w:tc>
          <w:tcPr>
            <w:tcW w:type="dxa" w:w="2880"/>
          </w:tcPr>
          <w:p>
            <w:pPr>
              <w:spacing w:after="40" w:before="40"/>
            </w:pPr>
            <w:r>
              <w:rPr>
                <w:sz w:val="18"/>
              </w:rPr>
              <w:t>Google default safety filters</w:t>
            </w:r>
          </w:p>
        </w:tc>
        <w:tc>
          <w:tcPr>
            <w:tcW w:type="dxa" w:w="2880"/>
          </w:tcPr>
          <w:p>
            <w:pPr>
              <w:spacing w:after="40" w:before="40"/>
            </w:pPr>
            <w:r>
              <w:rPr>
                <w:sz w:val="18"/>
              </w:rPr>
              <w:t>Blocks harmful input queries</w:t>
            </w:r>
          </w:p>
        </w:tc>
      </w:tr>
      <w:tr>
        <w:tc>
          <w:tcPr>
            <w:tcW w:type="dxa" w:w="2880"/>
          </w:tcPr>
          <w:p>
            <w:pPr>
              <w:spacing w:after="40" w:before="40"/>
            </w:pPr>
            <w:r>
              <w:rPr>
                <w:b/>
                <w:sz w:val="18"/>
              </w:rPr>
              <w:t>Scope Enforcement</w:t>
            </w:r>
          </w:p>
        </w:tc>
        <w:tc>
          <w:tcPr>
            <w:tcW w:type="dxa" w:w="2880"/>
          </w:tcPr>
          <w:p>
            <w:pPr>
              <w:spacing w:after="40" w:before="40"/>
            </w:pPr>
            <w:r>
              <w:rPr>
                <w:sz w:val="18"/>
              </w:rPr>
              <w:t>System prompt instructions + retrieval threshold</w:t>
            </w:r>
          </w:p>
        </w:tc>
        <w:tc>
          <w:tcPr>
            <w:tcW w:type="dxa" w:w="2880"/>
          </w:tcPr>
          <w:p>
            <w:pPr>
              <w:spacing w:after="40" w:before="40"/>
            </w:pPr>
            <w:r>
              <w:rPr>
                <w:sz w:val="18"/>
              </w:rPr>
              <w:t>Limits responses to in-scope content</w:t>
            </w:r>
          </w:p>
        </w:tc>
      </w:tr>
      <w:tr>
        <w:tc>
          <w:tcPr>
            <w:tcW w:type="dxa" w:w="2880"/>
          </w:tcPr>
          <w:p>
            <w:pPr>
              <w:spacing w:after="40" w:before="40"/>
            </w:pPr>
            <w:r>
              <w:rPr>
                <w:b/>
                <w:sz w:val="18"/>
              </w:rPr>
              <w:t>Output Filtering</w:t>
            </w:r>
          </w:p>
        </w:tc>
        <w:tc>
          <w:tcPr>
            <w:tcW w:type="dxa" w:w="2880"/>
          </w:tcPr>
          <w:p>
            <w:pPr>
              <w:spacing w:after="40" w:before="40"/>
            </w:pPr>
            <w:r>
              <w:rPr>
                <w:sz w:val="18"/>
              </w:rPr>
              <w:t>Google default safety filters</w:t>
            </w:r>
          </w:p>
        </w:tc>
        <w:tc>
          <w:tcPr>
            <w:tcW w:type="dxa" w:w="2880"/>
          </w:tcPr>
          <w:p>
            <w:pPr>
              <w:spacing w:after="40" w:before="40"/>
            </w:pPr>
            <w:r>
              <w:rPr>
                <w:sz w:val="18"/>
              </w:rPr>
              <w:t>Blocks harmful generated content</w:t>
            </w:r>
          </w:p>
        </w:tc>
      </w:tr>
      <w:tr>
        <w:tc>
          <w:tcPr>
            <w:tcW w:type="dxa" w:w="2880"/>
          </w:tcPr>
          <w:p>
            <w:pPr>
              <w:spacing w:after="40" w:before="40"/>
            </w:pPr>
            <w:r>
              <w:rPr>
                <w:b/>
                <w:sz w:val="18"/>
              </w:rPr>
              <w:t>Citation Requirement</w:t>
            </w:r>
          </w:p>
        </w:tc>
        <w:tc>
          <w:tcPr>
            <w:tcW w:type="dxa" w:w="2880"/>
          </w:tcPr>
          <w:p>
            <w:pPr>
              <w:spacing w:after="40" w:before="40"/>
            </w:pPr>
            <w:r>
              <w:rPr>
                <w:sz w:val="18"/>
              </w:rPr>
              <w:t>System prompt + post-processing</w:t>
            </w:r>
          </w:p>
        </w:tc>
        <w:tc>
          <w:tcPr>
            <w:tcW w:type="dxa" w:w="2880"/>
          </w:tcPr>
          <w:p>
            <w:pPr>
              <w:spacing w:after="40" w:before="40"/>
            </w:pPr>
            <w:r>
              <w:rPr>
                <w:sz w:val="18"/>
              </w:rPr>
              <w:t>Ensures every response includes verifiable sources</w:t>
            </w:r>
          </w:p>
        </w:tc>
      </w:tr>
      <w:tr>
        <w:tc>
          <w:tcPr>
            <w:tcW w:type="dxa" w:w="2880"/>
          </w:tcPr>
          <w:p>
            <w:pPr>
              <w:spacing w:after="40" w:before="40"/>
            </w:pPr>
            <w:r>
              <w:rPr>
                <w:b/>
                <w:sz w:val="18"/>
              </w:rPr>
              <w:t>UI Disclaimers</w:t>
            </w:r>
          </w:p>
        </w:tc>
        <w:tc>
          <w:tcPr>
            <w:tcW w:type="dxa" w:w="2880"/>
          </w:tcPr>
          <w:p>
            <w:pPr>
              <w:spacing w:after="40" w:before="40"/>
            </w:pPr>
            <w:r>
              <w:rPr>
                <w:sz w:val="18"/>
              </w:rPr>
              <w:t>Frontend warnings</w:t>
            </w:r>
          </w:p>
        </w:tc>
        <w:tc>
          <w:tcPr>
            <w:tcW w:type="dxa" w:w="2880"/>
          </w:tcPr>
          <w:p>
            <w:pPr>
              <w:spacing w:after="40" w:before="40"/>
            </w:pPr>
            <w:r>
              <w:rPr>
                <w:sz w:val="18"/>
              </w:rPr>
              <w:t>Informs users of AI-generated nature</w:t>
            </w:r>
          </w:p>
        </w:tc>
      </w:tr>
      <w:tr>
        <w:tc>
          <w:tcPr>
            <w:tcW w:type="dxa" w:w="2880"/>
          </w:tcPr>
          <w:p>
            <w:pPr>
              <w:spacing w:after="40" w:before="40"/>
            </w:pPr>
            <w:r>
              <w:rPr>
                <w:b/>
                <w:sz w:val="18"/>
              </w:rPr>
              <w:t>Human Review</w:t>
            </w:r>
          </w:p>
        </w:tc>
        <w:tc>
          <w:tcPr>
            <w:tcW w:type="dxa" w:w="2880"/>
          </w:tcPr>
          <w:p>
            <w:pPr>
              <w:spacing w:after="40" w:before="40"/>
            </w:pPr>
            <w:r>
              <w:rPr>
                <w:sz w:val="18"/>
              </w:rPr>
              <w:t>Mandatory user verification</w:t>
            </w:r>
          </w:p>
        </w:tc>
        <w:tc>
          <w:tcPr>
            <w:tcW w:type="dxa" w:w="2880"/>
          </w:tcPr>
          <w:p>
            <w:pPr>
              <w:spacing w:after="40" w:before="40"/>
            </w:pPr>
            <w:r>
              <w:rPr>
                <w:sz w:val="18"/>
              </w:rPr>
              <w:t>Final control before any action taken</w:t>
            </w:r>
          </w:p>
        </w:tc>
      </w:tr>
    </w:tbl>
    <w:p>
      <w:r>
        <w:rPr>
          <w:b/>
        </w:rPr>
        <w:t>MRM Assessment:</w:t>
      </w:r>
      <w:r>
        <w:t xml:space="preserve"> The multi-layered safety control approach is appropriate and demonstrates a defense-in-depth strategy. However, as noted in the Performance Testing section, the Object's guardrails showed suboptimal performance in the </w:t>
      </w:r>
      <w:r>
        <w:rPr>
          <w:rFonts w:ascii="Courier New" w:hAnsi="Courier New"/>
          <w:sz w:val="18"/>
        </w:rPr>
        <w:t>hallucination</w:t>
      </w:r>
      <w:r>
        <w:t xml:space="preserve"> (66.7% pass rate) and </w:t>
      </w:r>
      <w:r>
        <w:rPr>
          <w:rFonts w:ascii="Courier New" w:hAnsi="Courier New"/>
          <w:sz w:val="18"/>
        </w:rPr>
        <w:t>toxic</w:t>
      </w:r>
      <w:r>
        <w:t xml:space="preserve"> (75.0% pass rate) negative test categories. This is addressed in limitation 235939.01.</w:t>
      </w:r>
    </w:p>
    <w:p>
      <w:r>
        <w:rPr>
          <w:b/>
        </w:rPr>
        <w:t xml:space="preserve">2.6 Object Dependencies The Object depends on the following external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Dependency</w:t>
            </w:r>
          </w:p>
        </w:tc>
        <w:tc>
          <w:tcPr>
            <w:tcW w:type="dxa" w:w="2880"/>
          </w:tcPr>
          <w:p>
            <w:pPr>
              <w:spacing w:after="40" w:before="40"/>
            </w:pPr>
            <w:r>
              <w:rPr>
                <w:b/>
                <w:sz w:val="18"/>
              </w:rPr>
              <w:t>Type</w:t>
            </w:r>
          </w:p>
        </w:tc>
        <w:tc>
          <w:tcPr>
            <w:tcW w:type="dxa" w:w="2880"/>
          </w:tcPr>
          <w:p>
            <w:pPr>
              <w:spacing w:after="40" w:before="40"/>
            </w:pPr>
            <w:r>
              <w:rPr>
                <w:b/>
                <w:sz w:val="18"/>
              </w:rPr>
              <w:t>Risk Impact</w:t>
            </w:r>
          </w:p>
        </w:tc>
      </w:tr>
      <w:tr>
        <w:tc>
          <w:tcPr>
            <w:tcW w:type="dxa" w:w="2880"/>
          </w:tcPr>
          <w:p>
            <w:pPr>
              <w:spacing w:after="40" w:before="40"/>
            </w:pPr>
            <w:r>
              <w:rPr>
                <w:sz w:val="18"/>
              </w:rPr>
              <w:t>Google Gemini-2.5-flash</w:t>
            </w:r>
          </w:p>
        </w:tc>
        <w:tc>
          <w:tcPr>
            <w:tcW w:type="dxa" w:w="2880"/>
          </w:tcPr>
          <w:p>
            <w:pPr>
              <w:spacing w:after="40" w:before="40"/>
            </w:pPr>
            <w:r>
              <w:rPr>
                <w:sz w:val="18"/>
              </w:rPr>
              <w:t>Vendor Model</w:t>
            </w:r>
          </w:p>
        </w:tc>
        <w:tc>
          <w:tcPr>
            <w:tcW w:type="dxa" w:w="2880"/>
          </w:tcPr>
          <w:p>
            <w:pPr>
              <w:spacing w:after="40" w:before="40"/>
            </w:pPr>
            <w:r>
              <w:rPr>
                <w:sz w:val="18"/>
              </w:rPr>
              <w:t>High - Core functionality depends on model availability</w:t>
            </w:r>
          </w:p>
        </w:tc>
      </w:tr>
      <w:tr>
        <w:tc>
          <w:tcPr>
            <w:tcW w:type="dxa" w:w="2880"/>
          </w:tcPr>
          <w:p>
            <w:pPr>
              <w:spacing w:after="40" w:before="40"/>
            </w:pPr>
            <w:r>
              <w:rPr>
                <w:sz w:val="18"/>
              </w:rPr>
              <w:t>Google text-embedding-005</w:t>
            </w:r>
          </w:p>
        </w:tc>
        <w:tc>
          <w:tcPr>
            <w:tcW w:type="dxa" w:w="2880"/>
          </w:tcPr>
          <w:p>
            <w:pPr>
              <w:spacing w:after="40" w:before="40"/>
            </w:pPr>
            <w:r>
              <w:rPr>
                <w:sz w:val="18"/>
              </w:rPr>
              <w:t>Vendor Model</w:t>
            </w:r>
          </w:p>
        </w:tc>
        <w:tc>
          <w:tcPr>
            <w:tcW w:type="dxa" w:w="2880"/>
          </w:tcPr>
          <w:p>
            <w:pPr>
              <w:spacing w:after="40" w:before="40"/>
            </w:pPr>
            <w:r>
              <w:rPr>
                <w:sz w:val="18"/>
              </w:rPr>
              <w:t>High - Retrieval depends on embedding model</w:t>
            </w:r>
          </w:p>
        </w:tc>
      </w:tr>
      <w:tr>
        <w:tc>
          <w:tcPr>
            <w:tcW w:type="dxa" w:w="2880"/>
          </w:tcPr>
          <w:p>
            <w:pPr>
              <w:spacing w:after="40" w:before="40"/>
            </w:pPr>
            <w:r>
              <w:rPr>
                <w:sz w:val="18"/>
              </w:rPr>
              <w:t>R2D2 API Gateway</w:t>
            </w:r>
          </w:p>
        </w:tc>
        <w:tc>
          <w:tcPr>
            <w:tcW w:type="dxa" w:w="2880"/>
          </w:tcPr>
          <w:p>
            <w:pPr>
              <w:spacing w:after="40" w:before="40"/>
            </w:pPr>
            <w:r>
              <w:rPr>
                <w:sz w:val="18"/>
              </w:rPr>
              <w:t>Internal Service</w:t>
            </w:r>
          </w:p>
        </w:tc>
        <w:tc>
          <w:tcPr>
            <w:tcW w:type="dxa" w:w="2880"/>
          </w:tcPr>
          <w:p>
            <w:pPr>
              <w:spacing w:after="40" w:before="40"/>
            </w:pPr>
            <w:r>
              <w:rPr>
                <w:sz w:val="18"/>
              </w:rPr>
              <w:t>Medium - Routing and access control</w:t>
            </w:r>
          </w:p>
        </w:tc>
      </w:tr>
      <w:tr>
        <w:tc>
          <w:tcPr>
            <w:tcW w:type="dxa" w:w="2880"/>
          </w:tcPr>
          <w:p>
            <w:pPr>
              <w:spacing w:after="40" w:before="40"/>
            </w:pPr>
            <w:r>
              <w:rPr>
                <w:sz w:val="18"/>
              </w:rPr>
              <w:t>Vertex AI Vector Search</w:t>
            </w:r>
          </w:p>
        </w:tc>
        <w:tc>
          <w:tcPr>
            <w:tcW w:type="dxa" w:w="2880"/>
          </w:tcPr>
          <w:p>
            <w:pPr>
              <w:spacing w:after="40" w:before="40"/>
            </w:pPr>
            <w:r>
              <w:rPr>
                <w:sz w:val="18"/>
              </w:rPr>
              <w:t>Vendor Service</w:t>
            </w:r>
          </w:p>
        </w:tc>
        <w:tc>
          <w:tcPr>
            <w:tcW w:type="dxa" w:w="2880"/>
          </w:tcPr>
          <w:p>
            <w:pPr>
              <w:spacing w:after="40" w:before="40"/>
            </w:pPr>
            <w:r>
              <w:rPr>
                <w:sz w:val="18"/>
              </w:rPr>
              <w:t>High - Document retrieval depends on this service</w:t>
            </w:r>
          </w:p>
        </w:tc>
      </w:tr>
      <w:tr>
        <w:tc>
          <w:tcPr>
            <w:tcW w:type="dxa" w:w="2880"/>
          </w:tcPr>
          <w:p>
            <w:pPr>
              <w:spacing w:after="40" w:before="40"/>
            </w:pPr>
            <w:r>
              <w:rPr>
                <w:sz w:val="18"/>
              </w:rPr>
              <w:t>RoD Documentation Corpus</w:t>
            </w:r>
          </w:p>
        </w:tc>
        <w:tc>
          <w:tcPr>
            <w:tcW w:type="dxa" w:w="2880"/>
          </w:tcPr>
          <w:p>
            <w:pPr>
              <w:spacing w:after="40" w:before="40"/>
            </w:pPr>
            <w:r>
              <w:rPr>
                <w:sz w:val="18"/>
              </w:rPr>
              <w:t>Internal Data</w:t>
            </w:r>
          </w:p>
        </w:tc>
        <w:tc>
          <w:tcPr>
            <w:tcW w:type="dxa" w:w="2880"/>
          </w:tcPr>
          <w:p>
            <w:pPr>
              <w:spacing w:after="40" w:before="40"/>
            </w:pPr>
            <w:r>
              <w:rPr>
                <w:sz w:val="18"/>
              </w:rPr>
              <w:t>Low - Static content, regularly updated</w:t>
            </w:r>
          </w:p>
        </w:tc>
      </w:tr>
    </w:tbl>
    <w:p>
      <w:r>
        <w:rPr>
          <w:b/>
        </w:rPr>
        <w:t>MRM Assessment:</w:t>
      </w:r>
      <w:r>
        <w:t xml:space="preserve"> The Object has significant dependencies on Google's cloud services. While this is typical for a cloud-native RAG application, the concentration of critical dependencies on a single vendor is noted. The ODD references a contingency plan but does not document the Object's interdependency with the R2D2 API Gateway in sufficient detail. This is addressed through limitation 235939.02, which requires the Sponsor to document the R2D2 dependency, including its official AI Non-model Object ID and an assessment of associated risks.</w:t>
      </w:r>
    </w:p>
    <w:p>
      <w:r>
        <w:rPr>
          <w:b/>
        </w:rPr>
        <w:t xml:space="preserve">2.7 Overall Conclusion on Methodology Overall, MRM finds the Object's methodology to be sound, well-structured, and appropriate for a Low-risk RAG application. The architecture follows established best practices, the configuration parameters are well-justified, and multiple safety controls are in place. The identified documentation gaps are addressed through limitations. MRM deems the methodology acceptable for the Object's intended purpose.</w:t>
      </w:r>
    </w:p>
    <w:p>
      <w:r>
        <w:rPr>
          <w:b/>
        </w:rPr>
        <w:t xml:space="preserve">2.8 Comparison of RAG Approaches The following table compares the Object's RAG approach with alternative methodologies that were considered during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before="40"/>
            </w:pPr>
            <w:r>
              <w:rPr>
                <w:b/>
                <w:sz w:val="18"/>
              </w:rPr>
              <w:t>Approach</w:t>
            </w:r>
          </w:p>
        </w:tc>
        <w:tc>
          <w:tcPr>
            <w:tcW w:type="dxa" w:w="1440"/>
          </w:tcPr>
          <w:p>
            <w:pPr>
              <w:spacing w:after="40" w:before="40"/>
            </w:pPr>
            <w:r>
              <w:rPr>
                <w:b/>
                <w:sz w:val="18"/>
              </w:rPr>
              <w:t>Retrieval Method</w:t>
            </w:r>
          </w:p>
        </w:tc>
        <w:tc>
          <w:tcPr>
            <w:tcW w:type="dxa" w:w="1440"/>
          </w:tcPr>
          <w:p>
            <w:pPr>
              <w:spacing w:after="40" w:before="40"/>
            </w:pPr>
            <w:r>
              <w:rPr>
                <w:b/>
                <w:sz w:val="18"/>
              </w:rPr>
              <w:t>Generation Model</w:t>
            </w:r>
          </w:p>
        </w:tc>
        <w:tc>
          <w:tcPr>
            <w:tcW w:type="dxa" w:w="1440"/>
          </w:tcPr>
          <w:p>
            <w:pPr>
              <w:spacing w:after="40" w:before="40"/>
            </w:pPr>
            <w:r>
              <w:rPr>
                <w:b/>
                <w:sz w:val="18"/>
              </w:rPr>
              <w:t>Pros</w:t>
            </w:r>
          </w:p>
        </w:tc>
        <w:tc>
          <w:tcPr>
            <w:tcW w:type="dxa" w:w="1440"/>
          </w:tcPr>
          <w:p>
            <w:pPr>
              <w:spacing w:after="40" w:before="40"/>
            </w:pPr>
            <w:r>
              <w:rPr>
                <w:b/>
                <w:sz w:val="18"/>
              </w:rPr>
              <w:t>Cons</w:t>
            </w:r>
          </w:p>
        </w:tc>
        <w:tc>
          <w:tcPr>
            <w:tcW w:type="dxa" w:w="1440"/>
          </w:tcPr>
          <w:p>
            <w:pPr>
              <w:spacing w:after="40" w:before="40"/>
            </w:pPr>
            <w:r>
              <w:rPr>
                <w:b/>
                <w:sz w:val="18"/>
              </w:rPr>
              <w:t>Fitness for Use Case</w:t>
            </w:r>
          </w:p>
        </w:tc>
      </w:tr>
      <w:tr>
        <w:tc>
          <w:tcPr>
            <w:tcW w:type="dxa" w:w="1440"/>
          </w:tcPr>
          <w:p>
            <w:pPr>
              <w:spacing w:after="40" w:before="40"/>
            </w:pPr>
            <w:r>
              <w:rPr>
                <w:b/>
                <w:sz w:val="18"/>
              </w:rPr>
              <w:t>Selected: Semantic Search + Gemini</w:t>
            </w:r>
          </w:p>
        </w:tc>
        <w:tc>
          <w:tcPr>
            <w:tcW w:type="dxa" w:w="1440"/>
          </w:tcPr>
          <w:p>
            <w:pPr>
              <w:spacing w:after="40" w:before="40"/>
            </w:pPr>
            <w:r>
              <w:rPr>
                <w:sz w:val="18"/>
              </w:rPr>
              <w:t>Vector similarity with re-ranking</w:t>
            </w:r>
          </w:p>
        </w:tc>
        <w:tc>
          <w:tcPr>
            <w:tcW w:type="dxa" w:w="1440"/>
          </w:tcPr>
          <w:p>
            <w:pPr>
              <w:spacing w:after="40" w:before="40"/>
            </w:pPr>
            <w:r>
              <w:rPr>
                <w:sz w:val="18"/>
              </w:rPr>
              <w:t>Gemini-2.5-flash</w:t>
            </w:r>
          </w:p>
        </w:tc>
        <w:tc>
          <w:tcPr>
            <w:tcW w:type="dxa" w:w="1440"/>
          </w:tcPr>
          <w:p>
            <w:pPr>
              <w:spacing w:after="40" w:before="40"/>
            </w:pPr>
            <w:r>
              <w:rPr>
                <w:sz w:val="18"/>
              </w:rPr>
              <w:t>High accuracy, fast inference, citation support</w:t>
            </w:r>
          </w:p>
        </w:tc>
        <w:tc>
          <w:tcPr>
            <w:tcW w:type="dxa" w:w="1440"/>
          </w:tcPr>
          <w:p>
            <w:pPr>
              <w:spacing w:after="40" w:before="40"/>
            </w:pPr>
            <w:r>
              <w:rPr>
                <w:sz w:val="18"/>
              </w:rPr>
              <w:t>Vendor lock-in, cost per query</w:t>
            </w:r>
          </w:p>
        </w:tc>
        <w:tc>
          <w:tcPr>
            <w:tcW w:type="dxa" w:w="1440"/>
          </w:tcPr>
          <w:p>
            <w:pPr>
              <w:spacing w:after="40" w:before="40"/>
            </w:pPr>
            <w:r>
              <w:rPr>
                <w:sz w:val="18"/>
              </w:rPr>
              <w:t>Best fit - balances accuracy with speed</w:t>
            </w:r>
          </w:p>
        </w:tc>
      </w:tr>
      <w:tr>
        <w:tc>
          <w:tcPr>
            <w:tcW w:type="dxa" w:w="1440"/>
          </w:tcPr>
          <w:p>
            <w:pPr>
              <w:spacing w:after="40" w:before="40"/>
            </w:pPr>
            <w:r>
              <w:rPr>
                <w:sz w:val="18"/>
              </w:rPr>
              <w:t>Alternative A: Keyword Search + GPT</w:t>
            </w:r>
          </w:p>
        </w:tc>
        <w:tc>
          <w:tcPr>
            <w:tcW w:type="dxa" w:w="1440"/>
          </w:tcPr>
          <w:p>
            <w:pPr>
              <w:spacing w:after="40" w:before="40"/>
            </w:pPr>
            <w:r>
              <w:rPr>
                <w:sz w:val="18"/>
              </w:rPr>
              <w:t>BM25 keyword matching</w:t>
            </w:r>
          </w:p>
        </w:tc>
        <w:tc>
          <w:tcPr>
            <w:tcW w:type="dxa" w:w="1440"/>
          </w:tcPr>
          <w:p>
            <w:pPr>
              <w:spacing w:after="40" w:before="40"/>
            </w:pPr>
            <w:r>
              <w:rPr>
                <w:sz w:val="18"/>
              </w:rPr>
              <w:t>GPT-4o</w:t>
            </w:r>
          </w:p>
        </w:tc>
        <w:tc>
          <w:tcPr>
            <w:tcW w:type="dxa" w:w="1440"/>
          </w:tcPr>
          <w:p>
            <w:pPr>
              <w:spacing w:after="40" w:before="40"/>
            </w:pPr>
            <w:r>
              <w:rPr>
                <w:sz w:val="18"/>
              </w:rPr>
              <w:t>Lower cost, no embedding needed</w:t>
            </w:r>
          </w:p>
        </w:tc>
        <w:tc>
          <w:tcPr>
            <w:tcW w:type="dxa" w:w="1440"/>
          </w:tcPr>
          <w:p>
            <w:pPr>
              <w:spacing w:after="40" w:before="40"/>
            </w:pPr>
            <w:r>
              <w:rPr>
                <w:sz w:val="18"/>
              </w:rPr>
              <w:t>Lower semantic understanding, miss paraphrased queries</w:t>
            </w:r>
          </w:p>
        </w:tc>
        <w:tc>
          <w:tcPr>
            <w:tcW w:type="dxa" w:w="1440"/>
          </w:tcPr>
          <w:p>
            <w:pPr>
              <w:spacing w:after="40" w:before="40"/>
            </w:pPr>
            <w:r>
              <w:rPr>
                <w:sz w:val="18"/>
              </w:rPr>
              <w:t>Poor fit - documentation queries need semantic matching</w:t>
            </w:r>
          </w:p>
        </w:tc>
      </w:tr>
      <w:tr>
        <w:tc>
          <w:tcPr>
            <w:tcW w:type="dxa" w:w="1440"/>
          </w:tcPr>
          <w:p>
            <w:pPr>
              <w:spacing w:after="40" w:before="40"/>
            </w:pPr>
            <w:r>
              <w:rPr>
                <w:sz w:val="18"/>
              </w:rPr>
              <w:t>Alternative B: Hybrid Search + Claude</w:t>
            </w:r>
          </w:p>
        </w:tc>
        <w:tc>
          <w:tcPr>
            <w:tcW w:type="dxa" w:w="1440"/>
          </w:tcPr>
          <w:p>
            <w:pPr>
              <w:spacing w:after="40" w:before="40"/>
            </w:pPr>
            <w:r>
              <w:rPr>
                <w:sz w:val="18"/>
              </w:rPr>
              <w:t>Hybrid (BM25 + Vector)</w:t>
            </w:r>
          </w:p>
        </w:tc>
        <w:tc>
          <w:tcPr>
            <w:tcW w:type="dxa" w:w="1440"/>
          </w:tcPr>
          <w:p>
            <w:pPr>
              <w:spacing w:after="40" w:before="40"/>
            </w:pPr>
            <w:r>
              <w:rPr>
                <w:sz w:val="18"/>
              </w:rPr>
              <w:t>Claude Sonnet</w:t>
            </w:r>
          </w:p>
        </w:tc>
        <w:tc>
          <w:tcPr>
            <w:tcW w:type="dxa" w:w="1440"/>
          </w:tcPr>
          <w:p>
            <w:pPr>
              <w:spacing w:after="40" w:before="40"/>
            </w:pPr>
            <w:r>
              <w:rPr>
                <w:sz w:val="18"/>
              </w:rPr>
              <w:t>Best retrieval recall, strong reasoning</w:t>
            </w:r>
          </w:p>
        </w:tc>
        <w:tc>
          <w:tcPr>
            <w:tcW w:type="dxa" w:w="1440"/>
          </w:tcPr>
          <w:p>
            <w:pPr>
              <w:spacing w:after="40" w:before="40"/>
            </w:pPr>
            <w:r>
              <w:rPr>
                <w:sz w:val="18"/>
              </w:rPr>
              <w:t>Higher latency, more complex infrastructure</w:t>
            </w:r>
          </w:p>
        </w:tc>
        <w:tc>
          <w:tcPr>
            <w:tcW w:type="dxa" w:w="1440"/>
          </w:tcPr>
          <w:p>
            <w:pPr>
              <w:spacing w:after="40" w:before="40"/>
            </w:pPr>
            <w:r>
              <w:rPr>
                <w:sz w:val="18"/>
              </w:rPr>
              <w:t>Over-engineered for assistive use case</w:t>
            </w:r>
          </w:p>
        </w:tc>
      </w:tr>
      <w:tr>
        <w:tc>
          <w:tcPr>
            <w:tcW w:type="dxa" w:w="1440"/>
          </w:tcPr>
          <w:p>
            <w:pPr>
              <w:spacing w:after="40" w:before="40"/>
            </w:pPr>
            <w:r>
              <w:rPr>
                <w:sz w:val="18"/>
              </w:rPr>
              <w:t>Alternative C: Fine-tuned Model</w:t>
            </w:r>
          </w:p>
        </w:tc>
        <w:tc>
          <w:tcPr>
            <w:tcW w:type="dxa" w:w="1440"/>
          </w:tcPr>
          <w:p>
            <w:pPr>
              <w:spacing w:after="40" w:before="40"/>
            </w:pPr>
            <w:r>
              <w:rPr>
                <w:sz w:val="18"/>
              </w:rPr>
              <w:t>No retrieval (parametric)</w:t>
            </w:r>
          </w:p>
        </w:tc>
        <w:tc>
          <w:tcPr>
            <w:tcW w:type="dxa" w:w="1440"/>
          </w:tcPr>
          <w:p>
            <w:pPr>
              <w:spacing w:after="40" w:before="40"/>
            </w:pPr>
            <w:r>
              <w:rPr>
                <w:sz w:val="18"/>
              </w:rPr>
              <w:t>Fine-tuned Llama</w:t>
            </w:r>
          </w:p>
        </w:tc>
        <w:tc>
          <w:tcPr>
            <w:tcW w:type="dxa" w:w="1440"/>
          </w:tcPr>
          <w:p>
            <w:pPr>
              <w:spacing w:after="40" w:before="40"/>
            </w:pPr>
            <w:r>
              <w:rPr>
                <w:sz w:val="18"/>
              </w:rPr>
              <w:t>No retrieval latency, simpler architecture</w:t>
            </w:r>
          </w:p>
        </w:tc>
        <w:tc>
          <w:tcPr>
            <w:tcW w:type="dxa" w:w="1440"/>
          </w:tcPr>
          <w:p>
            <w:pPr>
              <w:spacing w:after="40" w:before="40"/>
            </w:pPr>
            <w:r>
              <w:rPr>
                <w:sz w:val="18"/>
              </w:rPr>
              <w:t>Hallucination risk, retraining needed for updates</w:t>
            </w:r>
          </w:p>
        </w:tc>
        <w:tc>
          <w:tcPr>
            <w:tcW w:type="dxa" w:w="1440"/>
          </w:tcPr>
          <w:p>
            <w:pPr>
              <w:spacing w:after="40" w:before="40"/>
            </w:pPr>
            <w:r>
              <w:rPr>
                <w:sz w:val="18"/>
              </w:rPr>
              <w:t>Poor fit - documentation changes frequently</w:t>
            </w:r>
          </w:p>
        </w:tc>
      </w:tr>
    </w:tbl>
    <w:p>
      <w:r>
        <w:rPr>
          <w:b/>
        </w:rPr>
        <w:t>Decision Rationale:</w:t>
      </w:r>
      <w:r>
        <w:t xml:space="preserve"> The selected approach provides the best balance of accuracy, latency, and maintainability for the Object's use case. The semantic search component ensures that paraphrased queries still retrieve relevant documentation, while the re-ranking step improves precision. Gemini-2.5-flash offers competitive performance at lower cost and latency compared to alternatives.</w:t>
      </w:r>
    </w:p>
    <w:p>
      <w:r>
        <w:rPr>
          <w:b/>
        </w:rPr>
        <w:t xml:space="preserve">2.9 Embedding Model Evaluation The Sponsor evaluated multiple embedding models before selecting text-embedding-005. The evaluation results are summarized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before="40"/>
            </w:pPr>
            <w:r>
              <w:rPr>
                <w:b/>
                <w:sz w:val="18"/>
              </w:rPr>
              <w:t>Model</w:t>
            </w:r>
          </w:p>
        </w:tc>
        <w:tc>
          <w:tcPr>
            <w:tcW w:type="dxa" w:w="1234"/>
          </w:tcPr>
          <w:p>
            <w:pPr>
              <w:spacing w:after="40" w:before="40"/>
            </w:pPr>
            <w:r>
              <w:rPr>
                <w:b/>
                <w:sz w:val="18"/>
              </w:rPr>
              <w:t>Dimensions</w:t>
            </w:r>
          </w:p>
        </w:tc>
        <w:tc>
          <w:tcPr>
            <w:tcW w:type="dxa" w:w="1234"/>
          </w:tcPr>
          <w:p>
            <w:pPr>
              <w:spacing w:after="40" w:before="40"/>
            </w:pPr>
            <w:r>
              <w:rPr>
                <w:b/>
                <w:sz w:val="18"/>
              </w:rPr>
              <w:t>MTEB Score</w:t>
            </w:r>
          </w:p>
        </w:tc>
        <w:tc>
          <w:tcPr>
            <w:tcW w:type="dxa" w:w="1234"/>
          </w:tcPr>
          <w:p>
            <w:pPr>
              <w:spacing w:after="40" w:before="40"/>
            </w:pPr>
            <w:r>
              <w:rPr>
                <w:b/>
                <w:sz w:val="18"/>
              </w:rPr>
              <w:t>Retrieval P@5</w:t>
            </w:r>
          </w:p>
        </w:tc>
        <w:tc>
          <w:tcPr>
            <w:tcW w:type="dxa" w:w="1234"/>
          </w:tcPr>
          <w:p>
            <w:pPr>
              <w:spacing w:after="40" w:before="40"/>
            </w:pPr>
            <w:r>
              <w:rPr>
                <w:b/>
                <w:sz w:val="18"/>
              </w:rPr>
              <w:t>Latency (ms)</w:t>
            </w:r>
          </w:p>
        </w:tc>
        <w:tc>
          <w:tcPr>
            <w:tcW w:type="dxa" w:w="1234"/>
          </w:tcPr>
          <w:p>
            <w:pPr>
              <w:spacing w:after="40" w:before="40"/>
            </w:pPr>
            <w:r>
              <w:rPr>
                <w:b/>
                <w:sz w:val="18"/>
              </w:rPr>
              <w:t>Cost per 1M tokens</w:t>
            </w:r>
          </w:p>
        </w:tc>
        <w:tc>
          <w:tcPr>
            <w:tcW w:type="dxa" w:w="1234"/>
          </w:tcPr>
          <w:p>
            <w:pPr>
              <w:spacing w:after="40" w:before="40"/>
            </w:pPr>
            <w:r>
              <w:rPr>
                <w:b/>
                <w:sz w:val="18"/>
              </w:rPr>
              <w:t>Selected</w:t>
            </w:r>
          </w:p>
        </w:tc>
      </w:tr>
      <w:tr>
        <w:tc>
          <w:tcPr>
            <w:tcW w:type="dxa" w:w="1234"/>
          </w:tcPr>
          <w:p>
            <w:pPr>
              <w:spacing w:after="40" w:before="40"/>
            </w:pPr>
            <w:r>
              <w:rPr>
                <w:sz w:val="18"/>
              </w:rPr>
              <w:t>text-embedding-005</w:t>
            </w:r>
          </w:p>
        </w:tc>
        <w:tc>
          <w:tcPr>
            <w:tcW w:type="dxa" w:w="1234"/>
          </w:tcPr>
          <w:p>
            <w:pPr>
              <w:spacing w:after="40" w:before="40"/>
            </w:pPr>
            <w:r>
              <w:rPr>
                <w:sz w:val="18"/>
              </w:rPr>
              <w:t>768</w:t>
            </w:r>
          </w:p>
        </w:tc>
        <w:tc>
          <w:tcPr>
            <w:tcW w:type="dxa" w:w="1234"/>
          </w:tcPr>
          <w:p>
            <w:pPr>
              <w:spacing w:after="40" w:before="40"/>
            </w:pPr>
            <w:r>
              <w:rPr>
                <w:sz w:val="18"/>
              </w:rPr>
              <w:t>66.4</w:t>
            </w:r>
          </w:p>
        </w:tc>
        <w:tc>
          <w:tcPr>
            <w:tcW w:type="dxa" w:w="1234"/>
          </w:tcPr>
          <w:p>
            <w:pPr>
              <w:spacing w:after="40" w:before="40"/>
            </w:pPr>
            <w:r>
              <w:rPr>
                <w:sz w:val="18"/>
              </w:rPr>
              <w:t>0.89</w:t>
            </w:r>
          </w:p>
        </w:tc>
        <w:tc>
          <w:tcPr>
            <w:tcW w:type="dxa" w:w="1234"/>
          </w:tcPr>
          <w:p>
            <w:pPr>
              <w:spacing w:after="40" w:before="40"/>
            </w:pPr>
            <w:r>
              <w:rPr>
                <w:sz w:val="18"/>
              </w:rPr>
              <w:t>12</w:t>
            </w:r>
          </w:p>
        </w:tc>
        <w:tc>
          <w:tcPr>
            <w:tcW w:type="dxa" w:w="1234"/>
          </w:tcPr>
          <w:p>
            <w:pPr>
              <w:spacing w:after="40" w:before="40"/>
            </w:pPr>
            <w:r>
              <w:rPr>
                <w:sz w:val="18"/>
              </w:rPr>
              <w:t>$0.10</w:t>
            </w:r>
          </w:p>
        </w:tc>
        <w:tc>
          <w:tcPr>
            <w:tcW w:type="dxa" w:w="1234"/>
          </w:tcPr>
          <w:p>
            <w:pPr>
              <w:spacing w:after="40" w:before="40"/>
            </w:pPr>
            <w:r>
              <w:rPr>
                <w:sz w:val="18"/>
              </w:rPr>
              <w:t>Yes</w:t>
            </w:r>
          </w:p>
        </w:tc>
      </w:tr>
      <w:tr>
        <w:tc>
          <w:tcPr>
            <w:tcW w:type="dxa" w:w="1234"/>
          </w:tcPr>
          <w:p>
            <w:pPr>
              <w:spacing w:after="40" w:before="40"/>
            </w:pPr>
            <w:r>
              <w:rPr>
                <w:sz w:val="18"/>
              </w:rPr>
              <w:t>text-embedding-004</w:t>
            </w:r>
          </w:p>
        </w:tc>
        <w:tc>
          <w:tcPr>
            <w:tcW w:type="dxa" w:w="1234"/>
          </w:tcPr>
          <w:p>
            <w:pPr>
              <w:spacing w:after="40" w:before="40"/>
            </w:pPr>
            <w:r>
              <w:rPr>
                <w:sz w:val="18"/>
              </w:rPr>
              <w:t>768</w:t>
            </w:r>
          </w:p>
        </w:tc>
        <w:tc>
          <w:tcPr>
            <w:tcW w:type="dxa" w:w="1234"/>
          </w:tcPr>
          <w:p>
            <w:pPr>
              <w:spacing w:after="40" w:before="40"/>
            </w:pPr>
            <w:r>
              <w:rPr>
                <w:sz w:val="18"/>
              </w:rPr>
              <w:t>64.8</w:t>
            </w:r>
          </w:p>
        </w:tc>
        <w:tc>
          <w:tcPr>
            <w:tcW w:type="dxa" w:w="1234"/>
          </w:tcPr>
          <w:p>
            <w:pPr>
              <w:spacing w:after="40" w:before="40"/>
            </w:pPr>
            <w:r>
              <w:rPr>
                <w:sz w:val="18"/>
              </w:rPr>
              <w:t>0.85</w:t>
            </w:r>
          </w:p>
        </w:tc>
        <w:tc>
          <w:tcPr>
            <w:tcW w:type="dxa" w:w="1234"/>
          </w:tcPr>
          <w:p>
            <w:pPr>
              <w:spacing w:after="40" w:before="40"/>
            </w:pPr>
            <w:r>
              <w:rPr>
                <w:sz w:val="18"/>
              </w:rPr>
              <w:t>14</w:t>
            </w:r>
          </w:p>
        </w:tc>
        <w:tc>
          <w:tcPr>
            <w:tcW w:type="dxa" w:w="1234"/>
          </w:tcPr>
          <w:p>
            <w:pPr>
              <w:spacing w:after="40" w:before="40"/>
            </w:pPr>
            <w:r>
              <w:rPr>
                <w:sz w:val="18"/>
              </w:rPr>
              <w:t>$0.10</w:t>
            </w:r>
          </w:p>
        </w:tc>
        <w:tc>
          <w:tcPr>
            <w:tcW w:type="dxa" w:w="1234"/>
          </w:tcPr>
          <w:p>
            <w:pPr>
              <w:spacing w:after="40" w:before="40"/>
            </w:pPr>
            <w:r>
              <w:rPr>
                <w:sz w:val="18"/>
              </w:rPr>
              <w:t>No</w:t>
            </w:r>
          </w:p>
        </w:tc>
      </w:tr>
      <w:tr>
        <w:tc>
          <w:tcPr>
            <w:tcW w:type="dxa" w:w="1234"/>
          </w:tcPr>
          <w:p>
            <w:pPr>
              <w:spacing w:after="40" w:before="40"/>
            </w:pPr>
            <w:r>
              <w:rPr>
                <w:sz w:val="18"/>
              </w:rPr>
              <w:t>voyage-3</w:t>
            </w:r>
          </w:p>
        </w:tc>
        <w:tc>
          <w:tcPr>
            <w:tcW w:type="dxa" w:w="1234"/>
          </w:tcPr>
          <w:p>
            <w:pPr>
              <w:spacing w:after="40" w:before="40"/>
            </w:pPr>
            <w:r>
              <w:rPr>
                <w:sz w:val="18"/>
              </w:rPr>
              <w:t>1024</w:t>
            </w:r>
          </w:p>
        </w:tc>
        <w:tc>
          <w:tcPr>
            <w:tcW w:type="dxa" w:w="1234"/>
          </w:tcPr>
          <w:p>
            <w:pPr>
              <w:spacing w:after="40" w:before="40"/>
            </w:pPr>
            <w:r>
              <w:rPr>
                <w:sz w:val="18"/>
              </w:rPr>
              <w:t>67.1</w:t>
            </w:r>
          </w:p>
        </w:tc>
        <w:tc>
          <w:tcPr>
            <w:tcW w:type="dxa" w:w="1234"/>
          </w:tcPr>
          <w:p>
            <w:pPr>
              <w:spacing w:after="40" w:before="40"/>
            </w:pPr>
            <w:r>
              <w:rPr>
                <w:sz w:val="18"/>
              </w:rPr>
              <w:t>0.91</w:t>
            </w:r>
          </w:p>
        </w:tc>
        <w:tc>
          <w:tcPr>
            <w:tcW w:type="dxa" w:w="1234"/>
          </w:tcPr>
          <w:p>
            <w:pPr>
              <w:spacing w:after="40" w:before="40"/>
            </w:pPr>
            <w:r>
              <w:rPr>
                <w:sz w:val="18"/>
              </w:rPr>
              <w:t>28</w:t>
            </w:r>
          </w:p>
        </w:tc>
        <w:tc>
          <w:tcPr>
            <w:tcW w:type="dxa" w:w="1234"/>
          </w:tcPr>
          <w:p>
            <w:pPr>
              <w:spacing w:after="40" w:before="40"/>
            </w:pPr>
            <w:r>
              <w:rPr>
                <w:sz w:val="18"/>
              </w:rPr>
              <w:t>$0.13</w:t>
            </w:r>
          </w:p>
        </w:tc>
        <w:tc>
          <w:tcPr>
            <w:tcW w:type="dxa" w:w="1234"/>
          </w:tcPr>
          <w:p>
            <w:pPr>
              <w:spacing w:after="40" w:before="40"/>
            </w:pPr>
            <w:r>
              <w:rPr>
                <w:sz w:val="18"/>
              </w:rPr>
              <w:t>No</w:t>
            </w:r>
          </w:p>
        </w:tc>
      </w:tr>
      <w:tr>
        <w:tc>
          <w:tcPr>
            <w:tcW w:type="dxa" w:w="1234"/>
          </w:tcPr>
          <w:p>
            <w:pPr>
              <w:spacing w:after="40" w:before="40"/>
            </w:pPr>
            <w:r>
              <w:rPr>
                <w:sz w:val="18"/>
              </w:rPr>
              <w:t>bge-large-en-v1.5</w:t>
            </w:r>
          </w:p>
        </w:tc>
        <w:tc>
          <w:tcPr>
            <w:tcW w:type="dxa" w:w="1234"/>
          </w:tcPr>
          <w:p>
            <w:pPr>
              <w:spacing w:after="40" w:before="40"/>
            </w:pPr>
            <w:r>
              <w:rPr>
                <w:sz w:val="18"/>
              </w:rPr>
              <w:t>1024</w:t>
            </w:r>
          </w:p>
        </w:tc>
        <w:tc>
          <w:tcPr>
            <w:tcW w:type="dxa" w:w="1234"/>
          </w:tcPr>
          <w:p>
            <w:pPr>
              <w:spacing w:after="40" w:before="40"/>
            </w:pPr>
            <w:r>
              <w:rPr>
                <w:sz w:val="18"/>
              </w:rPr>
              <w:t>64.2</w:t>
            </w:r>
          </w:p>
        </w:tc>
        <w:tc>
          <w:tcPr>
            <w:tcW w:type="dxa" w:w="1234"/>
          </w:tcPr>
          <w:p>
            <w:pPr>
              <w:spacing w:after="40" w:before="40"/>
            </w:pPr>
            <w:r>
              <w:rPr>
                <w:sz w:val="18"/>
              </w:rPr>
              <w:t>0.83</w:t>
            </w:r>
          </w:p>
        </w:tc>
        <w:tc>
          <w:tcPr>
            <w:tcW w:type="dxa" w:w="1234"/>
          </w:tcPr>
          <w:p>
            <w:pPr>
              <w:spacing w:after="40" w:before="40"/>
            </w:pPr>
            <w:r>
              <w:rPr>
                <w:sz w:val="18"/>
              </w:rPr>
              <w:t>35</w:t>
            </w:r>
          </w:p>
        </w:tc>
        <w:tc>
          <w:tcPr>
            <w:tcW w:type="dxa" w:w="1234"/>
          </w:tcPr>
          <w:p>
            <w:pPr>
              <w:spacing w:after="40" w:before="40"/>
            </w:pPr>
            <w:r>
              <w:rPr>
                <w:sz w:val="18"/>
              </w:rPr>
              <w:t>Self-hosted</w:t>
            </w:r>
          </w:p>
        </w:tc>
        <w:tc>
          <w:tcPr>
            <w:tcW w:type="dxa" w:w="1234"/>
          </w:tcPr>
          <w:p>
            <w:pPr>
              <w:spacing w:after="40" w:before="40"/>
            </w:pPr>
            <w:r>
              <w:rPr>
                <w:sz w:val="18"/>
              </w:rPr>
              <w:t>No</w:t>
            </w:r>
          </w:p>
        </w:tc>
      </w:tr>
      <w:tr>
        <w:tc>
          <w:tcPr>
            <w:tcW w:type="dxa" w:w="1234"/>
          </w:tcPr>
          <w:p>
            <w:pPr>
              <w:spacing w:after="40" w:before="40"/>
            </w:pPr>
            <w:r>
              <w:rPr>
                <w:sz w:val="18"/>
              </w:rPr>
              <w:t>cohere-embed-v3</w:t>
            </w:r>
          </w:p>
        </w:tc>
        <w:tc>
          <w:tcPr>
            <w:tcW w:type="dxa" w:w="1234"/>
          </w:tcPr>
          <w:p>
            <w:pPr>
              <w:spacing w:after="40" w:before="40"/>
            </w:pPr>
            <w:r>
              <w:rPr>
                <w:sz w:val="18"/>
              </w:rPr>
              <w:t>1024</w:t>
            </w:r>
          </w:p>
        </w:tc>
        <w:tc>
          <w:tcPr>
            <w:tcW w:type="dxa" w:w="1234"/>
          </w:tcPr>
          <w:p>
            <w:pPr>
              <w:spacing w:after="40" w:before="40"/>
            </w:pPr>
            <w:r>
              <w:rPr>
                <w:sz w:val="18"/>
              </w:rPr>
              <w:t>65.9</w:t>
            </w:r>
          </w:p>
        </w:tc>
        <w:tc>
          <w:tcPr>
            <w:tcW w:type="dxa" w:w="1234"/>
          </w:tcPr>
          <w:p>
            <w:pPr>
              <w:spacing w:after="40" w:before="40"/>
            </w:pPr>
            <w:r>
              <w:rPr>
                <w:sz w:val="18"/>
              </w:rPr>
              <w:t>0.87</w:t>
            </w:r>
          </w:p>
        </w:tc>
        <w:tc>
          <w:tcPr>
            <w:tcW w:type="dxa" w:w="1234"/>
          </w:tcPr>
          <w:p>
            <w:pPr>
              <w:spacing w:after="40" w:before="40"/>
            </w:pPr>
            <w:r>
              <w:rPr>
                <w:sz w:val="18"/>
              </w:rPr>
              <w:t>22</w:t>
            </w:r>
          </w:p>
        </w:tc>
        <w:tc>
          <w:tcPr>
            <w:tcW w:type="dxa" w:w="1234"/>
          </w:tcPr>
          <w:p>
            <w:pPr>
              <w:spacing w:after="40" w:before="40"/>
            </w:pPr>
            <w:r>
              <w:rPr>
                <w:sz w:val="18"/>
              </w:rPr>
              <w:t>$0.10</w:t>
            </w:r>
          </w:p>
        </w:tc>
        <w:tc>
          <w:tcPr>
            <w:tcW w:type="dxa" w:w="1234"/>
          </w:tcPr>
          <w:p>
            <w:pPr>
              <w:spacing w:after="40" w:before="40"/>
            </w:pPr>
            <w:r>
              <w:rPr>
                <w:sz w:val="18"/>
              </w:rPr>
              <w:t>No</w:t>
            </w:r>
          </w:p>
        </w:tc>
      </w:tr>
    </w:tbl>
    <w:p>
      <w:r>
        <w:rPr>
          <w:b/>
        </w:rPr>
        <w:t>Selection Justification:</w:t>
      </w:r>
      <w:r>
        <w:t xml:space="preserve"> While voyage-3 showed marginally higher retrieval precision, text-embedding-005 was selected due to: (1) lower latency for real-time chat applications, (2) ecosystem consistency with the Gemini generation model, (3) simpler vendor management, and (4) sufficient precision for the Object's documentation corpus size.</w:t>
      </w:r>
    </w:p>
    <w:p w14:paraId="3DAF6AEF" w14:textId="55417FF4" w:rsidR="00757032" w:rsidRDefault="00757032" w:rsidP="00757032">
      <w:pPr>
        <w:pStyle w:val="Heading2"/>
        <w:rPr>
          <w:lang w:val="en-US"/>
        </w:rPr>
      </w:pPr>
      <w:r>
        <w:rPr>
          <w:lang w:val="en-US"/>
        </w:rPr>
        <w:t>3.0 Object Testing/ Performance [</w:t>
      </w:r>
      <w:r>
        <w:rPr>
          <w:lang w:val="en-US"/>
        </w:rPr>
        <w:t>To be completed by Object Sponsor</w:t>
      </w:r>
      <w:r>
        <w:rPr>
          <w:lang w:val="en-US"/>
        </w:rPr>
        <w:t>]</w:t>
      </w:r>
    </w:p>
    <w:p w14:paraId="5443C5A0"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47017E24"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a score of 90.0%, Gemini Ultra is the first model to outperform human experts on </w:t>
      </w:r>
      <w:hyperlink r:id="rId14"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1F50FDF3"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Our new benchmark approach to MMLU enables Gemini to use its reasoning capabilities to think more carefully before answering difficult questions, leading to significant improvements over just using its first impression.</w:t>
      </w:r>
    </w:p>
    <w:p w14:paraId="012B2913" w14:textId="77777777" w:rsidR="00757032" w:rsidRPr="0099448C" w:rsidRDefault="00757032" w:rsidP="00757032">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6EEAC1E1" wp14:editId="3F1CD744">
            <wp:extent cx="5731510" cy="7141845"/>
            <wp:effectExtent l="0" t="0" r="0" b="0"/>
            <wp:docPr id="1"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6FD3708D" w14:textId="77777777" w:rsidR="00757032" w:rsidRPr="0099448C" w:rsidRDefault="00757032" w:rsidP="00757032">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t>Gemini surpasses state-of-the-art performance on a range of benchmarks including text and coding.</w:t>
      </w:r>
    </w:p>
    <w:p w14:paraId="1D91C956"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15"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7CE5ADD9"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5D29C2ED" w14:textId="124B5439" w:rsidR="00757032" w:rsidRDefault="00757032" w:rsidP="00757032">
      <w:pPr>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6"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43F6F03" w14:textId="21747D39" w:rsidR="00757032" w:rsidRPr="00757032" w:rsidRDefault="00757032" w:rsidP="00757032">
      <w:pPr>
        <w:keepNext/>
        <w:keepLines/>
        <w:spacing w:before="160" w:after="80"/>
        <w:outlineLvl w:val="1"/>
        <w:rPr>
          <w:rFonts w:asciiTheme="majorHAnsi" w:eastAsiaTheme="majorEastAsia" w:hAnsiTheme="majorHAnsi" w:cstheme="majorBidi"/>
          <w:color w:val="0F4761" w:themeColor="accent1" w:themeShade="BF"/>
          <w:sz w:val="32"/>
          <w:szCs w:val="32"/>
          <w:lang w:val="en-US"/>
        </w:rPr>
      </w:pPr>
      <w:r w:rsidRPr="00757032">
        <w:rPr>
          <w:rFonts w:asciiTheme="majorHAnsi" w:eastAsiaTheme="majorEastAsia" w:hAnsiTheme="majorHAnsi" w:cstheme="majorBidi"/>
          <w:color w:val="0F4761" w:themeColor="accent1" w:themeShade="BF"/>
          <w:sz w:val="32"/>
          <w:szCs w:val="32"/>
          <w:lang w:val="en-US"/>
        </w:rPr>
        <w:t xml:space="preserve">ORR Section </w:t>
      </w:r>
      <w:r>
        <w:rPr>
          <w:rFonts w:asciiTheme="majorHAnsi" w:eastAsiaTheme="majorEastAsia" w:hAnsiTheme="majorHAnsi" w:cstheme="majorBidi"/>
          <w:color w:val="0F4761" w:themeColor="accent1" w:themeShade="BF"/>
          <w:sz w:val="32"/>
          <w:szCs w:val="32"/>
          <w:lang w:val="en-US"/>
        </w:rPr>
        <w:t>3</w:t>
      </w:r>
      <w:r w:rsidRPr="00757032">
        <w:rPr>
          <w:rFonts w:asciiTheme="majorHAnsi" w:eastAsiaTheme="majorEastAsia" w:hAnsiTheme="majorHAnsi" w:cstheme="majorBidi"/>
          <w:color w:val="0F4761" w:themeColor="accent1" w:themeShade="BF"/>
          <w:sz w:val="32"/>
          <w:szCs w:val="32"/>
          <w:lang w:val="en-US"/>
        </w:rPr>
        <w:t>.0 (to be completed by Object Reviewer)</w:t>
      </w:r>
    </w:p>
    <w:p w14:paraId="60929390" w14:textId="77777777" w:rsidR="00757032" w:rsidRPr="00757032" w:rsidRDefault="00757032" w:rsidP="00757032">
      <w:pPr>
        <w:rPr>
          <w:lang w:val="en-US"/>
        </w:rPr>
      </w:pPr>
      <w:r w:rsidRPr="00757032">
        <w:rPr>
          <w:lang w:val="en-US"/>
        </w:rPr>
        <w:t>[Instructions for Object Reviewers]</w:t>
      </w:r>
    </w:p>
    <w:p>
      <w:r>
        <w:rPr>
          <w:b/>
        </w:rPr>
        <w:t xml:space="preserve">3.0 Object Testing / Performance This section evaluates the test plan, performance results, and self-identified weaknesses for the ROD Assist Object (ID: 235939) as documented in the Object Development Documentation (ODD). Model Risk Management (MRM) assesses the soundness of the testing methodology, analyzes the reported results against defined thresholds, and evaluates the Sponsor's handling of identified weaknesses to determine the Object's fitness for purpose.</w:t>
      </w:r>
    </w:p>
    <w:p>
      <w:r>
        <w:rPr>
          <w:b/>
        </w:rPr>
        <w:t xml:space="preserve">3.1 Test Plans According to the ODD, the Sponsor's test plan employs a dual approach, combining qualitative analysis from a Proof of Concept (POC) with pilot users and quantitative analysis using an automated evaluation framework. **Approach and Sample** The Sponsor's testing approach is centered on the "Blade Runner" tool, which facilitates an automated "LLM-as-a-Judge" evaluation methodology. The core of the plan involves: * **Qualitative Analysis:** During an initial POC, a group of pilot users provided feedback on the Object's performance, scoring it on a 1-10 scale across five perceptual metrics. * **Quantitative Analysis:** The primary evaluation uses an LLM-as-a-Judge to score the Object's responses on a 1-5 scale. This automated assessment is combined with a deterministic check for citation accuracy to produce a final pass/fail verdict for each test case. * **LLM-as-a-Judge Validation:** The Sponsor validated the reliability of the LLM-as-a-Judge by correlating its assessments against those of human Subject Matter Experts (SMEs) on a test set. The primary quantitative testing sample consists of 247 unique questions. As documented in the ODD, this sample is stratified across 13 "positive" in-scope categories and 6 "negative" out-of-scope or adversarial categories (e.g., hallucination, irrelevant, toxic). The questions were reportedly generated to cover all documentation pages for the Release on Demand (RoD) product. Ground truth for all test cases was generated, reviewed, and verified by human SMEs. **Performance Metrics and Thresholds** The Sponsor defined both qualitative and quantitative metrics to assess performance. The quantitative metrics are used for ongoing monitoring, while the qualitative metrics were used during the initial POC.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before="40"/>
            </w:pPr>
            <w:r>
              <w:rPr>
                <w:b/>
                <w:sz w:val="18"/>
              </w:rPr>
              <w:t>Metric Type</w:t>
            </w:r>
          </w:p>
        </w:tc>
        <w:tc>
          <w:tcPr>
            <w:tcW w:type="dxa" w:w="1728"/>
          </w:tcPr>
          <w:p>
            <w:pPr>
              <w:spacing w:after="40" w:before="40"/>
            </w:pPr>
            <w:r>
              <w:rPr>
                <w:b/>
                <w:sz w:val="18"/>
              </w:rPr>
              <w:t>Metric</w:t>
            </w:r>
          </w:p>
        </w:tc>
        <w:tc>
          <w:tcPr>
            <w:tcW w:type="dxa" w:w="1728"/>
          </w:tcPr>
          <w:p>
            <w:pPr>
              <w:spacing w:after="40" w:before="40"/>
            </w:pPr>
            <w:r>
              <w:rPr>
                <w:b/>
                <w:sz w:val="18"/>
              </w:rPr>
              <w:t>Description</w:t>
            </w:r>
          </w:p>
        </w:tc>
        <w:tc>
          <w:tcPr>
            <w:tcW w:type="dxa" w:w="1728"/>
          </w:tcPr>
          <w:p>
            <w:pPr>
              <w:spacing w:after="40" w:before="40"/>
            </w:pPr>
            <w:r>
              <w:rPr>
                <w:b/>
                <w:sz w:val="18"/>
              </w:rPr>
              <w:t>Grading Scale / Formula</w:t>
            </w:r>
          </w:p>
        </w:tc>
        <w:tc>
          <w:tcPr>
            <w:tcW w:type="dxa" w:w="1728"/>
          </w:tcPr>
          <w:p>
            <w:pPr>
              <w:spacing w:after="40" w:before="40"/>
            </w:pPr>
            <w:r>
              <w:rPr>
                <w:b/>
                <w:sz w:val="18"/>
              </w:rPr>
              <w:t>Threshold</w:t>
            </w:r>
          </w:p>
        </w:tc>
      </w:tr>
      <w:tr>
        <w:tc>
          <w:tcPr>
            <w:tcW w:type="dxa" w:w="1728"/>
          </w:tcPr>
          <w:p>
            <w:pPr>
              <w:spacing w:after="40" w:before="40"/>
            </w:pPr>
            <w:r>
              <w:rPr>
                <w:b/>
                <w:sz w:val="18"/>
              </w:rPr>
              <w:t>Qualitative</w:t>
            </w:r>
          </w:p>
        </w:tc>
        <w:tc>
          <w:tcPr>
            <w:tcW w:type="dxa" w:w="1728"/>
          </w:tcPr>
          <w:p>
            <w:pPr>
              <w:spacing w:after="40" w:before="40"/>
            </w:pPr>
            <w:r>
              <w:rPr>
                <w:sz w:val="18"/>
              </w:rPr>
              <w:t>Perceived Quality</w:t>
            </w:r>
          </w:p>
        </w:tc>
        <w:tc>
          <w:tcPr>
            <w:tcW w:type="dxa" w:w="1728"/>
          </w:tcPr>
          <w:p>
            <w:pPr>
              <w:spacing w:after="40" w:before="40"/>
            </w:pPr>
            <w:r>
              <w:rPr>
                <w:sz w:val="18"/>
              </w:rPr>
              <w:t>Assesses language, formatting, and professionalism of responses.</w:t>
            </w:r>
          </w:p>
        </w:tc>
        <w:tc>
          <w:tcPr>
            <w:tcW w:type="dxa" w:w="1728"/>
          </w:tcPr>
          <w:p>
            <w:pPr>
              <w:spacing w:after="40" w:before="40"/>
            </w:pPr>
            <w:r>
              <w:rPr>
                <w:sz w:val="18"/>
              </w:rPr>
              <w:t>1-10 Likert Scale</w:t>
            </w:r>
          </w:p>
        </w:tc>
        <w:tc>
          <w:tcPr>
            <w:tcW w:type="dxa" w:w="1728"/>
          </w:tcPr>
          <w:p>
            <w:pPr>
              <w:spacing w:after="40" w:before="40"/>
            </w:pPr>
            <w:r>
              <w:rPr>
                <w:sz w:val="18"/>
              </w:rPr>
              <w:t>≥ 7.0</w:t>
            </w:r>
          </w:p>
        </w:tc>
      </w:tr>
      <w:tr>
        <w:tc>
          <w:tcPr>
            <w:tcW w:type="dxa" w:w="1728"/>
          </w:tcPr>
          <w:p>
            <w:pPr>
              <w:spacing w:after="40" w:before="40"/>
            </w:pPr>
          </w:p>
        </w:tc>
        <w:tc>
          <w:tcPr>
            <w:tcW w:type="dxa" w:w="1728"/>
          </w:tcPr>
          <w:p>
            <w:pPr>
              <w:spacing w:after="40" w:before="40"/>
            </w:pPr>
            <w:r>
              <w:rPr>
                <w:sz w:val="18"/>
              </w:rPr>
              <w:t>Perceived Usability</w:t>
            </w:r>
          </w:p>
        </w:tc>
        <w:tc>
          <w:tcPr>
            <w:tcW w:type="dxa" w:w="1728"/>
          </w:tcPr>
          <w:p>
            <w:pPr>
              <w:spacing w:after="40" w:before="40"/>
            </w:pPr>
            <w:r>
              <w:rPr>
                <w:sz w:val="18"/>
              </w:rPr>
              <w:t>Assesses user-friendliness and utility of the output.</w:t>
            </w:r>
          </w:p>
        </w:tc>
        <w:tc>
          <w:tcPr>
            <w:tcW w:type="dxa" w:w="1728"/>
          </w:tcPr>
          <w:p>
            <w:pPr>
              <w:spacing w:after="40" w:before="40"/>
            </w:pPr>
            <w:r>
              <w:rPr>
                <w:sz w:val="18"/>
              </w:rPr>
              <w:t>1-10 Likert Scale</w:t>
            </w:r>
          </w:p>
        </w:tc>
        <w:tc>
          <w:tcPr>
            <w:tcW w:type="dxa" w:w="1728"/>
          </w:tcPr>
          <w:p>
            <w:pPr>
              <w:spacing w:after="40" w:before="40"/>
            </w:pPr>
            <w:r>
              <w:rPr>
                <w:sz w:val="18"/>
              </w:rPr>
              <w:t>≥ 7.0</w:t>
            </w:r>
          </w:p>
        </w:tc>
      </w:tr>
      <w:tr>
        <w:tc>
          <w:tcPr>
            <w:tcW w:type="dxa" w:w="1728"/>
          </w:tcPr>
          <w:p>
            <w:pPr>
              <w:spacing w:after="40" w:before="40"/>
            </w:pPr>
          </w:p>
        </w:tc>
        <w:tc>
          <w:tcPr>
            <w:tcW w:type="dxa" w:w="1728"/>
          </w:tcPr>
          <w:p>
            <w:pPr>
              <w:spacing w:after="40" w:before="40"/>
            </w:pPr>
            <w:r>
              <w:rPr>
                <w:sz w:val="18"/>
              </w:rPr>
              <w:t>Perceived Productivity</w:t>
            </w:r>
          </w:p>
        </w:tc>
        <w:tc>
          <w:tcPr>
            <w:tcW w:type="dxa" w:w="1728"/>
          </w:tcPr>
          <w:p>
            <w:pPr>
              <w:spacing w:after="40" w:before="40"/>
            </w:pPr>
            <w:r>
              <w:rPr>
                <w:sz w:val="18"/>
              </w:rPr>
              <w:t>Measures if the Object saves user time.</w:t>
            </w:r>
          </w:p>
        </w:tc>
        <w:tc>
          <w:tcPr>
            <w:tcW w:type="dxa" w:w="1728"/>
          </w:tcPr>
          <w:p>
            <w:pPr>
              <w:spacing w:after="40" w:before="40"/>
            </w:pPr>
            <w:r>
              <w:rPr>
                <w:sz w:val="18"/>
              </w:rPr>
              <w:t>1-10 Likert Scale</w:t>
            </w:r>
          </w:p>
        </w:tc>
        <w:tc>
          <w:tcPr>
            <w:tcW w:type="dxa" w:w="1728"/>
          </w:tcPr>
          <w:p>
            <w:pPr>
              <w:spacing w:after="40" w:before="40"/>
            </w:pPr>
            <w:r>
              <w:rPr>
                <w:sz w:val="18"/>
              </w:rPr>
              <w:t>≥ 7.0</w:t>
            </w:r>
          </w:p>
        </w:tc>
      </w:tr>
      <w:tr>
        <w:tc>
          <w:tcPr>
            <w:tcW w:type="dxa" w:w="1728"/>
          </w:tcPr>
          <w:p>
            <w:pPr>
              <w:spacing w:after="40" w:before="40"/>
            </w:pPr>
          </w:p>
        </w:tc>
        <w:tc>
          <w:tcPr>
            <w:tcW w:type="dxa" w:w="1728"/>
          </w:tcPr>
          <w:p>
            <w:pPr>
              <w:spacing w:after="40" w:before="40"/>
            </w:pPr>
            <w:r>
              <w:rPr>
                <w:sz w:val="18"/>
              </w:rPr>
              <w:t>Perceived Completeness</w:t>
            </w:r>
          </w:p>
        </w:tc>
        <w:tc>
          <w:tcPr>
            <w:tcW w:type="dxa" w:w="1728"/>
          </w:tcPr>
          <w:p>
            <w:pPr>
              <w:spacing w:after="40" w:before="40"/>
            </w:pPr>
            <w:r>
              <w:rPr>
                <w:sz w:val="18"/>
              </w:rPr>
              <w:t>Assesses if responses address all key points of a query.</w:t>
            </w:r>
          </w:p>
        </w:tc>
        <w:tc>
          <w:tcPr>
            <w:tcW w:type="dxa" w:w="1728"/>
          </w:tcPr>
          <w:p>
            <w:pPr>
              <w:spacing w:after="40" w:before="40"/>
            </w:pPr>
            <w:r>
              <w:rPr>
                <w:sz w:val="18"/>
              </w:rPr>
              <w:t>1-10 Likert Scale</w:t>
            </w:r>
          </w:p>
        </w:tc>
        <w:tc>
          <w:tcPr>
            <w:tcW w:type="dxa" w:w="1728"/>
          </w:tcPr>
          <w:p>
            <w:pPr>
              <w:spacing w:after="40" w:before="40"/>
            </w:pPr>
            <w:r>
              <w:rPr>
                <w:sz w:val="18"/>
              </w:rPr>
              <w:t>≥ 7.0</w:t>
            </w:r>
          </w:p>
        </w:tc>
      </w:tr>
      <w:tr>
        <w:tc>
          <w:tcPr>
            <w:tcW w:type="dxa" w:w="1728"/>
          </w:tcPr>
          <w:p>
            <w:pPr>
              <w:spacing w:after="40" w:before="40"/>
            </w:pPr>
          </w:p>
        </w:tc>
        <w:tc>
          <w:tcPr>
            <w:tcW w:type="dxa" w:w="1728"/>
          </w:tcPr>
          <w:p>
            <w:pPr>
              <w:spacing w:after="40" w:before="40"/>
            </w:pPr>
            <w:r>
              <w:rPr>
                <w:sz w:val="18"/>
              </w:rPr>
              <w:t>Perceived Correctness</w:t>
            </w:r>
          </w:p>
        </w:tc>
        <w:tc>
          <w:tcPr>
            <w:tcW w:type="dxa" w:w="1728"/>
          </w:tcPr>
          <w:p>
            <w:pPr>
              <w:spacing w:after="40" w:before="40"/>
            </w:pPr>
            <w:r>
              <w:rPr>
                <w:sz w:val="18"/>
              </w:rPr>
              <w:t>Assesses factual accuracy of the output against ground truth.</w:t>
            </w:r>
          </w:p>
        </w:tc>
        <w:tc>
          <w:tcPr>
            <w:tcW w:type="dxa" w:w="1728"/>
          </w:tcPr>
          <w:p>
            <w:pPr>
              <w:spacing w:after="40" w:before="40"/>
            </w:pPr>
            <w:r>
              <w:rPr>
                <w:sz w:val="18"/>
              </w:rPr>
              <w:t>1-10 Likert Scale</w:t>
            </w:r>
          </w:p>
        </w:tc>
        <w:tc>
          <w:tcPr>
            <w:tcW w:type="dxa" w:w="1728"/>
          </w:tcPr>
          <w:p>
            <w:pPr>
              <w:spacing w:after="40" w:before="40"/>
            </w:pPr>
            <w:r>
              <w:rPr>
                <w:sz w:val="18"/>
              </w:rPr>
              <w:t>≥ 7.0</w:t>
            </w:r>
          </w:p>
        </w:tc>
      </w:tr>
      <w:tr>
        <w:tc>
          <w:tcPr>
            <w:tcW w:type="dxa" w:w="1728"/>
          </w:tcPr>
          <w:p>
            <w:pPr>
              <w:spacing w:after="40" w:before="40"/>
            </w:pPr>
            <w:r>
              <w:rPr>
                <w:b/>
                <w:sz w:val="18"/>
              </w:rPr>
              <w:t>Quantitative</w:t>
            </w:r>
          </w:p>
        </w:tc>
        <w:tc>
          <w:tcPr>
            <w:tcW w:type="dxa" w:w="1728"/>
          </w:tcPr>
          <w:p>
            <w:pPr>
              <w:spacing w:after="40" w:before="40"/>
            </w:pPr>
            <w:r>
              <w:rPr>
                <w:sz w:val="18"/>
              </w:rPr>
              <w:t>LLM-as-a-Judge Score</w:t>
            </w:r>
          </w:p>
        </w:tc>
        <w:tc>
          <w:tcPr>
            <w:tcW w:type="dxa" w:w="1728"/>
          </w:tcPr>
          <w:p>
            <w:pPr>
              <w:spacing w:after="40" w:before="40"/>
            </w:pPr>
            <w:r>
              <w:rPr>
                <w:sz w:val="18"/>
              </w:rPr>
              <w:t>Automated assessment of answer quality.</w:t>
            </w:r>
          </w:p>
        </w:tc>
        <w:tc>
          <w:tcPr>
            <w:tcW w:type="dxa" w:w="1728"/>
          </w:tcPr>
          <w:p>
            <w:pPr>
              <w:spacing w:after="40" w:before="40"/>
            </w:pPr>
            <w:r>
              <w:rPr>
                <w:sz w:val="18"/>
              </w:rPr>
              <w:t>1-5 Likert Scale (details in ODD)</w:t>
            </w:r>
          </w:p>
        </w:tc>
        <w:tc>
          <w:tcPr>
            <w:tcW w:type="dxa" w:w="1728"/>
          </w:tcPr>
          <w:p>
            <w:pPr>
              <w:spacing w:after="40" w:before="40"/>
            </w:pPr>
            <w:r>
              <w:rPr>
                <w:sz w:val="18"/>
              </w:rPr>
              <w:t>≥ 4 for a pass</w:t>
            </w:r>
          </w:p>
        </w:tc>
      </w:tr>
      <w:tr>
        <w:tc>
          <w:tcPr>
            <w:tcW w:type="dxa" w:w="1728"/>
          </w:tcPr>
          <w:p>
            <w:pPr>
              <w:spacing w:after="40" w:before="40"/>
            </w:pPr>
          </w:p>
        </w:tc>
        <w:tc>
          <w:tcPr>
            <w:tcW w:type="dxa" w:w="1728"/>
          </w:tcPr>
          <w:p>
            <w:pPr>
              <w:spacing w:after="40" w:before="40"/>
            </w:pPr>
            <w:r>
              <w:rPr>
                <w:sz w:val="18"/>
              </w:rPr>
              <w:t>Citation Match</w:t>
            </w:r>
          </w:p>
        </w:tc>
        <w:tc>
          <w:tcPr>
            <w:tcW w:type="dxa" w:w="1728"/>
          </w:tcPr>
          <w:p>
            <w:pPr>
              <w:spacing w:after="40" w:before="40"/>
            </w:pPr>
            <w:r>
              <w:rPr>
                <w:sz w:val="18"/>
              </w:rPr>
              <w:t>Deterministic check if the ground truth citation is in the Object's response.</w:t>
            </w:r>
          </w:p>
        </w:tc>
        <w:tc>
          <w:tcPr>
            <w:tcW w:type="dxa" w:w="1728"/>
          </w:tcPr>
          <w:p>
            <w:pPr>
              <w:spacing w:after="40" w:before="40"/>
            </w:pPr>
            <w:r>
              <w:rPr>
                <w:sz w:val="18"/>
              </w:rPr>
              <w:t>Binary (True/False)</w:t>
            </w:r>
          </w:p>
        </w:tc>
        <w:tc>
          <w:tcPr>
            <w:tcW w:type="dxa" w:w="1728"/>
          </w:tcPr>
          <w:p>
            <w:pPr>
              <w:spacing w:after="40" w:before="40"/>
            </w:pPr>
            <w:r>
              <w:rPr>
                <w:sz w:val="18"/>
              </w:rPr>
              <w:t>True for a pass</w:t>
            </w:r>
          </w:p>
        </w:tc>
      </w:tr>
      <w:tr>
        <w:tc>
          <w:tcPr>
            <w:tcW w:type="dxa" w:w="1728"/>
          </w:tcPr>
          <w:p>
            <w:pPr>
              <w:spacing w:after="40" w:before="40"/>
            </w:pPr>
          </w:p>
        </w:tc>
        <w:tc>
          <w:tcPr>
            <w:tcW w:type="dxa" w:w="1728"/>
          </w:tcPr>
          <w:p>
            <w:pPr>
              <w:spacing w:after="40" w:before="40"/>
            </w:pPr>
            <w:r>
              <w:rPr>
                <w:b/>
                <w:sz w:val="18"/>
              </w:rPr>
              <w:t>Object Pass Rate</w:t>
            </w:r>
          </w:p>
        </w:tc>
        <w:tc>
          <w:tcPr>
            <w:tcW w:type="dxa" w:w="1728"/>
          </w:tcPr>
          <w:p>
            <w:pPr>
              <w:spacing w:after="40" w:before="40"/>
            </w:pPr>
            <w:r>
              <w:rPr>
                <w:b/>
                <w:sz w:val="18"/>
              </w:rPr>
              <w:t>Primary metric.</w:t>
            </w:r>
            <w:r>
              <w:rPr>
                <w:sz w:val="18"/>
              </w:rPr>
              <w:t xml:space="preserve"> Measures the percentage of responses that are both high-quality and correctly cited.</w:t>
            </w:r>
          </w:p>
        </w:tc>
        <w:tc>
          <w:tcPr>
            <w:tcW w:type="dxa" w:w="1728"/>
          </w:tcPr>
          <w:p>
            <w:pPr>
              <w:spacing w:after="40" w:before="40"/>
            </w:pPr>
            <w:r>
              <w:rPr>
                <w:rFonts w:ascii="Courier New" w:hAnsi="Courier New"/>
                <w:sz w:val="18"/>
              </w:rPr>
              <w:t>Pass if (LLM Score ≥ 4) AND (Citation Match)</w:t>
            </w:r>
          </w:p>
        </w:tc>
        <w:tc>
          <w:tcPr>
            <w:tcW w:type="dxa" w:w="1728"/>
          </w:tcPr>
          <w:p>
            <w:pPr>
              <w:spacing w:after="40" w:before="40"/>
            </w:pPr>
            <w:r>
              <w:rPr>
                <w:sz w:val="18"/>
              </w:rPr>
              <w:t>≥ 70%</w:t>
            </w:r>
          </w:p>
        </w:tc>
      </w:tr>
      <w:tr>
        <w:tc>
          <w:tcPr>
            <w:tcW w:type="dxa" w:w="1728"/>
          </w:tcPr>
          <w:p>
            <w:pPr>
              <w:spacing w:after="40" w:before="40"/>
            </w:pPr>
          </w:p>
        </w:tc>
        <w:tc>
          <w:tcPr>
            <w:tcW w:type="dxa" w:w="1728"/>
          </w:tcPr>
          <w:p>
            <w:pPr>
              <w:spacing w:after="40" w:before="40"/>
            </w:pPr>
            <w:r>
              <w:rPr>
                <w:sz w:val="18"/>
              </w:rPr>
              <w:t>LLM-as-a-Judge Accuracy</w:t>
            </w:r>
          </w:p>
        </w:tc>
        <w:tc>
          <w:tcPr>
            <w:tcW w:type="dxa" w:w="1728"/>
          </w:tcPr>
          <w:p>
            <w:pPr>
              <w:spacing w:after="40" w:before="40"/>
            </w:pPr>
            <w:r>
              <w:rPr>
                <w:sz w:val="18"/>
              </w:rPr>
              <w:t>Agreement between the LLM-as-a-Judge and human evaluation on a binary pass/fail basis.</w:t>
            </w:r>
          </w:p>
        </w:tc>
        <w:tc>
          <w:tcPr>
            <w:tcW w:type="dxa" w:w="1728"/>
          </w:tcPr>
          <w:p>
            <w:pPr>
              <w:spacing w:after="40" w:before="40"/>
            </w:pPr>
            <w:r>
              <w:rPr>
                <w:sz w:val="18"/>
              </w:rPr>
              <w:t>Standard accuracy formula</w:t>
            </w:r>
          </w:p>
        </w:tc>
        <w:tc>
          <w:tcPr>
            <w:tcW w:type="dxa" w:w="1728"/>
          </w:tcPr>
          <w:p>
            <w:pPr>
              <w:spacing w:after="40" w:before="40"/>
            </w:pPr>
            <w:r>
              <w:rPr>
                <w:sz w:val="18"/>
              </w:rPr>
              <w:t>≥ 85%</w:t>
            </w:r>
          </w:p>
        </w:tc>
      </w:tr>
      <w:tr>
        <w:tc>
          <w:tcPr>
            <w:tcW w:type="dxa" w:w="1728"/>
          </w:tcPr>
          <w:p>
            <w:pPr>
              <w:spacing w:after="40" w:before="40"/>
            </w:pPr>
          </w:p>
        </w:tc>
        <w:tc>
          <w:tcPr>
            <w:tcW w:type="dxa" w:w="1728"/>
          </w:tcPr>
          <w:p>
            <w:pPr>
              <w:spacing w:after="40" w:before="40"/>
            </w:pPr>
            <w:r>
              <w:rPr>
                <w:sz w:val="18"/>
              </w:rPr>
              <w:t>LLM-as-a-Judge MCC</w:t>
            </w:r>
          </w:p>
        </w:tc>
        <w:tc>
          <w:tcPr>
            <w:tcW w:type="dxa" w:w="1728"/>
          </w:tcPr>
          <w:p>
            <w:pPr>
              <w:spacing w:after="40" w:before="40"/>
            </w:pPr>
            <w:r>
              <w:rPr>
                <w:sz w:val="18"/>
              </w:rPr>
              <w:t>Matthews Correlation Coefficient between LLM-as-a-Judge and human evaluation.</w:t>
            </w:r>
          </w:p>
        </w:tc>
        <w:tc>
          <w:tcPr>
            <w:tcW w:type="dxa" w:w="1728"/>
          </w:tcPr>
          <w:p>
            <w:pPr>
              <w:spacing w:after="40" w:before="40"/>
            </w:pPr>
            <w:r>
              <w:rPr>
                <w:sz w:val="18"/>
              </w:rPr>
              <w:t>Standard MCC formula</w:t>
            </w:r>
          </w:p>
        </w:tc>
        <w:tc>
          <w:tcPr>
            <w:tcW w:type="dxa" w:w="1728"/>
          </w:tcPr>
          <w:p>
            <w:pPr>
              <w:spacing w:after="40" w:before="40"/>
            </w:pPr>
            <w:r>
              <w:rPr>
                <w:sz w:val="18"/>
              </w:rPr>
              <w:t>≥ 0.75</w:t>
            </w:r>
          </w:p>
        </w:tc>
      </w:tr>
      <w:tr>
        <w:tc>
          <w:tcPr>
            <w:tcW w:type="dxa" w:w="1728"/>
          </w:tcPr>
          <w:p>
            <w:pPr>
              <w:spacing w:after="40" w:before="40"/>
            </w:pPr>
          </w:p>
        </w:tc>
        <w:tc>
          <w:tcPr>
            <w:tcW w:type="dxa" w:w="1728"/>
          </w:tcPr>
          <w:p>
            <w:pPr>
              <w:spacing w:after="40" w:before="40"/>
            </w:pPr>
            <w:r>
              <w:rPr>
                <w:sz w:val="18"/>
              </w:rPr>
              <w:t>Object Stability</w:t>
            </w:r>
          </w:p>
        </w:tc>
        <w:tc>
          <w:tcPr>
            <w:tcW w:type="dxa" w:w="1728"/>
          </w:tcPr>
          <w:p>
            <w:pPr>
              <w:spacing w:after="40" w:before="40"/>
            </w:pPr>
            <w:r>
              <w:rPr>
                <w:sz w:val="18"/>
              </w:rPr>
              <w:t>Variance in the Object Pass Rate across three repeated test runs.</w:t>
            </w:r>
          </w:p>
        </w:tc>
        <w:tc>
          <w:tcPr>
            <w:tcW w:type="dxa" w:w="1728"/>
          </w:tcPr>
          <w:p>
            <w:pPr>
              <w:spacing w:after="40" w:before="40"/>
            </w:pPr>
            <w:r>
              <w:rPr>
                <w:sz w:val="18"/>
              </w:rPr>
              <w:t>Standard variance calculation</w:t>
            </w:r>
          </w:p>
        </w:tc>
        <w:tc>
          <w:tcPr>
            <w:tcW w:type="dxa" w:w="1728"/>
          </w:tcPr>
          <w:p>
            <w:pPr>
              <w:spacing w:after="40" w:before="40"/>
            </w:pPr>
            <w:r>
              <w:rPr>
                <w:sz w:val="18"/>
              </w:rPr>
              <w:t>≤ 0.05%</w:t>
            </w:r>
          </w:p>
        </w:tc>
      </w:tr>
    </w:tbl>
    <w:p>
      <w:r>
        <w:rPr>
          <w:b/>
        </w:rPr>
        <w:t>MRM Assessment of the Test Plan</w:t>
      </w:r>
      <w:r>
        <w:t xml:space="preserve"> MRM has reviewed the test plan documented in the ODD and finds it to be comprehensive and appropriate for a Low-risk Object. </w:t>
      </w:r>
      <w:r>
        <w:rPr>
          <w:i/>
        </w:rPr>
        <w:t xml:space="preserve"> </w:t>
      </w:r>
      <w:r>
        <w:rPr>
          <w:i/>
        </w:rPr>
        <w:t>Approach:</w:t>
      </w:r>
      <w:r>
        <w:rPr>
          <w:i/>
        </w:rPr>
        <w:t xml:space="preserve"> The use of an LLM-as-a-Judge is a suitable approach for scalable testing. MRM assesses the Sponsor's process of first validating the automated evaluator against human SMEs as a sound practice that builds confidence in the subsequent Object performance results. </w:t>
      </w:r>
      <w:r>
        <w:t xml:space="preserve"> </w:t>
      </w:r>
      <w:r>
        <w:rPr>
          <w:b/>
        </w:rPr>
        <w:t>Sample:</w:t>
      </w:r>
      <w:r>
        <w:t xml:space="preserve"> The test sample of 247 questions, stratified across 19 positive and negative categories, is deemed sufficiently large and diverse for development testing of this Object. The inclusion of negative test cases to probe for safety and robustness is a strength of the plan. </w:t>
      </w:r>
      <w:r>
        <w:rPr>
          <w:i/>
        </w:rPr>
        <w:t xml:space="preserve"> </w:t>
      </w:r>
      <w:r>
        <w:rPr>
          <w:i/>
        </w:rPr>
        <w:t>Metrics:</w:t>
      </w:r>
      <w:r>
        <w:rPr>
          <w:i/>
        </w:rPr>
        <w:t xml:space="preserve"> The chosen metrics are relevant and well-defined. The `Object Pass Rate`, which combines answer quality with citation accuracy, is a particularly strong metric for a Retrieval-Augmented Generation (RAG) Object, as it measures both correctness and verifiability. </w:t>
      </w:r>
      <w:r>
        <w:t xml:space="preserve"> </w:t>
      </w:r>
      <w:r>
        <w:rPr>
          <w:b/>
        </w:rPr>
        <w:t>Thresholds:</w:t>
      </w:r>
      <w:r>
        <w:t xml:space="preserve"> The Sponsor has defined clear pass/fail thresholds. While the ODD provides only high-level rationale for the specific values chosen, MRM deems the thresholds acceptable for a Low-risk Object, particularly given the assistive usage pattern where a human user provides final review. Overall, MRM considers the test plan to be sound, well-documented, and acceptable.</w:t>
      </w:r>
    </w:p>
    <w:p>
      <w:r>
        <w:rPr>
          <w:b/>
        </w:rPr>
        <w:t xml:space="preserve">3.2 Performance Testing Results The Sponsor executed the test plan and provided summary results for the LLM-as-a-Judge validation, Object performance, stability, and qualitative user feedback. The raw, observation-level results are available in the test evidence files attached to the ODD. **LLM-as-a-Judge Validation Results** The Sponsor first validated the automated evaluator against human SME judgments on a set of 330 test cases. The results exceeded the predefined thresholds, confirming the reliability of the LLM-as-a-Judge.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before="40"/>
            </w:pPr>
            <w:r>
              <w:rPr>
                <w:b/>
                <w:sz w:val="18"/>
              </w:rPr>
              <w:t>Metric</w:t>
            </w:r>
          </w:p>
        </w:tc>
        <w:tc>
          <w:tcPr>
            <w:tcW w:type="dxa" w:w="2160"/>
          </w:tcPr>
          <w:p>
            <w:pPr>
              <w:spacing w:after="40" w:before="40"/>
            </w:pPr>
            <w:r>
              <w:rPr>
                <w:b/>
                <w:sz w:val="18"/>
              </w:rPr>
              <w:t>Threshold</w:t>
            </w:r>
          </w:p>
        </w:tc>
        <w:tc>
          <w:tcPr>
            <w:tcW w:type="dxa" w:w="2160"/>
          </w:tcPr>
          <w:p>
            <w:pPr>
              <w:spacing w:after="40" w:before="40"/>
            </w:pPr>
            <w:r>
              <w:rPr>
                <w:b/>
                <w:sz w:val="18"/>
              </w:rPr>
              <w:t>Result</w:t>
            </w:r>
          </w:p>
        </w:tc>
        <w:tc>
          <w:tcPr>
            <w:tcW w:type="dxa" w:w="2160"/>
          </w:tcPr>
          <w:p>
            <w:pPr>
              <w:spacing w:after="40" w:before="40"/>
            </w:pPr>
            <w:r>
              <w:rPr>
                <w:b/>
                <w:sz w:val="18"/>
              </w:rPr>
              <w:t>Outcome</w:t>
            </w:r>
          </w:p>
        </w:tc>
      </w:tr>
      <w:tr>
        <w:tc>
          <w:tcPr>
            <w:tcW w:type="dxa" w:w="2160"/>
          </w:tcPr>
          <w:p>
            <w:pPr>
              <w:spacing w:after="40" w:before="40"/>
            </w:pPr>
            <w:r>
              <w:rPr>
                <w:sz w:val="18"/>
              </w:rPr>
              <w:t>LLM-as-a-Judge Accuracy</w:t>
            </w:r>
          </w:p>
        </w:tc>
        <w:tc>
          <w:tcPr>
            <w:tcW w:type="dxa" w:w="2160"/>
          </w:tcPr>
          <w:p>
            <w:pPr>
              <w:spacing w:after="40" w:before="40"/>
            </w:pPr>
            <w:r>
              <w:rPr>
                <w:sz w:val="18"/>
              </w:rPr>
              <w:t>≥ 85%</w:t>
            </w:r>
          </w:p>
        </w:tc>
        <w:tc>
          <w:tcPr>
            <w:tcW w:type="dxa" w:w="2160"/>
          </w:tcPr>
          <w:p>
            <w:pPr>
              <w:spacing w:after="40" w:before="40"/>
            </w:pPr>
            <w:r>
              <w:rPr>
                <w:sz w:val="18"/>
              </w:rPr>
              <w:t>91.5%</w:t>
            </w:r>
          </w:p>
        </w:tc>
        <w:tc>
          <w:tcPr>
            <w:tcW w:type="dxa" w:w="2160"/>
          </w:tcPr>
          <w:p>
            <w:pPr>
              <w:spacing w:after="40" w:before="40"/>
            </w:pPr>
            <w:r>
              <w:rPr>
                <w:sz w:val="18"/>
              </w:rPr>
              <w:t>Pass</w:t>
            </w:r>
          </w:p>
        </w:tc>
      </w:tr>
      <w:tr>
        <w:tc>
          <w:tcPr>
            <w:tcW w:type="dxa" w:w="2160"/>
          </w:tcPr>
          <w:p>
            <w:pPr>
              <w:spacing w:after="40" w:before="40"/>
            </w:pPr>
            <w:r>
              <w:rPr>
                <w:sz w:val="18"/>
              </w:rPr>
              <w:t>LLM-as-a-Judge MCC</w:t>
            </w:r>
          </w:p>
        </w:tc>
        <w:tc>
          <w:tcPr>
            <w:tcW w:type="dxa" w:w="2160"/>
          </w:tcPr>
          <w:p>
            <w:pPr>
              <w:spacing w:after="40" w:before="40"/>
            </w:pPr>
            <w:r>
              <w:rPr>
                <w:sz w:val="18"/>
              </w:rPr>
              <w:t>≥ 0.75</w:t>
            </w:r>
          </w:p>
        </w:tc>
        <w:tc>
          <w:tcPr>
            <w:tcW w:type="dxa" w:w="2160"/>
          </w:tcPr>
          <w:p>
            <w:pPr>
              <w:spacing w:after="40" w:before="40"/>
            </w:pPr>
            <w:r>
              <w:rPr>
                <w:sz w:val="18"/>
              </w:rPr>
              <w:t>0.75</w:t>
            </w:r>
          </w:p>
        </w:tc>
        <w:tc>
          <w:tcPr>
            <w:tcW w:type="dxa" w:w="2160"/>
          </w:tcPr>
          <w:p>
            <w:pPr>
              <w:spacing w:after="40" w:before="40"/>
            </w:pPr>
            <w:r>
              <w:rPr>
                <w:sz w:val="18"/>
              </w:rPr>
              <w:t>Pass</w:t>
            </w:r>
          </w:p>
        </w:tc>
      </w:tr>
    </w:tbl>
    <w:p>
      <w:r>
        <w:rPr>
          <w:b/>
        </w:rPr>
        <w:t>Object Performance Results</w:t>
      </w:r>
      <w:r>
        <w:t xml:space="preserve"> Using the validated LLM-as-a-Judge, the Sponsor tested the Object on the 247-question sample. The overall </w:t>
      </w:r>
      <w:r>
        <w:rPr>
          <w:rFonts w:ascii="Courier New" w:hAnsi="Courier New"/>
          <w:sz w:val="18"/>
        </w:rPr>
        <w:t>Object Pass Rate</w:t>
      </w:r>
      <w:r>
        <w:t xml:space="preserve"> exceeded the acceptance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before="40"/>
            </w:pPr>
            <w:r>
              <w:rPr>
                <w:b/>
                <w:sz w:val="18"/>
              </w:rPr>
              <w:t>Metric</w:t>
            </w:r>
          </w:p>
        </w:tc>
        <w:tc>
          <w:tcPr>
            <w:tcW w:type="dxa" w:w="2160"/>
          </w:tcPr>
          <w:p>
            <w:pPr>
              <w:spacing w:after="40" w:before="40"/>
            </w:pPr>
            <w:r>
              <w:rPr>
                <w:b/>
                <w:sz w:val="18"/>
              </w:rPr>
              <w:t>Threshold</w:t>
            </w:r>
          </w:p>
        </w:tc>
        <w:tc>
          <w:tcPr>
            <w:tcW w:type="dxa" w:w="2160"/>
          </w:tcPr>
          <w:p>
            <w:pPr>
              <w:spacing w:after="40" w:before="40"/>
            </w:pPr>
            <w:r>
              <w:rPr>
                <w:b/>
                <w:sz w:val="18"/>
              </w:rPr>
              <w:t>Result</w:t>
            </w:r>
          </w:p>
        </w:tc>
        <w:tc>
          <w:tcPr>
            <w:tcW w:type="dxa" w:w="2160"/>
          </w:tcPr>
          <w:p>
            <w:pPr>
              <w:spacing w:after="40" w:before="40"/>
            </w:pPr>
            <w:r>
              <w:rPr>
                <w:b/>
                <w:sz w:val="18"/>
              </w:rPr>
              <w:t>Outcome</w:t>
            </w:r>
          </w:p>
        </w:tc>
      </w:tr>
      <w:tr>
        <w:tc>
          <w:tcPr>
            <w:tcW w:type="dxa" w:w="2160"/>
          </w:tcPr>
          <w:p>
            <w:pPr>
              <w:spacing w:after="40" w:before="40"/>
            </w:pPr>
            <w:r>
              <w:rPr>
                <w:b/>
                <w:sz w:val="18"/>
              </w:rPr>
              <w:t>Object Pass Rate (Overall)</w:t>
            </w:r>
          </w:p>
        </w:tc>
        <w:tc>
          <w:tcPr>
            <w:tcW w:type="dxa" w:w="2160"/>
          </w:tcPr>
          <w:p>
            <w:pPr>
              <w:spacing w:after="40" w:before="40"/>
            </w:pPr>
            <w:r>
              <w:rPr>
                <w:b/>
                <w:sz w:val="18"/>
              </w:rPr>
              <w:t>≥ 70%</w:t>
            </w:r>
          </w:p>
        </w:tc>
        <w:tc>
          <w:tcPr>
            <w:tcW w:type="dxa" w:w="2160"/>
          </w:tcPr>
          <w:p>
            <w:pPr>
              <w:spacing w:after="40" w:before="40"/>
            </w:pPr>
            <w:r>
              <w:rPr>
                <w:b/>
                <w:sz w:val="18"/>
              </w:rPr>
              <w:t>90.3%</w:t>
            </w:r>
          </w:p>
        </w:tc>
        <w:tc>
          <w:tcPr>
            <w:tcW w:type="dxa" w:w="2160"/>
          </w:tcPr>
          <w:p>
            <w:pPr>
              <w:spacing w:after="40" w:before="40"/>
            </w:pPr>
            <w:r>
              <w:rPr>
                <w:b/>
                <w:sz w:val="18"/>
              </w:rPr>
              <w:t>Pass</w:t>
            </w:r>
          </w:p>
        </w:tc>
      </w:tr>
      <w:tr>
        <w:tc>
          <w:tcPr>
            <w:tcW w:type="dxa" w:w="2160"/>
          </w:tcPr>
          <w:p>
            <w:pPr>
              <w:spacing w:after="40" w:before="40"/>
            </w:pPr>
            <w:r>
              <w:rPr>
                <w:sz w:val="18"/>
              </w:rPr>
              <w:t>Object Stability (Pass Rate Variance)</w:t>
            </w:r>
          </w:p>
        </w:tc>
        <w:tc>
          <w:tcPr>
            <w:tcW w:type="dxa" w:w="2160"/>
          </w:tcPr>
          <w:p>
            <w:pPr>
              <w:spacing w:after="40" w:before="40"/>
            </w:pPr>
            <w:r>
              <w:rPr>
                <w:sz w:val="18"/>
              </w:rPr>
              <w:t>≤ 0.05%</w:t>
            </w:r>
          </w:p>
        </w:tc>
        <w:tc>
          <w:tcPr>
            <w:tcW w:type="dxa" w:w="2160"/>
          </w:tcPr>
          <w:p>
            <w:pPr>
              <w:spacing w:after="40" w:before="40"/>
            </w:pPr>
            <w:r>
              <w:rPr>
                <w:sz w:val="18"/>
              </w:rPr>
              <w:t>0.14%</w:t>
            </w:r>
          </w:p>
        </w:tc>
        <w:tc>
          <w:tcPr>
            <w:tcW w:type="dxa" w:w="2160"/>
          </w:tcPr>
          <w:p>
            <w:pPr>
              <w:spacing w:after="40" w:before="40"/>
            </w:pPr>
            <w:r>
              <w:rPr>
                <w:sz w:val="18"/>
              </w:rPr>
              <w:t>Fail</w:t>
            </w:r>
          </w:p>
        </w:tc>
      </w:tr>
      <w:tr>
        <w:tc>
          <w:tcPr>
            <w:tcW w:type="dxa" w:w="2160"/>
          </w:tcPr>
          <w:p>
            <w:pPr>
              <w:spacing w:after="40" w:before="40"/>
            </w:pPr>
            <w:r>
              <w:rPr>
                <w:sz w:val="18"/>
              </w:rPr>
              <w:t>UAT Object Pass Rate</w:t>
            </w:r>
          </w:p>
        </w:tc>
        <w:tc>
          <w:tcPr>
            <w:tcW w:type="dxa" w:w="2160"/>
          </w:tcPr>
          <w:p>
            <w:pPr>
              <w:spacing w:after="40" w:before="40"/>
            </w:pPr>
            <w:r>
              <w:rPr>
                <w:sz w:val="18"/>
              </w:rPr>
              <w:t>≥ 70%</w:t>
            </w:r>
          </w:p>
        </w:tc>
        <w:tc>
          <w:tcPr>
            <w:tcW w:type="dxa" w:w="2160"/>
          </w:tcPr>
          <w:p>
            <w:pPr>
              <w:spacing w:after="40" w:before="40"/>
            </w:pPr>
            <w:r>
              <w:rPr>
                <w:sz w:val="18"/>
              </w:rPr>
              <w:t>89.5%</w:t>
            </w:r>
          </w:p>
        </w:tc>
        <w:tc>
          <w:tcPr>
            <w:tcW w:type="dxa" w:w="2160"/>
          </w:tcPr>
          <w:p>
            <w:pPr>
              <w:spacing w:after="40" w:before="40"/>
            </w:pPr>
            <w:r>
              <w:rPr>
                <w:sz w:val="18"/>
              </w:rPr>
              <w:t>Pass</w:t>
            </w:r>
          </w:p>
        </w:tc>
      </w:tr>
    </w:tbl>
    <w:p>
      <w:r>
        <w:t xml:space="preserve">The following table summarizes the </w:t>
      </w:r>
      <w:r>
        <w:rPr>
          <w:rFonts w:ascii="Courier New" w:hAnsi="Courier New"/>
          <w:sz w:val="18"/>
        </w:rPr>
        <w:t>Object Pass Rate</w:t>
      </w:r>
      <w:r>
        <w:t xml:space="preserve"> across the top and bottom performing test categories as reported in the ODD.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before="40"/>
            </w:pPr>
            <w:r>
              <w:rPr>
                <w:b/>
                <w:sz w:val="18"/>
              </w:rPr>
              <w:t>Category</w:t>
            </w:r>
          </w:p>
        </w:tc>
        <w:tc>
          <w:tcPr>
            <w:tcW w:type="dxa" w:w="1728"/>
          </w:tcPr>
          <w:p>
            <w:pPr>
              <w:spacing w:after="40" w:before="40"/>
            </w:pPr>
            <w:r>
              <w:rPr>
                <w:b/>
                <w:sz w:val="18"/>
              </w:rPr>
              <w:t>Pass Rate</w:t>
            </w:r>
          </w:p>
        </w:tc>
        <w:tc>
          <w:tcPr>
            <w:tcW w:type="dxa" w:w="1728"/>
          </w:tcPr>
          <w:p>
            <w:pPr>
              <w:spacing w:after="40" w:before="40"/>
            </w:pPr>
          </w:p>
        </w:tc>
        <w:tc>
          <w:tcPr>
            <w:tcW w:type="dxa" w:w="1728"/>
          </w:tcPr>
          <w:p>
            <w:pPr>
              <w:spacing w:after="40" w:before="40"/>
            </w:pPr>
            <w:r>
              <w:rPr>
                <w:b/>
                <w:sz w:val="18"/>
              </w:rPr>
              <w:t>Category</w:t>
            </w:r>
          </w:p>
        </w:tc>
        <w:tc>
          <w:tcPr>
            <w:tcW w:type="dxa" w:w="1728"/>
          </w:tcPr>
          <w:p>
            <w:pPr>
              <w:spacing w:after="40" w:before="40"/>
            </w:pPr>
            <w:r>
              <w:rPr>
                <w:b/>
                <w:sz w:val="18"/>
              </w:rPr>
              <w:t>Pass Rate</w:t>
            </w:r>
          </w:p>
        </w:tc>
      </w:tr>
      <w:tr>
        <w:tc>
          <w:tcPr>
            <w:tcW w:type="dxa" w:w="1728"/>
          </w:tcPr>
          <w:p>
            <w:pPr>
              <w:spacing w:after="40" w:before="40"/>
            </w:pPr>
            <w:r>
              <w:rPr>
                <w:b/>
                <w:sz w:val="18"/>
              </w:rPr>
              <w:t>Top Performing</w:t>
            </w:r>
          </w:p>
        </w:tc>
        <w:tc>
          <w:tcPr>
            <w:tcW w:type="dxa" w:w="1728"/>
          </w:tcPr>
          <w:p>
            <w:pPr>
              <w:spacing w:after="40" w:before="40"/>
            </w:pPr>
          </w:p>
        </w:tc>
        <w:tc>
          <w:tcPr>
            <w:tcW w:type="dxa" w:w="1728"/>
          </w:tcPr>
          <w:p>
            <w:pPr>
              <w:spacing w:after="40" w:before="40"/>
            </w:pPr>
          </w:p>
        </w:tc>
        <w:tc>
          <w:tcPr>
            <w:tcW w:type="dxa" w:w="1728"/>
          </w:tcPr>
          <w:p>
            <w:pPr>
              <w:spacing w:after="40" w:before="40"/>
            </w:pPr>
            <w:r>
              <w:rPr>
                <w:b/>
                <w:sz w:val="18"/>
              </w:rPr>
              <w:t>Bottom Performing</w:t>
            </w:r>
          </w:p>
        </w:tc>
        <w:tc>
          <w:tcPr>
            <w:tcW w:type="dxa" w:w="1728"/>
          </w:tcPr>
          <w:p>
            <w:pPr>
              <w:spacing w:after="40" w:before="40"/>
            </w:pPr>
          </w:p>
        </w:tc>
      </w:tr>
      <w:tr>
        <w:tc>
          <w:tcPr>
            <w:tcW w:type="dxa" w:w="1728"/>
          </w:tcPr>
          <w:p>
            <w:pPr>
              <w:spacing w:after="40" w:before="40"/>
            </w:pPr>
            <w:r>
              <w:rPr>
                <w:rFonts w:ascii="Courier New" w:hAnsi="Courier New"/>
                <w:sz w:val="18"/>
              </w:rPr>
              <w:t>support</w:t>
            </w:r>
          </w:p>
        </w:tc>
        <w:tc>
          <w:tcPr>
            <w:tcW w:type="dxa" w:w="1728"/>
          </w:tcPr>
          <w:p>
            <w:pPr>
              <w:spacing w:after="40" w:before="40"/>
            </w:pPr>
            <w:r>
              <w:rPr>
                <w:sz w:val="18"/>
              </w:rPr>
              <w:t>100.0%</w:t>
            </w:r>
          </w:p>
        </w:tc>
        <w:tc>
          <w:tcPr>
            <w:tcW w:type="dxa" w:w="1728"/>
          </w:tcPr>
          <w:p>
            <w:pPr>
              <w:spacing w:after="40" w:before="40"/>
            </w:pPr>
          </w:p>
        </w:tc>
        <w:tc>
          <w:tcPr>
            <w:tcW w:type="dxa" w:w="1728"/>
          </w:tcPr>
          <w:p>
            <w:pPr>
              <w:spacing w:after="40" w:before="40"/>
            </w:pPr>
            <w:r>
              <w:rPr>
                <w:rFonts w:ascii="Courier New" w:hAnsi="Courier New"/>
                <w:sz w:val="18"/>
              </w:rPr>
              <w:t>error_codes</w:t>
            </w:r>
          </w:p>
        </w:tc>
        <w:tc>
          <w:tcPr>
            <w:tcW w:type="dxa" w:w="1728"/>
          </w:tcPr>
          <w:p>
            <w:pPr>
              <w:spacing w:after="40" w:before="40"/>
            </w:pPr>
            <w:r>
              <w:rPr>
                <w:sz w:val="18"/>
              </w:rPr>
              <w:t>77.8%</w:t>
            </w:r>
          </w:p>
        </w:tc>
      </w:tr>
      <w:tr>
        <w:tc>
          <w:tcPr>
            <w:tcW w:type="dxa" w:w="1728"/>
          </w:tcPr>
          <w:p>
            <w:pPr>
              <w:spacing w:after="40" w:before="40"/>
            </w:pPr>
            <w:r>
              <w:rPr>
                <w:rFonts w:ascii="Courier New" w:hAnsi="Courier New"/>
                <w:sz w:val="18"/>
              </w:rPr>
              <w:t>outofscope</w:t>
            </w:r>
          </w:p>
        </w:tc>
        <w:tc>
          <w:tcPr>
            <w:tcW w:type="dxa" w:w="1728"/>
          </w:tcPr>
          <w:p>
            <w:pPr>
              <w:spacing w:after="40" w:before="40"/>
            </w:pPr>
            <w:r>
              <w:rPr>
                <w:sz w:val="18"/>
              </w:rPr>
              <w:t>100.0%</w:t>
            </w:r>
          </w:p>
        </w:tc>
        <w:tc>
          <w:tcPr>
            <w:tcW w:type="dxa" w:w="1728"/>
          </w:tcPr>
          <w:p>
            <w:pPr>
              <w:spacing w:after="40" w:before="40"/>
            </w:pPr>
          </w:p>
        </w:tc>
        <w:tc>
          <w:tcPr>
            <w:tcW w:type="dxa" w:w="1728"/>
          </w:tcPr>
          <w:p>
            <w:pPr>
              <w:spacing w:after="40" w:before="40"/>
            </w:pPr>
            <w:r>
              <w:rPr>
                <w:rFonts w:ascii="Courier New" w:hAnsi="Courier New"/>
                <w:sz w:val="18"/>
              </w:rPr>
              <w:t>toxic</w:t>
            </w:r>
          </w:p>
        </w:tc>
        <w:tc>
          <w:tcPr>
            <w:tcW w:type="dxa" w:w="1728"/>
          </w:tcPr>
          <w:p>
            <w:pPr>
              <w:spacing w:after="40" w:before="40"/>
            </w:pPr>
            <w:r>
              <w:rPr>
                <w:sz w:val="18"/>
              </w:rPr>
              <w:t>75.0%</w:t>
            </w:r>
          </w:p>
        </w:tc>
      </w:tr>
      <w:tr>
        <w:tc>
          <w:tcPr>
            <w:tcW w:type="dxa" w:w="1728"/>
          </w:tcPr>
          <w:p>
            <w:pPr>
              <w:spacing w:after="40" w:before="40"/>
            </w:pPr>
            <w:r>
              <w:rPr>
                <w:rFonts w:ascii="Courier New" w:hAnsi="Courier New"/>
                <w:sz w:val="18"/>
              </w:rPr>
              <w:t>configuration</w:t>
            </w:r>
          </w:p>
        </w:tc>
        <w:tc>
          <w:tcPr>
            <w:tcW w:type="dxa" w:w="1728"/>
          </w:tcPr>
          <w:p>
            <w:pPr>
              <w:spacing w:after="40" w:before="40"/>
            </w:pPr>
            <w:r>
              <w:rPr>
                <w:sz w:val="18"/>
              </w:rPr>
              <w:t>100.0%</w:t>
            </w:r>
          </w:p>
        </w:tc>
        <w:tc>
          <w:tcPr>
            <w:tcW w:type="dxa" w:w="1728"/>
          </w:tcPr>
          <w:p>
            <w:pPr>
              <w:spacing w:after="40" w:before="40"/>
            </w:pPr>
          </w:p>
        </w:tc>
        <w:tc>
          <w:tcPr>
            <w:tcW w:type="dxa" w:w="1728"/>
          </w:tcPr>
          <w:p>
            <w:pPr>
              <w:spacing w:after="40" w:before="40"/>
            </w:pPr>
            <w:r>
              <w:rPr>
                <w:rFonts w:ascii="Courier New" w:hAnsi="Courier New"/>
                <w:sz w:val="18"/>
              </w:rPr>
              <w:t>hallucination</w:t>
            </w:r>
          </w:p>
        </w:tc>
        <w:tc>
          <w:tcPr>
            <w:tcW w:type="dxa" w:w="1728"/>
          </w:tcPr>
          <w:p>
            <w:pPr>
              <w:spacing w:after="40" w:before="40"/>
            </w:pPr>
            <w:r>
              <w:rPr>
                <w:sz w:val="18"/>
              </w:rPr>
              <w:t>66.7%</w:t>
            </w:r>
          </w:p>
        </w:tc>
      </w:tr>
    </w:tbl>
    <w:p>
      <w:r>
        <w:rPr>
          <w:b/>
        </w:rPr>
        <w:t>Qualitative Testing Results</w:t>
      </w:r>
      <w:r>
        <w:t xml:space="preserve"> Feedback from pilot users scored the Object highly on a 1-10 scale, with all metrics exceeding the threshold of 7.0.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before="40"/>
            </w:pPr>
            <w:r>
              <w:rPr>
                <w:b/>
                <w:sz w:val="18"/>
              </w:rPr>
              <w:t>Metric</w:t>
            </w:r>
          </w:p>
        </w:tc>
        <w:tc>
          <w:tcPr>
            <w:tcW w:type="dxa" w:w="2160"/>
          </w:tcPr>
          <w:p>
            <w:pPr>
              <w:spacing w:after="40" w:before="40"/>
            </w:pPr>
            <w:r>
              <w:rPr>
                <w:b/>
                <w:sz w:val="18"/>
              </w:rPr>
              <w:t>Threshold</w:t>
            </w:r>
          </w:p>
        </w:tc>
        <w:tc>
          <w:tcPr>
            <w:tcW w:type="dxa" w:w="2160"/>
          </w:tcPr>
          <w:p>
            <w:pPr>
              <w:spacing w:after="40" w:before="40"/>
            </w:pPr>
            <w:r>
              <w:rPr>
                <w:b/>
                <w:sz w:val="18"/>
              </w:rPr>
              <w:t>Result</w:t>
            </w:r>
          </w:p>
        </w:tc>
        <w:tc>
          <w:tcPr>
            <w:tcW w:type="dxa" w:w="2160"/>
          </w:tcPr>
          <w:p>
            <w:pPr>
              <w:spacing w:after="40" w:before="40"/>
            </w:pPr>
            <w:r>
              <w:rPr>
                <w:b/>
                <w:sz w:val="18"/>
              </w:rPr>
              <w:t>Outcome</w:t>
            </w:r>
          </w:p>
        </w:tc>
      </w:tr>
      <w:tr>
        <w:tc>
          <w:tcPr>
            <w:tcW w:type="dxa" w:w="2160"/>
          </w:tcPr>
          <w:p>
            <w:pPr>
              <w:spacing w:after="40" w:before="40"/>
            </w:pPr>
            <w:r>
              <w:rPr>
                <w:sz w:val="18"/>
              </w:rPr>
              <w:t>Perceived Correctness</w:t>
            </w:r>
          </w:p>
        </w:tc>
        <w:tc>
          <w:tcPr>
            <w:tcW w:type="dxa" w:w="2160"/>
          </w:tcPr>
          <w:p>
            <w:pPr>
              <w:spacing w:after="40" w:before="40"/>
            </w:pPr>
            <w:r>
              <w:rPr>
                <w:sz w:val="18"/>
              </w:rPr>
              <w:t>≥ 7.0</w:t>
            </w:r>
          </w:p>
        </w:tc>
        <w:tc>
          <w:tcPr>
            <w:tcW w:type="dxa" w:w="2160"/>
          </w:tcPr>
          <w:p>
            <w:pPr>
              <w:spacing w:after="40" w:before="40"/>
            </w:pPr>
            <w:r>
              <w:rPr>
                <w:sz w:val="18"/>
              </w:rPr>
              <w:t>7.93</w:t>
            </w:r>
          </w:p>
        </w:tc>
        <w:tc>
          <w:tcPr>
            <w:tcW w:type="dxa" w:w="2160"/>
          </w:tcPr>
          <w:p>
            <w:pPr>
              <w:spacing w:after="40" w:before="40"/>
            </w:pPr>
            <w:r>
              <w:rPr>
                <w:sz w:val="18"/>
              </w:rPr>
              <w:t>Pass</w:t>
            </w:r>
          </w:p>
        </w:tc>
      </w:tr>
      <w:tr>
        <w:tc>
          <w:tcPr>
            <w:tcW w:type="dxa" w:w="2160"/>
          </w:tcPr>
          <w:p>
            <w:pPr>
              <w:spacing w:after="40" w:before="40"/>
            </w:pPr>
            <w:r>
              <w:rPr>
                <w:sz w:val="18"/>
              </w:rPr>
              <w:t>Perceived Completeness</w:t>
            </w:r>
          </w:p>
        </w:tc>
        <w:tc>
          <w:tcPr>
            <w:tcW w:type="dxa" w:w="2160"/>
          </w:tcPr>
          <w:p>
            <w:pPr>
              <w:spacing w:after="40" w:before="40"/>
            </w:pPr>
            <w:r>
              <w:rPr>
                <w:sz w:val="18"/>
              </w:rPr>
              <w:t>≥ 7.0</w:t>
            </w:r>
          </w:p>
        </w:tc>
        <w:tc>
          <w:tcPr>
            <w:tcW w:type="dxa" w:w="2160"/>
          </w:tcPr>
          <w:p>
            <w:pPr>
              <w:spacing w:after="40" w:before="40"/>
            </w:pPr>
            <w:r>
              <w:rPr>
                <w:sz w:val="18"/>
              </w:rPr>
              <w:t>8.01</w:t>
            </w:r>
          </w:p>
        </w:tc>
        <w:tc>
          <w:tcPr>
            <w:tcW w:type="dxa" w:w="2160"/>
          </w:tcPr>
          <w:p>
            <w:pPr>
              <w:spacing w:after="40" w:before="40"/>
            </w:pPr>
            <w:r>
              <w:rPr>
                <w:sz w:val="18"/>
              </w:rPr>
              <w:t>Pass</w:t>
            </w:r>
          </w:p>
        </w:tc>
      </w:tr>
      <w:tr>
        <w:tc>
          <w:tcPr>
            <w:tcW w:type="dxa" w:w="2160"/>
          </w:tcPr>
          <w:p>
            <w:pPr>
              <w:spacing w:after="40" w:before="40"/>
            </w:pPr>
            <w:r>
              <w:rPr>
                <w:sz w:val="18"/>
              </w:rPr>
              <w:t>Perceived Productivity</w:t>
            </w:r>
          </w:p>
        </w:tc>
        <w:tc>
          <w:tcPr>
            <w:tcW w:type="dxa" w:w="2160"/>
          </w:tcPr>
          <w:p>
            <w:pPr>
              <w:spacing w:after="40" w:before="40"/>
            </w:pPr>
            <w:r>
              <w:rPr>
                <w:sz w:val="18"/>
              </w:rPr>
              <w:t>≥ 7.0</w:t>
            </w:r>
          </w:p>
        </w:tc>
        <w:tc>
          <w:tcPr>
            <w:tcW w:type="dxa" w:w="2160"/>
          </w:tcPr>
          <w:p>
            <w:pPr>
              <w:spacing w:after="40" w:before="40"/>
            </w:pPr>
            <w:r>
              <w:rPr>
                <w:sz w:val="18"/>
              </w:rPr>
              <w:t>8.33</w:t>
            </w:r>
          </w:p>
        </w:tc>
        <w:tc>
          <w:tcPr>
            <w:tcW w:type="dxa" w:w="2160"/>
          </w:tcPr>
          <w:p>
            <w:pPr>
              <w:spacing w:after="40" w:before="40"/>
            </w:pPr>
            <w:r>
              <w:rPr>
                <w:sz w:val="18"/>
              </w:rPr>
              <w:t>Pass</w:t>
            </w:r>
          </w:p>
        </w:tc>
      </w:tr>
      <w:tr>
        <w:tc>
          <w:tcPr>
            <w:tcW w:type="dxa" w:w="2160"/>
          </w:tcPr>
          <w:p>
            <w:pPr>
              <w:spacing w:after="40" w:before="40"/>
            </w:pPr>
            <w:r>
              <w:rPr>
                <w:sz w:val="18"/>
              </w:rPr>
              <w:t>Perceived Usability</w:t>
            </w:r>
          </w:p>
        </w:tc>
        <w:tc>
          <w:tcPr>
            <w:tcW w:type="dxa" w:w="2160"/>
          </w:tcPr>
          <w:p>
            <w:pPr>
              <w:spacing w:after="40" w:before="40"/>
            </w:pPr>
            <w:r>
              <w:rPr>
                <w:sz w:val="18"/>
              </w:rPr>
              <w:t>≥ 7.0</w:t>
            </w:r>
          </w:p>
        </w:tc>
        <w:tc>
          <w:tcPr>
            <w:tcW w:type="dxa" w:w="2160"/>
          </w:tcPr>
          <w:p>
            <w:pPr>
              <w:spacing w:after="40" w:before="40"/>
            </w:pPr>
            <w:r>
              <w:rPr>
                <w:sz w:val="18"/>
              </w:rPr>
              <w:t>8.84</w:t>
            </w:r>
          </w:p>
        </w:tc>
        <w:tc>
          <w:tcPr>
            <w:tcW w:type="dxa" w:w="2160"/>
          </w:tcPr>
          <w:p>
            <w:pPr>
              <w:spacing w:after="40" w:before="40"/>
            </w:pPr>
            <w:r>
              <w:rPr>
                <w:sz w:val="18"/>
              </w:rPr>
              <w:t>Pass</w:t>
            </w:r>
          </w:p>
        </w:tc>
      </w:tr>
      <w:tr>
        <w:tc>
          <w:tcPr>
            <w:tcW w:type="dxa" w:w="2160"/>
          </w:tcPr>
          <w:p>
            <w:pPr>
              <w:spacing w:after="40" w:before="40"/>
            </w:pPr>
            <w:r>
              <w:rPr>
                <w:sz w:val="18"/>
              </w:rPr>
              <w:t>Perceived Quality</w:t>
            </w:r>
          </w:p>
        </w:tc>
        <w:tc>
          <w:tcPr>
            <w:tcW w:type="dxa" w:w="2160"/>
          </w:tcPr>
          <w:p>
            <w:pPr>
              <w:spacing w:after="40" w:before="40"/>
            </w:pPr>
            <w:r>
              <w:rPr>
                <w:sz w:val="18"/>
              </w:rPr>
              <w:t>≥ 7.0</w:t>
            </w:r>
          </w:p>
        </w:tc>
        <w:tc>
          <w:tcPr>
            <w:tcW w:type="dxa" w:w="2160"/>
          </w:tcPr>
          <w:p>
            <w:pPr>
              <w:spacing w:after="40" w:before="40"/>
            </w:pPr>
            <w:r>
              <w:rPr>
                <w:sz w:val="18"/>
              </w:rPr>
              <w:t>9.23</w:t>
            </w:r>
          </w:p>
        </w:tc>
        <w:tc>
          <w:tcPr>
            <w:tcW w:type="dxa" w:w="2160"/>
          </w:tcPr>
          <w:p>
            <w:pPr>
              <w:spacing w:after="40" w:before="40"/>
            </w:pPr>
            <w:r>
              <w:rPr>
                <w:sz w:val="18"/>
              </w:rPr>
              <w:t>Pass</w:t>
            </w:r>
          </w:p>
        </w:tc>
      </w:tr>
    </w:tbl>
    <w:p>
      <w:r>
        <w:rPr>
          <w:b/>
        </w:rPr>
        <w:t>MRM Assessment of Performance Results</w:t>
      </w:r>
      <w:r>
        <w:t xml:space="preserve"> MRM's assessment of the performance is largely positive. The Object's overall pass rate of 90.3% in development testing and 89.5% in User Acceptance Testing (UAT) significantly exceeds the 70% threshold. The high scores in qualitative testing indicate a positive user experience. The stability test reported a variance of 0.14%, which slightly exceeds the defined threshold of 0.05%; however, MRM considers this level of variance acceptable for a Low-risk Object with a </w:t>
      </w:r>
      <w:r>
        <w:rPr>
          <w:rFonts w:ascii="Courier New" w:hAnsi="Courier New"/>
          <w:sz w:val="18"/>
        </w:rPr>
        <w:t>temperature</w:t>
      </w:r>
      <w:r>
        <w:t xml:space="preserve"> setting of zero. </w:t>
      </w:r>
      <w:r>
        <w:rPr>
          <w:b/>
        </w:rPr>
        <w:t>Error Analysis</w:t>
      </w:r>
      <w:r>
        <w:t xml:space="preserve"> MRM notes that while overall performance is strong, the Object underperformed in several specific negative test categories. The </w:t>
      </w:r>
      <w:r>
        <w:rPr>
          <w:rFonts w:ascii="Courier New" w:hAnsi="Courier New"/>
          <w:sz w:val="18"/>
        </w:rPr>
        <w:t>hallucination</w:t>
      </w:r>
      <w:r>
        <w:t xml:space="preserve"> category had a pass rate of 66.7%, which is below the 70% outer threshold defined for the </w:t>
      </w:r>
      <w:r>
        <w:rPr>
          <w:rFonts w:ascii="Courier New" w:hAnsi="Courier New"/>
          <w:sz w:val="18"/>
        </w:rPr>
        <w:t>Object Pass Rate</w:t>
      </w:r>
      <w:r>
        <w:t xml:space="preserve">. The </w:t>
      </w:r>
      <w:r>
        <w:rPr>
          <w:rFonts w:ascii="Courier New" w:hAnsi="Courier New"/>
          <w:sz w:val="18"/>
        </w:rPr>
        <w:t>toxic</w:t>
      </w:r>
      <w:r>
        <w:t xml:space="preserve"> category pass rate of 75.0% is also below the 80% inner threshold. The ODD dismisses this underperformance by stating these queries fall outside the intended scope. MRM finds this justification insufficient for safety-related test categories, which are designed to measure the effectiveness of the Object's guardrails, not to represent typical user queries. The ODD does not provide a root-cause analysis for these failures or a remediation plan. To address this gap, MRM raises limitation 235939.01. The Sponsor is requested to investigate the root cause for the threshold breaches in the </w:t>
      </w:r>
      <w:r>
        <w:rPr>
          <w:rFonts w:ascii="Courier New" w:hAnsi="Courier New"/>
          <w:sz w:val="18"/>
        </w:rPr>
        <w:t>hallucination</w:t>
      </w:r>
      <w:r>
        <w:t xml:space="preserve"> and </w:t>
      </w:r>
      <w:r>
        <w:rPr>
          <w:rFonts w:ascii="Courier New" w:hAnsi="Courier New"/>
          <w:sz w:val="18"/>
        </w:rPr>
        <w:t>toxic</w:t>
      </w:r>
      <w:r>
        <w:t xml:space="preserve"> test categories and update the ODD with this analysis and any corresponding remediation plans to improve performance. </w:t>
      </w:r>
      <w:r>
        <w:rPr>
          <w:b/>
        </w:rPr>
        <w:t>Overall Conclusion on Performance</w:t>
      </w:r>
      <w:r>
        <w:t xml:space="preserve"> Overall, MRM deems the Object's performance to be acceptable for its intended purpose as a Low-risk, assistive tool for internal developers, pending the resolution of the raised limitation regarding error analysis. The Object demonstrates a high degree of accuracy and usability for its core function.</w:t>
      </w:r>
    </w:p>
    <w:p>
      <w:r>
        <w:rPr>
          <w:b/>
        </w:rPr>
        <w:t xml:space="preserve">3.3 Self-Identified Weaknesses The Sponsor identified two primary weaknesses in the ODD, along with their associated impacts and mitigation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Pr>
                <w:b/>
                <w:sz w:val="18"/>
              </w:rPr>
              <w:t>Weakness</w:t>
            </w:r>
          </w:p>
        </w:tc>
        <w:tc>
          <w:tcPr>
            <w:tcW w:type="dxa" w:w="2880"/>
          </w:tcPr>
          <w:p>
            <w:pPr>
              <w:spacing w:after="40" w:before="40"/>
            </w:pPr>
            <w:r>
              <w:rPr>
                <w:b/>
                <w:sz w:val="18"/>
              </w:rPr>
              <w:t>Mitigations by Sponsor</w:t>
            </w:r>
          </w:p>
        </w:tc>
        <w:tc>
          <w:tcPr>
            <w:tcW w:type="dxa" w:w="2880"/>
          </w:tcPr>
          <w:p>
            <w:pPr>
              <w:spacing w:after="40" w:before="40"/>
            </w:pPr>
            <w:r>
              <w:rPr>
                <w:b/>
                <w:sz w:val="18"/>
              </w:rPr>
              <w:t>MRM Assessment</w:t>
            </w:r>
          </w:p>
        </w:tc>
      </w:tr>
      <w:tr>
        <w:tc>
          <w:tcPr>
            <w:tcW w:type="dxa" w:w="2880"/>
          </w:tcPr>
          <w:p>
            <w:pPr>
              <w:spacing w:after="40" w:before="40"/>
            </w:pPr>
            <w:r>
              <w:rPr>
                <w:b/>
                <w:sz w:val="18"/>
              </w:rPr>
              <w:t>Inability to Process Images in Documentation:</w:t>
            </w:r>
            <w:r>
              <w:rPr>
                <w:sz w:val="18"/>
              </w:rPr>
              <w:t xml:space="preserve"> The Object cannot extract information from images (e.g., diagrams, screenshots), potentially leading to incomplete answers if key information is presented only visually.</w:t>
            </w:r>
          </w:p>
        </w:tc>
        <w:tc>
          <w:tcPr>
            <w:tcW w:type="dxa" w:w="2880"/>
          </w:tcPr>
          <w:p>
            <w:pPr>
              <w:spacing w:after="40" w:before="40"/>
            </w:pPr>
            <w:r>
              <w:rPr>
                <w:sz w:val="18"/>
              </w:rPr>
              <w:t xml:space="preserve">- </w:t>
            </w:r>
            <w:r>
              <w:rPr>
                <w:b/>
                <w:sz w:val="18"/>
              </w:rPr>
              <w:t>Citation Links:</w:t>
            </w:r>
            <w:r>
              <w:rPr>
                <w:sz w:val="18"/>
              </w:rPr>
              <w:t xml:space="preserve"> Users are provided with links to the original source document, allowing them to view images in context.</w:t>
            </w:r>
          </w:p>
          <w:p>
            <w:pPr>
              <w:spacing w:after="40" w:before="40"/>
            </w:pPr>
            <w:r>
              <w:rPr>
                <w:sz w:val="18"/>
              </w:rPr>
              <w:t xml:space="preserve">- </w:t>
            </w:r>
            <w:r>
              <w:rPr>
                <w:b/>
                <w:sz w:val="18"/>
              </w:rPr>
              <w:t>Content Standardization:</w:t>
            </w:r>
            <w:r>
              <w:rPr>
                <w:sz w:val="18"/>
              </w:rPr>
              <w:t xml:space="preserve"> Technical writers are mandated to ensure that information in images is also described in text.</w:t>
            </w:r>
          </w:p>
          <w:p>
            <w:pPr>
              <w:spacing w:after="40" w:before="40"/>
            </w:pPr>
            <w:r>
              <w:rPr>
                <w:sz w:val="18"/>
              </w:rPr>
              <w:t xml:space="preserve">- </w:t>
            </w:r>
            <w:r>
              <w:rPr>
                <w:b/>
                <w:sz w:val="18"/>
              </w:rPr>
              <w:t>Future Enhancement:</w:t>
            </w:r>
            <w:r>
              <w:rPr>
                <w:sz w:val="18"/>
              </w:rPr>
              <w:t xml:space="preserve"> A roadmap includes adding Optical Character Recognition (OCR) capabilities.</w:t>
            </w:r>
          </w:p>
        </w:tc>
        <w:tc>
          <w:tcPr>
            <w:tcW w:type="dxa" w:w="2880"/>
          </w:tcPr>
          <w:p>
            <w:pPr>
              <w:spacing w:after="40" w:before="40"/>
            </w:pPr>
            <w:r>
              <w:rPr>
                <w:sz w:val="18"/>
              </w:rPr>
              <w:t>The combination of providing direct access to source documents and enforcing content standardization standards are reasonable and sufficient compensating controls for this weakness in a Low-risk, assistive Object. MRM finds this mitigation acceptable.</w:t>
            </w:r>
          </w:p>
        </w:tc>
      </w:tr>
      <w:tr>
        <w:tc>
          <w:tcPr>
            <w:tcW w:type="dxa" w:w="2880"/>
          </w:tcPr>
          <w:p>
            <w:pPr>
              <w:spacing w:after="40" w:before="40"/>
            </w:pPr>
            <w:r>
              <w:rPr>
                <w:b/>
                <w:sz w:val="18"/>
              </w:rPr>
              <w:t>LLM-as-a-Judge Dependency on Human Ground Truth:</w:t>
            </w:r>
            <w:r>
              <w:rPr>
                <w:sz w:val="18"/>
              </w:rPr>
              <w:t xml:space="preserve"> The automated evaluator's accuracy is dependent on the quality and availability of human-generated ground truth, which limits scalability to new domains.</w:t>
            </w:r>
          </w:p>
        </w:tc>
        <w:tc>
          <w:tcPr>
            <w:tcW w:type="dxa" w:w="2880"/>
          </w:tcPr>
          <w:p>
            <w:pPr>
              <w:spacing w:after="40" w:before="40"/>
            </w:pPr>
            <w:r>
              <w:rPr>
                <w:sz w:val="18"/>
              </w:rPr>
              <w:t xml:space="preserve">- </w:t>
            </w:r>
            <w:r>
              <w:rPr>
                <w:b/>
                <w:sz w:val="18"/>
              </w:rPr>
              <w:t>Rigorous Ground Truth Process:</w:t>
            </w:r>
            <w:r>
              <w:rPr>
                <w:sz w:val="18"/>
              </w:rPr>
              <w:t xml:space="preserve"> A strict process for SME creation and verification of ground truth is in place.</w:t>
            </w:r>
          </w:p>
          <w:p>
            <w:pPr>
              <w:spacing w:after="40" w:before="40"/>
            </w:pPr>
            <w:r>
              <w:rPr>
                <w:sz w:val="18"/>
              </w:rPr>
              <w:t xml:space="preserve">- </w:t>
            </w:r>
            <w:r>
              <w:rPr>
                <w:b/>
                <w:sz w:val="18"/>
              </w:rPr>
              <w:t>Correlation Monitoring:</w:t>
            </w:r>
            <w:r>
              <w:rPr>
                <w:sz w:val="18"/>
              </w:rPr>
              <w:t xml:space="preserve"> The correlation between the LLM-as-a-Judge and human evaluation is monitored.</w:t>
            </w:r>
          </w:p>
          <w:p>
            <w:pPr>
              <w:spacing w:after="40" w:before="40"/>
            </w:pPr>
            <w:r>
              <w:rPr>
                <w:sz w:val="18"/>
              </w:rPr>
              <w:t xml:space="preserve">- </w:t>
            </w:r>
            <w:r>
              <w:rPr>
                <w:b/>
                <w:sz w:val="18"/>
              </w:rPr>
              <w:t>Dynamic Evaluation Research:</w:t>
            </w:r>
            <w:r>
              <w:rPr>
                <w:sz w:val="18"/>
              </w:rPr>
              <w:t xml:space="preserve"> R&amp;D is underway to explore methods that reduce reliance on static ground truth.</w:t>
            </w:r>
          </w:p>
        </w:tc>
        <w:tc>
          <w:tcPr>
            <w:tcW w:type="dxa" w:w="2880"/>
          </w:tcPr>
          <w:p>
            <w:pPr>
              <w:spacing w:after="40" w:before="40"/>
            </w:pPr>
            <w:r>
              <w:rPr>
                <w:sz w:val="18"/>
              </w:rPr>
              <w:t>The Sponsor's approach of validating the automated evaluator against a robust, SME-driven ground truth process and committing to ongoing research is sound. For the current scope, the mitigation is acceptable.</w:t>
            </w:r>
          </w:p>
        </w:tc>
      </w:tr>
    </w:tbl>
    <w:p>
      <w:r>
        <w:t>MRM has reviewed the self-identified weaknesses and the corresponding mitigation plans. The identified weaknesses are relevant, and the proposed mitigations are practical and appropriate for the Object's risk level and intended use. MRM deems the Sponsor's handling of self-identified weaknesses to be reasonable.</w:t>
      </w:r>
    </w:p>
    <w:p w14:paraId="18B0EB20" w14:textId="1C23CEC0" w:rsidR="0099448C" w:rsidRDefault="00757032" w:rsidP="00757032">
      <w:pPr>
        <w:pStyle w:val="Heading1"/>
        <w:rPr>
          <w:lang w:val="en-US"/>
        </w:rPr>
      </w:pPr>
      <w:r>
        <w:rPr>
          <w:lang w:val="en-US"/>
        </w:rPr>
        <w:t>D. Relevant Documentation [To be completed by Object Sponsor]</w:t>
      </w:r>
    </w:p>
    <w:p w14:paraId="1C173C00" w14:textId="0AE4217E" w:rsidR="00F6680A" w:rsidRDefault="00757032" w:rsidP="00F6680A">
      <w:pPr>
        <w:rPr>
          <w:lang w:val="en-US"/>
        </w:rPr>
      </w:pPr>
      <w:r>
        <w:rPr>
          <w:lang w:val="en-US"/>
        </w:rPr>
        <w:t>[Attachments]</w:t>
      </w:r>
    </w:p>
    <w:p w14:paraId="3D2E5E2C" w14:textId="1479D113" w:rsidR="00757032" w:rsidRDefault="00757032" w:rsidP="00757032">
      <w:pPr>
        <w:pStyle w:val="Heading1"/>
        <w:rPr>
          <w:lang w:val="en-US"/>
        </w:rPr>
      </w:pPr>
      <w:r>
        <w:rPr>
          <w:lang w:val="en-US"/>
        </w:rPr>
        <w:t>Template Version Control</w:t>
      </w:r>
    </w:p>
    <w:tbl>
      <w:tblPr>
        <w:tblStyle w:val="TableGrid"/>
        <w:tblW w:w="0" w:type="auto"/>
        <w:tblLook w:val="04A0" w:firstRow="1" w:lastRow="0" w:firstColumn="1" w:lastColumn="0" w:noHBand="0" w:noVBand="1"/>
      </w:tblPr>
      <w:tblGrid>
        <w:gridCol w:w="3005"/>
        <w:gridCol w:w="3005"/>
        <w:gridCol w:w="3006"/>
      </w:tblGrid>
      <w:tr w:rsidR="00757032" w14:paraId="40596AB5" w14:textId="77777777" w:rsidTr="00757032">
        <w:tc>
          <w:tcPr>
            <w:tcW w:w="3005" w:type="dxa"/>
          </w:tcPr>
          <w:p w14:paraId="7C218BCC" w14:textId="2B739448" w:rsidR="00757032" w:rsidRDefault="00757032" w:rsidP="00757032">
            <w:pPr>
              <w:rPr>
                <w:lang w:val="en-US"/>
              </w:rPr>
            </w:pPr>
            <w:r>
              <w:rPr>
                <w:lang w:val="en-US"/>
              </w:rPr>
              <w:t>Version</w:t>
            </w:r>
          </w:p>
        </w:tc>
        <w:tc>
          <w:tcPr>
            <w:tcW w:w="3005" w:type="dxa"/>
          </w:tcPr>
          <w:p w14:paraId="2DFD04E0" w14:textId="1D2F1716" w:rsidR="00757032" w:rsidRDefault="00757032" w:rsidP="00757032">
            <w:pPr>
              <w:rPr>
                <w:lang w:val="en-US"/>
              </w:rPr>
            </w:pPr>
            <w:r>
              <w:rPr>
                <w:lang w:val="en-US"/>
              </w:rPr>
              <w:t>Date</w:t>
            </w:r>
          </w:p>
        </w:tc>
        <w:tc>
          <w:tcPr>
            <w:tcW w:w="3006" w:type="dxa"/>
          </w:tcPr>
          <w:p w14:paraId="5EB0D147" w14:textId="235D7C9D" w:rsidR="00757032" w:rsidRDefault="00757032" w:rsidP="00757032">
            <w:pPr>
              <w:rPr>
                <w:lang w:val="en-US"/>
              </w:rPr>
            </w:pPr>
            <w:r>
              <w:rPr>
                <w:lang w:val="en-US"/>
              </w:rPr>
              <w:t>Approved By</w:t>
            </w:r>
          </w:p>
        </w:tc>
      </w:tr>
      <w:tr w:rsidR="00757032" w14:paraId="7F1C6252" w14:textId="77777777" w:rsidTr="00757032">
        <w:tc>
          <w:tcPr>
            <w:tcW w:w="3005" w:type="dxa"/>
          </w:tcPr>
          <w:p w14:paraId="415F7A65" w14:textId="515985E9" w:rsidR="00757032" w:rsidRDefault="00757032" w:rsidP="00757032">
            <w:pPr>
              <w:rPr>
                <w:lang w:val="en-US"/>
              </w:rPr>
            </w:pPr>
            <w:r>
              <w:rPr>
                <w:lang w:val="en-US"/>
              </w:rPr>
              <w:t>1.0</w:t>
            </w:r>
          </w:p>
        </w:tc>
        <w:tc>
          <w:tcPr>
            <w:tcW w:w="3005" w:type="dxa"/>
          </w:tcPr>
          <w:p w14:paraId="06E749F7" w14:textId="6F517DD7" w:rsidR="00757032" w:rsidRDefault="00757032" w:rsidP="00757032">
            <w:pPr>
              <w:rPr>
                <w:lang w:val="en-US"/>
              </w:rPr>
            </w:pPr>
            <w:r>
              <w:rPr>
                <w:lang w:val="en-US"/>
              </w:rPr>
              <w:t>June</w:t>
            </w:r>
          </w:p>
        </w:tc>
        <w:tc>
          <w:tcPr>
            <w:tcW w:w="3006" w:type="dxa"/>
          </w:tcPr>
          <w:p w14:paraId="720D30F7" w14:textId="48264448" w:rsidR="00757032" w:rsidRDefault="00757032" w:rsidP="00757032">
            <w:pPr>
              <w:rPr>
                <w:lang w:val="en-US"/>
              </w:rPr>
            </w:pPr>
            <w:r>
              <w:rPr>
                <w:lang w:val="en-US"/>
              </w:rPr>
              <w:t>Akash</w:t>
            </w:r>
          </w:p>
        </w:tc>
      </w:tr>
    </w:tbl>
    <w:p w14:paraId="30B7AD32" w14:textId="77777777" w:rsidR="00757032" w:rsidRPr="00757032" w:rsidRDefault="00757032" w:rsidP="00757032">
      <w:pPr>
        <w:rPr>
          <w:lang w:val="en-US"/>
        </w:rPr>
      </w:pPr>
    </w:p>
    <w:sectPr w:rsidR="00757032" w:rsidRPr="00757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Noto Sans">
    <w:panose1 w:val="020B0502040504020204"/>
    <w:charset w:val="00"/>
    <w:family w:val="swiss"/>
    <w:pitch w:val="variable"/>
    <w:sig w:usb0="E00082FF" w:usb1="400078FF" w:usb2="08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A790E"/>
    <w:multiLevelType w:val="hybridMultilevel"/>
    <w:tmpl w:val="D174C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370125"/>
    <w:multiLevelType w:val="hybridMultilevel"/>
    <w:tmpl w:val="884086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DD7BE8"/>
    <w:multiLevelType w:val="hybridMultilevel"/>
    <w:tmpl w:val="542223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473192">
    <w:abstractNumId w:val="1"/>
  </w:num>
  <w:num w:numId="2" w16cid:durableId="151726910">
    <w:abstractNumId w:val="0"/>
  </w:num>
  <w:num w:numId="3" w16cid:durableId="2088113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8C"/>
    <w:rsid w:val="002E32AB"/>
    <w:rsid w:val="002F5C17"/>
    <w:rsid w:val="0030475C"/>
    <w:rsid w:val="00331706"/>
    <w:rsid w:val="00396485"/>
    <w:rsid w:val="00431044"/>
    <w:rsid w:val="0047567F"/>
    <w:rsid w:val="005E7C0E"/>
    <w:rsid w:val="00757032"/>
    <w:rsid w:val="00794689"/>
    <w:rsid w:val="009924ED"/>
    <w:rsid w:val="0099448C"/>
    <w:rsid w:val="00F66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4AC8"/>
  <w15:chartTrackingRefBased/>
  <w15:docId w15:val="{8CA31A7A-C01C-2947-824F-8842DABC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32"/>
  </w:style>
  <w:style w:type="paragraph" w:styleId="Heading1">
    <w:name w:val="heading 1"/>
    <w:basedOn w:val="Normal"/>
    <w:next w:val="Normal"/>
    <w:link w:val="Heading1Char"/>
    <w:uiPriority w:val="9"/>
    <w:qFormat/>
    <w:rsid w:val="0099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8C"/>
    <w:rPr>
      <w:rFonts w:eastAsiaTheme="majorEastAsia" w:cstheme="majorBidi"/>
      <w:color w:val="272727" w:themeColor="text1" w:themeTint="D8"/>
    </w:rPr>
  </w:style>
  <w:style w:type="paragraph" w:styleId="Title">
    <w:name w:val="Title"/>
    <w:basedOn w:val="Normal"/>
    <w:next w:val="Normal"/>
    <w:link w:val="TitleChar"/>
    <w:uiPriority w:val="10"/>
    <w:qFormat/>
    <w:rsid w:val="009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9448C"/>
    <w:rPr>
      <w:i/>
      <w:iCs/>
      <w:color w:val="404040" w:themeColor="text1" w:themeTint="BF"/>
    </w:rPr>
  </w:style>
  <w:style w:type="paragraph" w:styleId="ListParagraph">
    <w:name w:val="List Paragraph"/>
    <w:basedOn w:val="Normal"/>
    <w:uiPriority w:val="34"/>
    <w:qFormat/>
    <w:rsid w:val="0099448C"/>
    <w:pPr>
      <w:ind w:left="720"/>
      <w:contextualSpacing/>
    </w:pPr>
  </w:style>
  <w:style w:type="character" w:styleId="IntenseEmphasis">
    <w:name w:val="Intense Emphasis"/>
    <w:basedOn w:val="DefaultParagraphFont"/>
    <w:uiPriority w:val="21"/>
    <w:qFormat/>
    <w:rsid w:val="0099448C"/>
    <w:rPr>
      <w:i/>
      <w:iCs/>
      <w:color w:val="0F4761" w:themeColor="accent1" w:themeShade="BF"/>
    </w:rPr>
  </w:style>
  <w:style w:type="paragraph" w:styleId="IntenseQuote">
    <w:name w:val="Intense Quote"/>
    <w:basedOn w:val="Normal"/>
    <w:next w:val="Normal"/>
    <w:link w:val="IntenseQuoteChar"/>
    <w:uiPriority w:val="30"/>
    <w:qFormat/>
    <w:rsid w:val="0099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8C"/>
    <w:rPr>
      <w:i/>
      <w:iCs/>
      <w:color w:val="0F4761" w:themeColor="accent1" w:themeShade="BF"/>
    </w:rPr>
  </w:style>
  <w:style w:type="character" w:styleId="IntenseReference">
    <w:name w:val="Intense Reference"/>
    <w:basedOn w:val="DefaultParagraphFont"/>
    <w:uiPriority w:val="32"/>
    <w:qFormat/>
    <w:rsid w:val="0099448C"/>
    <w:rPr>
      <w:b/>
      <w:bCs/>
      <w:smallCaps/>
      <w:color w:val="0F4761" w:themeColor="accent1" w:themeShade="BF"/>
      <w:spacing w:val="5"/>
    </w:rPr>
  </w:style>
  <w:style w:type="paragraph" w:styleId="NormalWeb">
    <w:name w:val="Normal (Web)"/>
    <w:basedOn w:val="Normal"/>
    <w:uiPriority w:val="99"/>
    <w:unhideWhenUsed/>
    <w:rsid w:val="00994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9448C"/>
    <w:rPr>
      <w:color w:val="0000FF"/>
      <w:u w:val="single"/>
    </w:rPr>
  </w:style>
  <w:style w:type="paragraph" w:styleId="HTMLPreformatted">
    <w:name w:val="HTML Preformatted"/>
    <w:basedOn w:val="Normal"/>
    <w:link w:val="HTMLPreformattedChar"/>
    <w:uiPriority w:val="99"/>
    <w:semiHidden/>
    <w:unhideWhenUsed/>
    <w:rsid w:val="0099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448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9448C"/>
    <w:rPr>
      <w:rFonts w:ascii="Courier New" w:eastAsia="Times New Roman" w:hAnsi="Courier New" w:cs="Courier New"/>
      <w:sz w:val="20"/>
      <w:szCs w:val="20"/>
    </w:rPr>
  </w:style>
  <w:style w:type="character" w:customStyle="1" w:styleId="devsite-syntax-kn">
    <w:name w:val="devsite-syntax-kn"/>
    <w:basedOn w:val="DefaultParagraphFont"/>
    <w:rsid w:val="0099448C"/>
  </w:style>
  <w:style w:type="character" w:customStyle="1" w:styleId="devsite-syntax-w">
    <w:name w:val="devsite-syntax-w"/>
    <w:basedOn w:val="DefaultParagraphFont"/>
    <w:rsid w:val="0099448C"/>
  </w:style>
  <w:style w:type="character" w:customStyle="1" w:styleId="devsite-syntax-nn">
    <w:name w:val="devsite-syntax-nn"/>
    <w:basedOn w:val="DefaultParagraphFont"/>
    <w:rsid w:val="0099448C"/>
  </w:style>
  <w:style w:type="character" w:customStyle="1" w:styleId="devsite-syntax-n">
    <w:name w:val="devsite-syntax-n"/>
    <w:basedOn w:val="DefaultParagraphFont"/>
    <w:rsid w:val="0099448C"/>
  </w:style>
  <w:style w:type="character" w:customStyle="1" w:styleId="devsite-syntax-o">
    <w:name w:val="devsite-syntax-o"/>
    <w:basedOn w:val="DefaultParagraphFont"/>
    <w:rsid w:val="0099448C"/>
  </w:style>
  <w:style w:type="character" w:customStyle="1" w:styleId="devsite-syntax-p">
    <w:name w:val="devsite-syntax-p"/>
    <w:basedOn w:val="DefaultParagraphFont"/>
    <w:rsid w:val="0099448C"/>
  </w:style>
  <w:style w:type="character" w:customStyle="1" w:styleId="devsite-syntax-s2">
    <w:name w:val="devsite-syntax-s2"/>
    <w:basedOn w:val="DefaultParagraphFont"/>
    <w:rsid w:val="0099448C"/>
  </w:style>
  <w:style w:type="character" w:customStyle="1" w:styleId="devsite-syntax-nb">
    <w:name w:val="devsite-syntax-nb"/>
    <w:basedOn w:val="DefaultParagraphFont"/>
    <w:rsid w:val="0099448C"/>
  </w:style>
  <w:style w:type="character" w:customStyle="1" w:styleId="devsite-heading">
    <w:name w:val="devsite-heading"/>
    <w:basedOn w:val="DefaultParagraphFont"/>
    <w:rsid w:val="0099448C"/>
  </w:style>
  <w:style w:type="character" w:styleId="Strong">
    <w:name w:val="Strong"/>
    <w:basedOn w:val="DefaultParagraphFont"/>
    <w:uiPriority w:val="22"/>
    <w:qFormat/>
    <w:rsid w:val="0099448C"/>
    <w:rPr>
      <w:b/>
      <w:bCs/>
    </w:rPr>
  </w:style>
  <w:style w:type="character" w:styleId="Emphasis">
    <w:name w:val="Emphasis"/>
    <w:basedOn w:val="DefaultParagraphFont"/>
    <w:uiPriority w:val="20"/>
    <w:qFormat/>
    <w:rsid w:val="0099448C"/>
    <w:rPr>
      <w:i/>
      <w:iCs/>
    </w:rPr>
  </w:style>
  <w:style w:type="table" w:styleId="TableGrid">
    <w:name w:val="Table Grid"/>
    <w:basedOn w:val="TableNormal"/>
    <w:uiPriority w:val="39"/>
    <w:rsid w:val="002E3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ai.google.dev/gemini-api/docs/models/gemin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009.03300" TargetMode="External"/><Relationship Id="rId12" Type="http://schemas.openxmlformats.org/officeDocument/2006/relationships/hyperlink" Target="https://ai.google.dev/gemini-api/docs/pric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o.gle/GeminiPap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istudio.google.com/app/apps?source=showcase&amp;showcaseTag=gemini-3" TargetMode="External"/><Relationship Id="rId5" Type="http://schemas.openxmlformats.org/officeDocument/2006/relationships/hyperlink" Target="https://ai.google/responsibility/principles/" TargetMode="External"/><Relationship Id="rId15" Type="http://schemas.openxmlformats.org/officeDocument/2006/relationships/hyperlink" Target="https://arxiv.org/abs/2311.16502" TargetMode="External"/><Relationship Id="rId10" Type="http://schemas.openxmlformats.org/officeDocument/2006/relationships/hyperlink" Target="https://goo.gle/GeminiPaper" TargetMode="External"/><Relationship Id="rId4" Type="http://schemas.openxmlformats.org/officeDocument/2006/relationships/webSettings" Target="webSettings.xml"/><Relationship Id="rId9" Type="http://schemas.openxmlformats.org/officeDocument/2006/relationships/hyperlink" Target="https://arxiv.org/abs/2311.16502" TargetMode="External"/><Relationship Id="rId14" Type="http://schemas.openxmlformats.org/officeDocument/2006/relationships/hyperlink" Target="https://arxiv.org/abs/2009.03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8</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Talwar</dc:creator>
  <cp:keywords/>
  <dc:description/>
  <cp:lastModifiedBy>Akash Dey</cp:lastModifiedBy>
  <cp:revision>2</cp:revision>
  <dcterms:created xsi:type="dcterms:W3CDTF">2026-06-23T11:02:00Z</dcterms:created>
  <dcterms:modified xsi:type="dcterms:W3CDTF">2026-06-24T08:03:00Z</dcterms:modified>
</cp:coreProperties>
</file>