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before="0" w:after="0"/>
        <w:jc w:val="both"/>
        <w:rPr/>
      </w:pPr>
      <w:r>
        <w:rPr>
          <w:rFonts w:eastAsia="新細明體" w:ascii="Abyssinica SIL" w:hAnsi="Abyssinica SIL"/>
          <w:b/>
          <w:sz w:val="28"/>
          <w:szCs w:val="28"/>
        </w:rPr>
        <w:t xml:space="preserve">CEG OKOUN SEME      </w:t>
      </w: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2048510</wp:posOffset>
            </wp:positionH>
            <wp:positionV relativeFrom="paragraph">
              <wp:posOffset>74930</wp:posOffset>
            </wp:positionV>
            <wp:extent cx="885190" cy="777240"/>
            <wp:effectExtent l="0" t="0" r="0" b="0"/>
            <wp:wrapNone/>
            <wp:docPr id="1" name="Image 20" descr="Description : Description : Albatr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0" descr="Description : Description : Albatros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290" t="4910" r="52048" b="6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19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細明體" w:ascii="Abyssinica SIL" w:hAnsi="Abyssinica SIL"/>
          <w:b/>
          <w:sz w:val="28"/>
          <w:szCs w:val="28"/>
        </w:rPr>
        <w:t xml:space="preserve"> </w:t>
      </w:r>
      <w:r>
        <w:rPr>
          <w:rFonts w:eastAsia="新細明體" w:ascii="Abyssinica SIL" w:hAnsi="Abyssinica SIL"/>
          <w:b/>
          <w:sz w:val="28"/>
          <w:szCs w:val="28"/>
        </w:rPr>
        <w:t xml:space="preserve">                 </w:t>
      </w:r>
      <w:r>
        <w:rPr>
          <w:rFonts w:eastAsia="新細明體" w:ascii="Abyssinica SIL" w:hAnsi="Abyssinica SIL"/>
          <w:b/>
          <w:sz w:val="28"/>
          <w:szCs w:val="28"/>
          <w:u w:val="single"/>
        </w:rPr>
        <w:t>Année Scolaire :</w:t>
      </w:r>
      <w:r>
        <w:rPr>
          <w:rFonts w:eastAsia="新細明體" w:ascii="Abyssinica SIL" w:hAnsi="Abyssinica SIL"/>
          <w:b/>
          <w:sz w:val="28"/>
          <w:szCs w:val="28"/>
        </w:rPr>
        <w:t xml:space="preserve"> 202</w:t>
      </w:r>
      <w:r>
        <w:rPr>
          <w:rFonts w:eastAsia="新細明體" w:ascii="Abyssinica SIL" w:hAnsi="Abyssinica SIL"/>
          <w:b/>
          <w:sz w:val="28"/>
          <w:szCs w:val="28"/>
        </w:rPr>
        <w:t>3</w:t>
      </w:r>
      <w:r>
        <w:rPr>
          <w:rFonts w:eastAsia="新細明體" w:ascii="Abyssinica SIL" w:hAnsi="Abyssinica SIL"/>
          <w:b/>
          <w:sz w:val="28"/>
          <w:szCs w:val="28"/>
        </w:rPr>
        <w:t>-202</w:t>
      </w:r>
      <w:r>
        <w:rPr>
          <w:rFonts w:eastAsia="新細明體" w:ascii="Abyssinica SIL" w:hAnsi="Abyssinica SIL"/>
          <w:b/>
          <w:sz w:val="28"/>
          <w:szCs w:val="28"/>
        </w:rPr>
        <w:t>4</w:t>
      </w:r>
    </w:p>
    <w:p>
      <w:pPr>
        <w:pStyle w:val="Entte"/>
        <w:pBdr>
          <w:bottom w:val="thickThinSmallGap" w:sz="24" w:space="1" w:color="823B0B"/>
        </w:pBdr>
        <w:bidi w:val="0"/>
        <w:jc w:val="left"/>
        <w:rPr/>
      </w:pPr>
      <w:r>
        <w:rPr>
          <w:rFonts w:eastAsia="新細明體" w:ascii="Abyssinica SIL" w:hAnsi="Abyssinica SIL"/>
          <w:sz w:val="28"/>
          <w:szCs w:val="28"/>
          <w:u w:val="thick"/>
        </w:rPr>
        <w:t>Tél</w:t>
      </w:r>
      <w:r>
        <w:rPr>
          <w:rFonts w:eastAsia="新細明體" w:ascii="Abyssinica SIL" w:hAnsi="Abyssinica SIL"/>
          <w:sz w:val="28"/>
          <w:szCs w:val="28"/>
        </w:rPr>
        <w:t> :</w:t>
      </w:r>
      <w:r>
        <w:rPr>
          <w:rFonts w:cs="Times New Roman" w:ascii="Abyssinica SIL" w:hAnsi="Abyssinica SIL"/>
          <w:sz w:val="28"/>
          <w:szCs w:val="28"/>
        </w:rPr>
        <w:t xml:space="preserve"> 97 12 17 01</w:t>
      </w:r>
      <w:r>
        <w:rPr>
          <w:rFonts w:eastAsia="新細明體" w:ascii="Abyssinica SIL" w:hAnsi="Abyssinica SIL"/>
          <w:sz w:val="28"/>
          <w:szCs w:val="28"/>
        </w:rPr>
        <w:t xml:space="preserve">                                      </w:t>
      </w:r>
      <w:r>
        <w:rPr>
          <w:rFonts w:eastAsia="新細明體" w:cs="Times New Roman" w:ascii="Abyssinica SIL" w:hAnsi="Abyssinica SIL"/>
          <w:sz w:val="28"/>
          <w:szCs w:val="28"/>
          <w:u w:val="thick"/>
        </w:rPr>
        <w:t>Classe</w:t>
      </w:r>
      <w:r>
        <w:rPr>
          <w:rFonts w:eastAsia="新細明體" w:cs="Times New Roman" w:ascii="Abyssinica SIL" w:hAnsi="Abyssinica SIL"/>
          <w:sz w:val="28"/>
          <w:szCs w:val="28"/>
        </w:rPr>
        <w:t>:  4</w:t>
      </w:r>
      <w:r>
        <w:rPr>
          <w:rFonts w:eastAsia="新細明體" w:cs="Times New Roman" w:ascii="Abyssinica SIL" w:hAnsi="Abyssinica SIL"/>
          <w:sz w:val="28"/>
          <w:szCs w:val="28"/>
          <w:vertAlign w:val="superscript"/>
        </w:rPr>
        <w:t>ème</w:t>
      </w:r>
    </w:p>
    <w:p>
      <w:pPr>
        <w:pStyle w:val="Entte"/>
        <w:pBdr>
          <w:bottom w:val="thickThinSmallGap" w:sz="24" w:space="1" w:color="823B0B"/>
        </w:pBdr>
        <w:bidi w:val="0"/>
        <w:jc w:val="left"/>
        <w:rPr/>
      </w:pPr>
      <w:r>
        <w:rPr>
          <w:rFonts w:cs="Times New Roman" w:ascii="Abyssinica SIL" w:hAnsi="Abyssinica SIL"/>
          <w:sz w:val="28"/>
          <w:szCs w:val="28"/>
        </w:rPr>
        <w:t>BP 17 Sèmè-Podji</w:t>
      </w:r>
      <w:r>
        <w:rPr>
          <w:rFonts w:eastAsia="新細明體" w:ascii="Abyssinica SIL" w:hAnsi="Abyssinica SIL"/>
          <w:sz w:val="28"/>
          <w:szCs w:val="28"/>
        </w:rPr>
        <w:t xml:space="preserve">                                      </w:t>
      </w:r>
      <w:r>
        <w:rPr>
          <w:rFonts w:eastAsia="新細明體" w:cs="Times New Roman" w:ascii="Abyssinica SIL" w:hAnsi="Abyssinica SIL"/>
          <w:sz w:val="28"/>
          <w:szCs w:val="28"/>
          <w:u w:val="thick"/>
        </w:rPr>
        <w:t>Durée</w:t>
      </w:r>
      <w:r>
        <w:rPr>
          <w:rFonts w:eastAsia="新細明體" w:cs="Times New Roman" w:ascii="Abyssinica SIL" w:hAnsi="Abyssinica SIL"/>
          <w:sz w:val="28"/>
          <w:szCs w:val="28"/>
        </w:rPr>
        <w:t>: 2heures</w:t>
      </w:r>
    </w:p>
    <w:p>
      <w:pPr>
        <w:pStyle w:val="Normal"/>
        <w:pBdr>
          <w:bottom w:val="thickThinSmallGap" w:sz="24" w:space="1" w:color="823B0B"/>
        </w:pBdr>
        <w:bidi w:val="0"/>
        <w:spacing w:before="0" w:after="0"/>
        <w:jc w:val="both"/>
        <w:rPr/>
      </w:pPr>
      <w:r>
        <w:rPr>
          <w:rFonts w:cs="Times New Roman" w:ascii="Abyssinica SIL" w:hAnsi="Abyssinica SIL"/>
          <w:b/>
          <w:sz w:val="28"/>
          <w:szCs w:val="28"/>
        </w:rPr>
        <w:t xml:space="preserve">  </w:t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cs="Times New Roman" w:ascii="Abyssinica SIL" w:hAnsi="Abyssinica SIL"/>
          <w:b/>
          <w:bCs/>
          <w:sz w:val="24"/>
          <w:szCs w:val="24"/>
          <w:u w:val="double"/>
        </w:rPr>
        <w:t>PREMIÈRE</w:t>
      </w:r>
      <w:r>
        <w:rPr>
          <w:rFonts w:cs="Times New Roman" w:ascii="Abyssinica SIL" w:hAnsi="Abyssinica SIL"/>
          <w:b/>
          <w:bCs/>
          <w:sz w:val="24"/>
          <w:szCs w:val="24"/>
          <w:u w:val="double"/>
        </w:rPr>
        <w:t xml:space="preserve"> SERIE DE PRODUCTIONS SCOLAIRES DU </w:t>
      </w:r>
      <w:r>
        <w:rPr>
          <w:rFonts w:cs="Times New Roman" w:ascii="Abyssinica SIL" w:hAnsi="Abyssinica SIL"/>
          <w:b/>
          <w:bCs/>
          <w:sz w:val="24"/>
          <w:szCs w:val="24"/>
          <w:u w:val="double"/>
        </w:rPr>
        <w:t>PREMIER</w:t>
      </w:r>
      <w:r>
        <w:rPr>
          <w:rFonts w:cs="Times New Roman" w:ascii="Abyssinica SIL" w:hAnsi="Abyssinica SIL"/>
          <w:b/>
          <w:bCs/>
          <w:sz w:val="24"/>
          <w:szCs w:val="24"/>
          <w:u w:val="double"/>
        </w:rPr>
        <w:t xml:space="preserve"> SEMESTRE</w:t>
      </w:r>
      <w:r>
        <w:rPr>
          <w:rFonts w:cs="Times New Roman" w:ascii="Abyssinica SIL" w:hAnsi="Abyssinica SIL"/>
          <w:b/>
          <w:bCs/>
          <w:sz w:val="26"/>
          <w:szCs w:val="26"/>
        </w:rPr>
        <w:t xml:space="preserve">                                   </w:t>
      </w:r>
      <w:r>
        <w:rPr>
          <w:rFonts w:cs="Times New Roman" w:ascii="Abyssinica SIL" w:hAnsi="Abyssinica SIL"/>
          <w:b/>
          <w:bCs/>
          <w:sz w:val="24"/>
          <w:szCs w:val="24"/>
        </w:rPr>
        <w:t xml:space="preserve"> </w:t>
      </w:r>
    </w:p>
    <w:p>
      <w:pPr>
        <w:pStyle w:val="Normal"/>
        <w:tabs>
          <w:tab w:val="clear" w:pos="709"/>
          <w:tab w:val="left" w:pos="5146" w:leader="none"/>
        </w:tabs>
        <w:suppressAutoHyphens w:val="false"/>
        <w:bidi w:val="0"/>
        <w:spacing w:lineRule="auto" w:line="276" w:before="0" w:after="0"/>
        <w:ind w:left="0" w:right="0" w:hanging="0"/>
        <w:jc w:val="center"/>
        <w:textAlignment w:val="auto"/>
        <w:rPr/>
      </w:pPr>
      <w:r>
        <w:rPr>
          <w:rFonts w:cs="Times New Roman" w:ascii="Abyssinica SIL" w:hAnsi="Abyssinica SIL"/>
          <w:b/>
          <w:bCs/>
          <w:sz w:val="28"/>
          <w:szCs w:val="28"/>
          <w:u w:val="none"/>
        </w:rPr>
        <w:t xml:space="preserve"> </w:t>
      </w:r>
      <w:r>
        <w:rPr>
          <w:rFonts w:cs="Times New Roman" w:ascii="Abyssinica SIL" w:hAnsi="Abyssinica SIL"/>
          <w:b/>
          <w:bCs/>
          <w:sz w:val="32"/>
          <w:szCs w:val="32"/>
          <w:u w:val="single"/>
        </w:rPr>
        <w:t>EPREUVE</w:t>
      </w:r>
      <w:r>
        <w:rPr>
          <w:rFonts w:cs="Times New Roman" w:ascii="Abyssinica SIL" w:hAnsi="Abyssinica SIL"/>
          <w:b/>
          <w:bCs/>
          <w:sz w:val="32"/>
          <w:szCs w:val="32"/>
          <w:u w:val="none"/>
        </w:rPr>
        <w:t xml:space="preserve"> : PCT   </w:t>
      </w:r>
      <w:r>
        <w:rPr>
          <w:rFonts w:cs="Times New Roman" w:ascii="Abyssinica SIL" w:hAnsi="Abyssinica SIL"/>
          <w:b/>
          <w:bCs/>
          <w:sz w:val="28"/>
          <w:szCs w:val="28"/>
          <w:u w:val="none"/>
        </w:rPr>
        <w:t xml:space="preserve">       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200"/>
        <w:ind w:left="284" w:hanging="284"/>
        <w:contextualSpacing/>
        <w:jc w:val="both"/>
        <w:rPr/>
      </w:pPr>
      <w:r>
        <w:rPr>
          <w:rFonts w:ascii="Arial Narrow" w:hAnsi="Arial Narrow"/>
          <w:b/>
          <w:bCs/>
          <w:sz w:val="24"/>
          <w:szCs w:val="24"/>
        </w:rPr>
        <w:t>Compétences disciplinaire évaluée: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240" w:after="0"/>
        <w:ind w:left="567" w:hanging="283"/>
        <w:contextualSpacing/>
        <w:jc w:val="both"/>
        <w:rPr/>
      </w:pPr>
      <w:r>
        <w:rPr>
          <w:rFonts w:ascii="Arial Narrow" w:hAnsi="Arial Narrow"/>
          <w:b/>
          <w:bCs/>
          <w:sz w:val="24"/>
          <w:szCs w:val="24"/>
        </w:rPr>
        <w:t>CD 1:</w:t>
      </w:r>
      <w:r>
        <w:rPr>
          <w:rFonts w:ascii="Arial Narrow" w:hAnsi="Arial Narrow"/>
          <w:bCs/>
          <w:sz w:val="24"/>
          <w:szCs w:val="24"/>
        </w:rPr>
        <w:t xml:space="preserve"> </w:t>
      </w:r>
      <w:r>
        <w:rPr>
          <w:rFonts w:ascii="Arial Narrow" w:hAnsi="Arial Narrow"/>
          <w:sz w:val="22"/>
          <w:szCs w:val="22"/>
        </w:rPr>
        <w:t>Elaborer une explication d’un fait ou d’un phénomène de son environnement naturel ou construit en mettant en œuvre les modes de raisonnement propres à la physique, à la chimie et à la technologie.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240" w:after="0"/>
        <w:ind w:left="567" w:hanging="283"/>
        <w:contextualSpacing/>
        <w:jc w:val="both"/>
        <w:rPr/>
      </w:pPr>
      <w:r>
        <w:rPr>
          <w:rFonts w:eastAsia="Calibri" w:cs="" w:ascii="Arial Narrow" w:hAnsi="Arial Narrow" w:cstheme="minorBidi" w:eastAsiaTheme="minorHAnsi"/>
          <w:b/>
          <w:bCs/>
          <w:color w:val="auto"/>
          <w:kern w:val="0"/>
          <w:sz w:val="24"/>
          <w:szCs w:val="24"/>
          <w:lang w:val="fr-FR" w:eastAsia="en-US" w:bidi="ar-SA"/>
        </w:rPr>
        <w:t>CD</w:t>
      </w:r>
      <w:r>
        <w:rPr>
          <w:rFonts w:ascii="Arial Narrow" w:hAnsi="Arial Narrow"/>
          <w:b/>
          <w:bCs/>
          <w:sz w:val="24"/>
          <w:szCs w:val="24"/>
        </w:rPr>
        <w:t xml:space="preserve">2 </w:t>
      </w:r>
      <w:r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2"/>
          <w:szCs w:val="22"/>
        </w:rPr>
        <w:t>Exploiter la physique, la chimie et la démarche technologique dans la production, l’utilisation et la réparation d’objets technologiques</w:t>
      </w:r>
    </w:p>
    <w:p>
      <w:pPr>
        <w:pStyle w:val="NoSpacing"/>
        <w:numPr>
          <w:ilvl w:val="0"/>
          <w:numId w:val="1"/>
        </w:numPr>
        <w:spacing w:lineRule="auto" w:line="276"/>
        <w:ind w:left="284" w:hanging="284"/>
        <w:jc w:val="both"/>
        <w:rPr/>
      </w:pPr>
      <w:r>
        <w:rPr>
          <w:rFonts w:ascii="Arial Narrow" w:hAnsi="Arial Narrow"/>
          <w:b/>
          <w:bCs/>
        </w:rPr>
        <w:t>Compétence transversale évaluée</w:t>
      </w:r>
      <w:r>
        <w:rPr>
          <w:rFonts w:ascii="Arial Narrow" w:hAnsi="Arial Narrow"/>
          <w:bCs/>
        </w:rPr>
        <w:t> </w:t>
      </w:r>
      <w:r>
        <w:rPr>
          <w:rFonts w:ascii="Arial Narrow" w:hAnsi="Arial Narrow"/>
          <w:b/>
          <w:bCs/>
        </w:rPr>
        <w:t>:</w:t>
      </w:r>
      <w:r>
        <w:rPr>
          <w:rFonts w:ascii="Arial Narrow" w:hAnsi="Arial Narrow"/>
          <w:bCs/>
        </w:rPr>
        <w:t xml:space="preserve"> </w:t>
      </w:r>
      <w:r>
        <w:rPr>
          <w:rFonts w:ascii="Arial Narrow" w:hAnsi="Arial Narrow"/>
          <w:bCs/>
          <w:sz w:val="22"/>
          <w:szCs w:val="22"/>
        </w:rPr>
        <w:t>Communiquer de façon précise et appropriée.</w:t>
      </w:r>
    </w:p>
    <w:p>
      <w:pPr>
        <w:pStyle w:val="Normal"/>
        <w:bidi w:val="0"/>
        <w:jc w:val="left"/>
        <w:rPr/>
      </w:pPr>
      <w:r>
        <w:rPr>
          <w:rFonts w:ascii="Arial Narrow" w:hAnsi="Arial Narrow"/>
          <w:sz w:val="24"/>
          <w:szCs w:val="24"/>
        </w:rPr>
        <w:t xml:space="preserve">                                 </w:t>
      </w:r>
      <w:r>
        <w:rPr>
          <w:rFonts w:ascii="Abyssinica SIL" w:hAnsi="Abyssinica SIL"/>
          <w:sz w:val="24"/>
          <w:szCs w:val="24"/>
        </w:rPr>
        <w:t xml:space="preserve">     </w:t>
      </w:r>
      <w:r>
        <w:rPr>
          <w:rFonts w:cs="Calibri" w:ascii="Abyssinica SIL" w:hAnsi="Abyssinica SIL" w:cstheme="minorHAnsi"/>
          <w:b/>
          <w:color w:val="000000" w:themeColor="text1"/>
          <w:sz w:val="24"/>
          <w:szCs w:val="24"/>
        </w:rPr>
        <w:t>A/</w:t>
      </w:r>
      <w:r>
        <w:rPr>
          <w:rFonts w:cs="Calibri" w:ascii="Abyssinica SIL" w:hAnsi="Abyssinica SIL" w:cstheme="minorHAnsi"/>
          <w:b/>
          <w:color w:val="000000" w:themeColor="text1"/>
          <w:sz w:val="24"/>
          <w:szCs w:val="24"/>
          <w:u w:val="none"/>
        </w:rPr>
        <w:t>CHIMIE ET TECHNOLOGIE</w:t>
      </w:r>
    </w:p>
    <w:p>
      <w:pPr>
        <w:pStyle w:val="Normal"/>
        <w:bidi w:val="0"/>
        <w:jc w:val="left"/>
        <w:rPr>
          <w:rFonts w:ascii="Arial narrow" w:hAnsi="Arial narrow"/>
          <w:b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Contexte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Le chlorure de magnésium est un composé chimique naturellement présent dans le sel alimentaire non raffiné et dans l'eau de mer ; il est connu pour ses propriétés anti-inflammatoires inflammatoires et anti allergiques. De plus, il aide à combattre les stresses et réduit les signes de fatigue.</w:t>
      </w:r>
    </w:p>
    <w:p>
      <w:pPr>
        <w:pStyle w:val="Normal"/>
        <w:bidi w:val="0"/>
        <w:jc w:val="left"/>
        <w:rPr>
          <w:rFonts w:ascii="Arial narrow" w:hAnsi="Arial narrow"/>
          <w:b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Support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Les expériences ont prouvé au Laboratoire que ce composé est constitué des atomes A et B.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L'atome A appartient à la 3</w:t>
      </w:r>
      <w:r>
        <w:rPr>
          <w:rFonts w:ascii="Arial narrow" w:hAnsi="Arial narrow"/>
          <w:sz w:val="24"/>
          <w:szCs w:val="24"/>
          <w:vertAlign w:val="superscript"/>
        </w:rPr>
        <w:t>ème</w:t>
      </w:r>
      <w:r>
        <w:rPr>
          <w:rFonts w:ascii="Arial narrow" w:hAnsi="Arial narrow"/>
          <w:sz w:val="24"/>
          <w:szCs w:val="24"/>
        </w:rPr>
        <w:t xml:space="preserve"> période et au 2</w:t>
      </w:r>
      <w:r>
        <w:rPr>
          <w:rFonts w:ascii="Arial narrow" w:hAnsi="Arial narrow"/>
          <w:sz w:val="24"/>
          <w:szCs w:val="24"/>
          <w:vertAlign w:val="superscript"/>
        </w:rPr>
        <w:t>ème</w:t>
      </w:r>
      <w:r>
        <w:rPr>
          <w:rFonts w:ascii="Arial narrow" w:hAnsi="Arial narrow"/>
          <w:sz w:val="24"/>
          <w:szCs w:val="24"/>
        </w:rPr>
        <w:t xml:space="preserve"> groupe ;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charge du noyau de l’atome B est : q</w:t>
      </w:r>
      <w:r>
        <w:rPr>
          <w:rFonts w:ascii="Arial narrow" w:hAnsi="Arial narrow"/>
          <w:sz w:val="24"/>
          <w:szCs w:val="24"/>
          <w:vertAlign w:val="subscript"/>
        </w:rPr>
        <w:t>n</w:t>
      </w:r>
      <w:r>
        <w:rPr>
          <w:rFonts w:ascii="Arial narrow" w:hAnsi="Arial narrow"/>
          <w:sz w:val="24"/>
          <w:szCs w:val="24"/>
        </w:rPr>
        <w:t xml:space="preserve"> = +27,2. 10</w:t>
      </w:r>
      <w:r>
        <w:rPr>
          <w:rFonts w:ascii="Arial narrow" w:hAnsi="Arial narrow"/>
          <w:sz w:val="24"/>
          <w:szCs w:val="24"/>
          <w:vertAlign w:val="superscript"/>
        </w:rPr>
        <w:t xml:space="preserve">−19 </w:t>
      </w:r>
      <w:r>
        <w:rPr>
          <w:rFonts w:ascii="Arial narrow" w:hAnsi="Arial narrow"/>
          <w:sz w:val="24"/>
          <w:szCs w:val="24"/>
        </w:rPr>
        <w:t>C</w:t>
      </w:r>
    </w:p>
    <w:p>
      <w:pPr>
        <w:pStyle w:val="Normal"/>
        <w:widowControl/>
        <w:suppressAutoHyphens w:val="true"/>
        <w:bidi w:val="0"/>
        <w:spacing w:lineRule="auto" w:line="252" w:before="0" w:after="160"/>
        <w:ind w:left="0" w:right="-397" w:hanging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Extrait des atomes du tableau de classification : Mg : Z = 12 ; Soufre (S) : Z = 16 ; Oxygène (O) : Z = 8 ; chlore (Cl) : Z = 17 ; on donne e = 1,6.10</w:t>
      </w:r>
      <w:r>
        <w:rPr>
          <w:rFonts w:ascii="Arial narrow" w:hAnsi="Arial narrow"/>
          <w:sz w:val="24"/>
          <w:szCs w:val="24"/>
          <w:vertAlign w:val="superscript"/>
        </w:rPr>
        <w:t xml:space="preserve"> -19</w:t>
      </w:r>
      <w:r>
        <w:rPr>
          <w:rFonts w:ascii="Arial narrow" w:hAnsi="Arial narrow"/>
          <w:position w:val="0"/>
          <w:sz w:val="24"/>
          <w:sz w:val="24"/>
          <w:szCs w:val="24"/>
          <w:vertAlign w:val="baseline"/>
        </w:rPr>
        <w:t>C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Tâche </w:t>
      </w:r>
      <w:r>
        <w:rPr>
          <w:rFonts w:ascii="Arial narrow" w:hAnsi="Arial narrow"/>
          <w:sz w:val="24"/>
          <w:szCs w:val="24"/>
        </w:rPr>
        <w:t>: Expliquer les faits</w:t>
      </w:r>
    </w:p>
    <w:p>
      <w:pPr>
        <w:pStyle w:val="Normal"/>
        <w:bidi w:val="0"/>
        <w:jc w:val="left"/>
        <w:rPr>
          <w:rFonts w:ascii="Arial narrow" w:hAnsi="Arial narrow"/>
          <w:b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Partie 1 : Mobilisation des ressources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Texte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Les atomes sont les constituants fondamentaux de la matière. Chaque…(a)… est constitué d'un …(b)…. chargé positivement autour duquel…(c)… un ou plusieurs électrons chargés...(d)… . Les …(e)… positives du noyau compensent exactement les charges négatives des …(f)…. La somme totale des charges de l’atome est donc…(g)… : on dit que l'atome est …(h)…. neutre. Le nombre d’électrons d’un atome représente son numéro atomique noté Z.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1.1. Complète le texte ci-dessus en utilisant uniquement les lettres et les mots suivants qui leurs correspondent: électriquement – noyau–atome –négativement – nulle –gravite(nt)–charges –électrons.</w:t>
      </w:r>
    </w:p>
    <w:p>
      <w:pPr>
        <w:pStyle w:val="Normal"/>
        <w:bidi w:val="0"/>
        <w:jc w:val="left"/>
        <w:rPr>
          <w:rFonts w:ascii="Arial narrow" w:hAnsi="Arial narrow"/>
          <w:b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Partie 2 : Résolution de problème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2.1.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a) Fais la structure électronique de l'atome A, puis déduis-en son numéro atomique Z</w:t>
      </w:r>
      <w:r>
        <w:rPr>
          <w:rFonts w:ascii="Arial narrow" w:hAnsi="Arial narrow"/>
          <w:sz w:val="24"/>
          <w:szCs w:val="24"/>
          <w:vertAlign w:val="subscript"/>
        </w:rPr>
        <w:t>1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b) Détermine le numéro atomique Z</w:t>
      </w:r>
      <w:r>
        <w:rPr>
          <w:rFonts w:ascii="Arial narrow" w:hAnsi="Arial narrow"/>
          <w:sz w:val="24"/>
          <w:szCs w:val="24"/>
          <w:vertAlign w:val="subscript"/>
        </w:rPr>
        <w:t>2</w:t>
      </w:r>
      <w:r>
        <w:rPr>
          <w:rFonts w:ascii="Arial narrow" w:hAnsi="Arial narrow"/>
          <w:sz w:val="24"/>
          <w:szCs w:val="24"/>
        </w:rPr>
        <w:t xml:space="preserve"> de l'atome B.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2.2. Identifie au niveau de l'extrait proposé, les atomes A et B constitutifs du composé</w:t>
      </w:r>
    </w:p>
    <w:p>
      <w:pPr>
        <w:pStyle w:val="Normal"/>
        <w:bidi w:val="0"/>
        <w:jc w:val="center"/>
        <w:rPr>
          <w:rFonts w:ascii="Arial narrow" w:hAnsi="Arial narrow"/>
          <w:b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B- PHYSIQUE ET TECHNIQUE</w:t>
      </w:r>
    </w:p>
    <w:p>
      <w:pPr>
        <w:pStyle w:val="Normal"/>
        <w:bidi w:val="0"/>
        <w:jc w:val="left"/>
        <w:rPr>
          <w:rFonts w:ascii="Arial narrow" w:hAnsi="Arial narrow"/>
          <w:b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Contexte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Issa, un éleveur de bétail à Karimama vivant dans une zone non électrifiée, s’inquiétant de ses troupeaux y compris sa sécurité, fait appel à un électricien pour éclairer les enclos des bêtes afin d’être à l'abri des voleurs. Ce dernier après le dimensionnement, pense qu'il faudra mettre en place deux circuits.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Support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L’électricien propose une liste de matériel à savoir : lampes électriques, interrupteur, fils conducteurs, générateur et des appareils de mesures des grandeurs électriques pourtant des inscriptions A ; V ; Ω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Informations et données relatives aux circuits électriques à réaliser par l’électricien.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ascii="Arial narrow" w:hAnsi="Arial narrow"/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706120</wp:posOffset>
            </wp:positionH>
            <wp:positionV relativeFrom="paragraph">
              <wp:posOffset>68580</wp:posOffset>
            </wp:positionV>
            <wp:extent cx="4945380" cy="163385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narrow" w:hAnsi="Arial narrow"/>
          <w:b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- Cas du montage1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L’ampèremètre A 2 indique I 2 = 0,5 A</w:t>
      </w:r>
    </w:p>
    <w:p>
      <w:pPr>
        <w:pStyle w:val="Normal"/>
        <w:bidi w:val="0"/>
        <w:jc w:val="left"/>
        <w:rPr>
          <w:rFonts w:ascii="Arial narrow" w:hAnsi="Arial narrow"/>
          <w:b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- Cas du montage2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L’ampèremètre A, possède au total 100 divisions ; il est utilisé sur le Calibre 3A, et son aiguille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s'immobilise sur la division 80. Quant à l’ampèremètre A</w:t>
      </w:r>
      <w:r>
        <w:rPr>
          <w:rFonts w:ascii="Arial narrow" w:hAnsi="Arial narrow"/>
          <w:sz w:val="24"/>
          <w:szCs w:val="24"/>
          <w:vertAlign w:val="subscript"/>
        </w:rPr>
        <w:t>3</w:t>
      </w:r>
      <w:r>
        <w:rPr>
          <w:rFonts w:ascii="Arial narrow" w:hAnsi="Arial narrow"/>
          <w:sz w:val="24"/>
          <w:szCs w:val="24"/>
        </w:rPr>
        <w:t xml:space="preserve"> , il indique 0,25A.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 voltmètre V branché sur le générateur indique 2,5V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Présentation du voltmètre : Le cadran du voltmètre comporte 150 divisions. Les calibres disponibles sur ce voltmètre sont : 5 V ; 10 V ; 40 V ; 100 V ; 300 V. Il doit être branché aux bornes d'un générateur pour mesurer les tensions suivantes : 8 V ; 30 V ; et 240 V.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Tableau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7"/>
        <w:gridCol w:w="2104"/>
        <w:gridCol w:w="2322"/>
        <w:gridCol w:w="1815"/>
      </w:tblGrid>
      <w:tr>
        <w:trPr/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Tension à mesurer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8V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30V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240V</w:t>
            </w:r>
          </w:p>
        </w:tc>
      </w:tr>
      <w:tr>
        <w:trPr/>
        <w:tc>
          <w:tcPr>
            <w:tcW w:w="339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Calibre le mieux adapté</w:t>
            </w:r>
          </w:p>
        </w:tc>
        <w:tc>
          <w:tcPr>
            <w:tcW w:w="2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3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39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Nombre de divisions lues avec le calibre le mieux adapté</w:t>
            </w:r>
          </w:p>
        </w:tc>
        <w:tc>
          <w:tcPr>
            <w:tcW w:w="2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3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Tâche : E</w:t>
      </w:r>
      <w:r>
        <w:rPr>
          <w:rFonts w:ascii="Arial narrow" w:hAnsi="Arial narrow"/>
          <w:sz w:val="24"/>
          <w:szCs w:val="24"/>
        </w:rPr>
        <w:t>xpliquer les faits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Partie 1 : Mobilisation des ressources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1.1. Reproduis et complète le tableau suivant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Appareil de mesure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Rôle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Unité de grandeur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Symbole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Multimètre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Voltmètre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Ohmmètre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Ampèremètre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Arial narrow" w:hAnsi="Arial narro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 narrow" w:hAnsi="Arial narro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1.2. Enonce la loi d’unicité des intensités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Partie 2 : Résolution de problème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Consignes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2.1. Définis calibre d’un appareil de mesure puis reproduis et complète le tableau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2.2. Calcule l'intensité I 2 du courant électrique traversant la lampe L 2 du montage 1 et celle I du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courant électrique débité par le générateur du montage 1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2.3. Calcule l'intensité I 4 du courant électrique traversant la lampe L 4 du montage 2 et celle I du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courant électrique débité par le générateur du montage 2</w:t>
      </w:r>
    </w:p>
    <w:p>
      <w:pPr>
        <w:pStyle w:val="Normal"/>
        <w:bidi w:val="0"/>
        <w:jc w:val="left"/>
        <w:rPr>
          <w:rFonts w:ascii="Arial narrow" w:hAnsi="Arial narrow"/>
          <w:sz w:val="24"/>
          <w:szCs w:val="24"/>
        </w:rPr>
      </w:pPr>
      <w:r>
        <w:rPr>
          <w:rFonts w:cs="Calibri" w:ascii="Arial narrow" w:hAnsi="Arial narrow" w:cstheme="minorHAnsi"/>
          <w:b w:val="false"/>
          <w:bCs w:val="false"/>
          <w:color w:val="000000" w:themeColor="text1"/>
          <w:sz w:val="24"/>
          <w:szCs w:val="24"/>
          <w:u w:val="none"/>
        </w:rPr>
        <w:t>2.4. Enonce alors la loi des intensités dans le cas du montage 2</w:t>
      </w:r>
    </w:p>
    <w:p>
      <w:pPr>
        <w:pStyle w:val="Normal"/>
        <w:bidi w:val="0"/>
        <w:jc w:val="left"/>
        <w:rPr>
          <w:rFonts w:cs="Calibri" w:cstheme="minorHAnsi"/>
          <w:b w:val="false"/>
          <w:b w:val="false"/>
          <w:bCs w:val="false"/>
          <w:color w:val="000000" w:themeColor="text1"/>
          <w:u w:val="none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52" w:before="0" w:after="160"/>
        <w:ind w:left="0" w:right="0" w:hanging="0"/>
        <w:jc w:val="center"/>
        <w:rPr>
          <w:rFonts w:ascii="Z003" w:hAnsi="Z003"/>
          <w:sz w:val="24"/>
          <w:szCs w:val="24"/>
        </w:rPr>
      </w:pPr>
      <w:r>
        <w:rPr>
          <w:rFonts w:ascii="Z003" w:hAnsi="Z003"/>
          <w:b/>
          <w:bCs/>
          <w:sz w:val="24"/>
          <w:szCs w:val="24"/>
        </w:rPr>
        <w:t>FIN</w:t>
      </w:r>
    </w:p>
    <w:sectPr>
      <w:footerReference w:type="default" r:id="rId4"/>
      <w:type w:val="nextPage"/>
      <w:pgSz w:w="11906" w:h="16838"/>
      <w:pgMar w:left="1134" w:right="1134" w:header="0" w:top="1134" w:footer="1134" w:bottom="1693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byssinica SIL">
    <w:charset w:val="01"/>
    <w:family w:val="roman"/>
    <w:pitch w:val="variable"/>
  </w:font>
  <w:font w:name="Arial Narrow">
    <w:charset w:val="01"/>
    <w:family w:val="roman"/>
    <w:pitch w:val="variable"/>
  </w:font>
  <w:font w:name="Arial narrow">
    <w:charset w:val="01"/>
    <w:family w:val="swiss"/>
    <w:pitch w:val="default"/>
  </w:font>
  <w:font w:name="Z003">
    <w:charset w:val="01"/>
    <w:family w:val="auto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2110298666"/>
    </w:sdtPr>
    <w:sdtContent>
      <w:p>
        <w:pPr>
          <w:pStyle w:val="Pieddepage"/>
          <w:bidi w:val="0"/>
          <w:spacing w:before="0" w:after="160"/>
          <w:jc w:val="center"/>
          <w:rPr/>
        </w:pPr>
        <w:r>
          <w:rPr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sur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">
    <w:name w:val="Header"/>
    <w:basedOn w:val="Normal"/>
    <w:pPr>
      <w:tabs>
        <w:tab w:val="clear" w:pos="709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LibreOffice/6.4.7.2$Linux_X86_64 LibreOffice_project/40$Build-2</Application>
  <Pages>2</Pages>
  <Words>751</Words>
  <Characters>3681</Characters>
  <CharactersWithSpaces>4543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2023-11-07T22:56:52Z</dcterms:created>
  <dc:creator/>
  <dc:description/>
  <dc:language>fr-FR</dc:language>
  <cp:lastModifiedBy/>
  <dcterms:modified xsi:type="dcterms:W3CDTF">2023-11-07T23:05:28Z</dcterms:modified>
  <cp:revision>2</cp:revision>
  <dc:subject/>
  <dc:title/>
</cp:coreProperties>
</file>