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80" w:before="0"/>
        <w:jc w:val="center"/>
      </w:pPr>
      <w:r>
        <w:rPr>
          <w:rFonts w:ascii="Arial" w:cs="Arial" w:eastAsia="Arial" w:hAnsi="Arial"/>
          <w:caps/>
          <w:color w:val="888888"/>
          <w:sz w:val="24"/>
          <w:szCs w:val="24"/>
        </w:rPr>
        <w:t xml:space="preserve">BUSINESS ANALYTICS REPORT</w:t>
      </w:r>
    </w:p>
    <w:p>
      <w:pPr>
        <w:spacing w:after="160" w:before="0"/>
        <w:jc w:val="center"/>
      </w:pPr>
      <w:r>
        <w:rPr>
          <w:rFonts w:ascii="Arial" w:cs="Arial" w:eastAsia="Arial" w:hAnsi="Arial"/>
          <w:b/>
          <w:bCs/>
          <w:color w:val="1F3864"/>
          <w:sz w:val="56"/>
          <w:szCs w:val="56"/>
        </w:rPr>
        <w:t xml:space="preserve">E-Commerce Sales Performance Analysis</w:t>
      </w:r>
    </w:p>
    <w:p>
      <w:pPr>
        <w:pBdr>
          <w:bottom w:val="single" w:color="C0392B" w:sz="8" w:space="4"/>
        </w:pBdr>
        <w:spacing w:after="320" w:before="0"/>
        <w:jc w:val="center"/>
      </w:pPr>
      <w:r>
        <w:rPr>
          <w:rFonts w:ascii="Arial" w:cs="Arial" w:eastAsia="Arial" w:hAnsi="Arial"/>
          <w:i/>
          <w:iCs/>
          <w:color w:val="C0392B"/>
          <w:sz w:val="28"/>
          <w:szCs w:val="28"/>
        </w:rPr>
        <w:t xml:space="preserve">Why Is the Business Losing Money Despite $1.6M in Sales?</w:t>
      </w:r>
    </w:p>
    <w:p>
      <w:pPr>
        <w:spacing w:after="320" w:before="0"/>
      </w:pPr>
      <w:r>
        <w:t xml:space="preserve"/>
      </w:r>
    </w:p>
    <w:p>
      <w:pPr>
        <w:spacing w:after="80" w:before="0"/>
        <w:jc w:val="center"/>
      </w:pPr>
      <w:r>
        <w:rPr>
          <w:rFonts w:ascii="Arial" w:cs="Arial" w:eastAsia="Arial" w:hAnsi="Arial"/>
          <w:color w:val="444444"/>
          <w:sz w:val="22"/>
          <w:szCs w:val="22"/>
        </w:rPr>
        <w:t xml:space="preserve">Prepared for:  PalmBridge Retail Co. — Executive Leadership Team</w:t>
      </w:r>
    </w:p>
    <w:p>
      <w:pPr>
        <w:spacing w:after="80" w:before="0"/>
        <w:jc w:val="center"/>
      </w:pPr>
      <w:r>
        <w:rPr>
          <w:rFonts w:ascii="Arial" w:cs="Arial" w:eastAsia="Arial" w:hAnsi="Arial"/>
          <w:color w:val="444444"/>
          <w:sz w:val="22"/>
          <w:szCs w:val="22"/>
        </w:rPr>
        <w:t xml:space="preserve">Prepared by:  Adedayo Adeyinka A., Business Analyst</w:t>
      </w:r>
    </w:p>
    <w:p>
      <w:pPr>
        <w:spacing w:after="80" w:before="0"/>
        <w:jc w:val="center"/>
      </w:pPr>
      <w:r>
        <w:rPr>
          <w:rFonts w:ascii="Arial" w:cs="Arial" w:eastAsia="Arial" w:hAnsi="Arial"/>
          <w:color w:val="444444"/>
          <w:sz w:val="22"/>
          <w:szCs w:val="22"/>
        </w:rPr>
        <w:t xml:space="preserve">Reporting Period:  January 2022 – December 2024</w:t>
      </w:r>
    </w:p>
    <w:p>
      <w:pPr>
        <w:spacing w:after="80" w:before="0"/>
        <w:jc w:val="center"/>
      </w:pPr>
      <w:r>
        <w:rPr>
          <w:rFonts w:ascii="Arial" w:cs="Arial" w:eastAsia="Arial" w:hAnsi="Arial"/>
          <w:color w:val="444444"/>
          <w:sz w:val="22"/>
          <w:szCs w:val="22"/>
        </w:rPr>
        <w:t xml:space="preserve">Date:  June 2026</w:t>
      </w:r>
    </w:p>
    <w:p>
      <w:r>
        <w:br w:type="page"/>
      </w:r>
    </w:p>
    <w:p>
      <w:pPr>
        <w:pStyle w:val="Heading1"/>
        <w:pBdr>
          <w:bottom w:val="single" w:color="1F3864" w:sz="6" w:space="4"/>
        </w:pBdr>
        <w:spacing w:after="160" w:before="320"/>
      </w:pPr>
      <w:r>
        <w:rPr>
          <w:rFonts w:ascii="Arial" w:cs="Arial" w:eastAsia="Arial" w:hAnsi="Arial"/>
          <w:b/>
          <w:bCs/>
          <w:color w:val="1F3864"/>
          <w:sz w:val="32"/>
          <w:szCs w:val="32"/>
        </w:rPr>
        <w:t xml:space="preserve">1. Executive Summary</w:t>
      </w:r>
    </w:p>
    <w:p>
      <w:pPr>
        <w:spacing w:after="80" w:before="80" w:line="320"/>
        <w:jc w:val="both"/>
      </w:pPr>
      <w:r>
        <w:rPr>
          <w:rFonts w:ascii="Arial" w:cs="Arial" w:eastAsia="Arial" w:hAnsi="Arial"/>
          <w:color w:val="444444"/>
          <w:sz w:val="22"/>
          <w:szCs w:val="22"/>
        </w:rPr>
        <w:t xml:space="preserve">PalmBridge Retail Co. generated $1,610,887 in total revenue across 496 orders between January 2022 and December 2024. Despite this strong sales performance, the business recorded a near-zero total profit of -$121, representing a profit margin of -0.01%. This report investigates the root causes of this profitability crisis, identifies the specific products, customer segments, and regions driving losses, and provides actionable recommendations to restore sustainable margins.</w:t>
      </w:r>
    </w:p>
    <w:p>
      <w:pPr>
        <w:spacing w:after="160" w:before="0"/>
      </w:pPr>
      <w:r>
        <w:t xml:space="preserve"/>
      </w:r>
    </w:p>
    <w:p>
      <w:pPr>
        <w:spacing w:after="80" w:before="80" w:line="320"/>
        <w:jc w:val="both"/>
      </w:pPr>
      <w:r>
        <w:rPr>
          <w:rFonts w:ascii="Arial" w:cs="Arial" w:eastAsia="Arial" w:hAnsi="Arial"/>
          <w:color w:val="444444"/>
          <w:sz w:val="22"/>
          <w:szCs w:val="22"/>
        </w:rPr>
        <w:t xml:space="preserve">The analysis reveals that excessive discounting on a small number of high-volume product sub-categories — specifically Tables, Printers, and Desks — is the primary driver of losses. These three sub-categories alone account for over $88,000 in losses against the company's grand total loss of $121. Office Supplies remains the only consistently profitable category, demonstrating that the business model is viable but requires immediate discount policy reform.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vAlign w:val="center"/>
          </w:tcPr>
          <w:p>
            <w:pPr>
              <w:jc w:val="center"/>
            </w:pPr>
            <w:r>
              <w:rPr>
                <w:rFonts w:ascii="Arial" w:cs="Arial" w:eastAsia="Arial" w:hAnsi="Arial"/>
                <w:color w:val="666666"/>
                <w:sz w:val="18"/>
                <w:szCs w:val="18"/>
              </w:rPr>
              <w:t xml:space="preserve">Total Revenue</w:t>
            </w:r>
          </w:p>
          <w:p>
            <w:pPr>
              <w:spacing w:before="40"/>
              <w:jc w:val="center"/>
            </w:pPr>
            <w:r>
              <w:rPr>
                <w:rFonts w:ascii="Arial" w:cs="Arial" w:eastAsia="Arial" w:hAnsi="Arial"/>
                <w:b/>
                <w:bCs/>
                <w:color w:val="1F3864"/>
                <w:sz w:val="28"/>
                <w:szCs w:val="28"/>
              </w:rPr>
              <w:t xml:space="preserve">$1,610,887</w:t>
            </w:r>
          </w:p>
        </w:tc>
        <w:tc>
          <w:tcPr>
            <w:tcW w:type="dxa" w:w="3120"/>
            <w:tcBorders>
              <w:top w:val="single" w:color="CCCCCC" w:sz="1"/>
              <w:left w:val="single" w:color="CCCCCC" w:sz="1"/>
              <w:bottom w:val="single" w:color="CCCCCC" w:sz="1"/>
              <w:right w:val="single" w:color="CCCCCC" w:sz="1"/>
            </w:tcBorders>
            <w:shd w:fill="FDECEA" w:val="clear"/>
            <w:tcMar>
              <w:top w:type="dxa" w:w="120"/>
              <w:left w:type="dxa" w:w="120"/>
              <w:bottom w:type="dxa" w:w="120"/>
              <w:right w:type="dxa" w:w="120"/>
            </w:tcMar>
            <w:vAlign w:val="center"/>
          </w:tcPr>
          <w:p>
            <w:pPr>
              <w:jc w:val="center"/>
            </w:pPr>
            <w:r>
              <w:rPr>
                <w:rFonts w:ascii="Arial" w:cs="Arial" w:eastAsia="Arial" w:hAnsi="Arial"/>
                <w:color w:val="666666"/>
                <w:sz w:val="18"/>
                <w:szCs w:val="18"/>
              </w:rPr>
              <w:t xml:space="preserve">Total Profit</w:t>
            </w:r>
          </w:p>
          <w:p>
            <w:pPr>
              <w:spacing w:before="40"/>
              <w:jc w:val="center"/>
            </w:pPr>
            <w:r>
              <w:rPr>
                <w:rFonts w:ascii="Arial" w:cs="Arial" w:eastAsia="Arial" w:hAnsi="Arial"/>
                <w:b/>
                <w:bCs/>
                <w:color w:val="C0392B"/>
                <w:sz w:val="28"/>
                <w:szCs w:val="28"/>
              </w:rPr>
              <w:t xml:space="preserve">-$121</w:t>
            </w:r>
          </w:p>
        </w:tc>
        <w:tc>
          <w:tcPr>
            <w:tcW w:type="dxa" w:w="3120"/>
            <w:tcBorders>
              <w:top w:val="single" w:color="CCCCCC" w:sz="1"/>
              <w:left w:val="single" w:color="CCCCCC" w:sz="1"/>
              <w:bottom w:val="single" w:color="CCCCCC" w:sz="1"/>
              <w:right w:val="single" w:color="CCCCCC" w:sz="1"/>
            </w:tcBorders>
            <w:shd w:fill="FDECEA" w:val="clear"/>
            <w:tcMar>
              <w:top w:type="dxa" w:w="120"/>
              <w:left w:type="dxa" w:w="120"/>
              <w:bottom w:type="dxa" w:w="120"/>
              <w:right w:type="dxa" w:w="120"/>
            </w:tcMar>
            <w:vAlign w:val="center"/>
          </w:tcPr>
          <w:p>
            <w:pPr>
              <w:jc w:val="center"/>
            </w:pPr>
            <w:r>
              <w:rPr>
                <w:rFonts w:ascii="Arial" w:cs="Arial" w:eastAsia="Arial" w:hAnsi="Arial"/>
                <w:color w:val="666666"/>
                <w:sz w:val="18"/>
                <w:szCs w:val="18"/>
              </w:rPr>
              <w:t xml:space="preserve">Profit Margin</w:t>
            </w:r>
          </w:p>
          <w:p>
            <w:pPr>
              <w:spacing w:before="40"/>
              <w:jc w:val="center"/>
            </w:pPr>
            <w:r>
              <w:rPr>
                <w:rFonts w:ascii="Arial" w:cs="Arial" w:eastAsia="Arial" w:hAnsi="Arial"/>
                <w:b/>
                <w:bCs/>
                <w:color w:val="C0392B"/>
                <w:sz w:val="28"/>
                <w:szCs w:val="28"/>
              </w:rPr>
              <w:t xml:space="preserve">-0.01%</w:t>
            </w:r>
          </w:p>
        </w:tc>
      </w:tr>
      <w:tr>
        <w:tc>
          <w:tcPr>
            <w:tcW w:type="dxa" w:w="31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vAlign w:val="center"/>
          </w:tcPr>
          <w:p>
            <w:pPr>
              <w:jc w:val="center"/>
            </w:pPr>
            <w:r>
              <w:rPr>
                <w:rFonts w:ascii="Arial" w:cs="Arial" w:eastAsia="Arial" w:hAnsi="Arial"/>
                <w:color w:val="666666"/>
                <w:sz w:val="18"/>
                <w:szCs w:val="18"/>
              </w:rPr>
              <w:t xml:space="preserve">Total Orders</w:t>
            </w:r>
          </w:p>
          <w:p>
            <w:pPr>
              <w:spacing w:before="40"/>
              <w:jc w:val="center"/>
            </w:pPr>
            <w:r>
              <w:rPr>
                <w:rFonts w:ascii="Arial" w:cs="Arial" w:eastAsia="Arial" w:hAnsi="Arial"/>
                <w:b/>
                <w:bCs/>
                <w:color w:val="1F3864"/>
                <w:sz w:val="28"/>
                <w:szCs w:val="28"/>
              </w:rPr>
              <w:t xml:space="preserve">496</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vAlign w:val="center"/>
          </w:tcPr>
          <w:p>
            <w:pPr>
              <w:jc w:val="center"/>
            </w:pPr>
            <w:r>
              <w:rPr>
                <w:rFonts w:ascii="Arial" w:cs="Arial" w:eastAsia="Arial" w:hAnsi="Arial"/>
                <w:color w:val="666666"/>
                <w:sz w:val="18"/>
                <w:szCs w:val="18"/>
              </w:rPr>
              <w:t xml:space="preserve">Avg Order Value</w:t>
            </w:r>
          </w:p>
          <w:p>
            <w:pPr>
              <w:spacing w:before="40"/>
              <w:jc w:val="center"/>
            </w:pPr>
            <w:r>
              <w:rPr>
                <w:rFonts w:ascii="Arial" w:cs="Arial" w:eastAsia="Arial" w:hAnsi="Arial"/>
                <w:b/>
                <w:bCs/>
                <w:color w:val="1F3864"/>
                <w:sz w:val="28"/>
                <w:szCs w:val="28"/>
              </w:rPr>
              <w:t xml:space="preserve">$3,248</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vAlign w:val="center"/>
          </w:tcPr>
          <w:p>
            <w:pPr>
              <w:jc w:val="center"/>
            </w:pPr>
            <w:r>
              <w:rPr>
                <w:rFonts w:ascii="Arial" w:cs="Arial" w:eastAsia="Arial" w:hAnsi="Arial"/>
                <w:color w:val="666666"/>
                <w:sz w:val="18"/>
                <w:szCs w:val="18"/>
              </w:rPr>
              <w:t xml:space="preserve">Avg Discount Given</w:t>
            </w:r>
          </w:p>
          <w:p>
            <w:pPr>
              <w:spacing w:before="40"/>
              <w:jc w:val="center"/>
            </w:pPr>
            <w:r>
              <w:rPr>
                <w:rFonts w:ascii="Arial" w:cs="Arial" w:eastAsia="Arial" w:hAnsi="Arial"/>
                <w:b/>
                <w:bCs/>
                <w:color w:val="1F3864"/>
                <w:sz w:val="28"/>
                <w:szCs w:val="28"/>
              </w:rPr>
              <w:t xml:space="preserve">13%</w:t>
            </w:r>
          </w:p>
        </w:tc>
      </w:tr>
    </w:tbl>
    <w:p>
      <w:pPr>
        <w:spacing w:after="160" w:before="0"/>
      </w:pPr>
      <w:r>
        <w:t xml:space="preserve"/>
      </w:r>
    </w:p>
    <w:p>
      <w:pPr>
        <w:pStyle w:val="Heading1"/>
        <w:pBdr>
          <w:bottom w:val="single" w:color="1F3864" w:sz="6" w:space="4"/>
        </w:pBdr>
        <w:spacing w:after="160" w:before="320"/>
      </w:pPr>
      <w:r>
        <w:rPr>
          <w:rFonts w:ascii="Arial" w:cs="Arial" w:eastAsia="Arial" w:hAnsi="Arial"/>
          <w:b/>
          <w:bCs/>
          <w:color w:val="1F3864"/>
          <w:sz w:val="32"/>
          <w:szCs w:val="32"/>
        </w:rPr>
        <w:t xml:space="preserve">2. Business Context &amp; Objectives</w:t>
      </w:r>
    </w:p>
    <w:p>
      <w:pPr>
        <w:spacing w:after="80" w:before="80" w:line="320"/>
        <w:jc w:val="both"/>
      </w:pPr>
      <w:r>
        <w:rPr>
          <w:rFonts w:ascii="Arial" w:cs="Arial" w:eastAsia="Arial" w:hAnsi="Arial"/>
          <w:color w:val="444444"/>
          <w:sz w:val="22"/>
          <w:szCs w:val="22"/>
        </w:rPr>
        <w:t xml:space="preserve">PalmBridge Retail Co. operates as an online retailer across five US regions — North, South, East, West, and Central — serving three customer segments: Consumer, Corporate, and Home Office. The product portfolio spans three categories: Technology, Furniture, and Office Supplies, with fifteen distinct sub-categories.</w:t>
      </w:r>
    </w:p>
    <w:p>
      <w:pPr>
        <w:spacing w:after="160" w:before="0"/>
      </w:pPr>
      <w:r>
        <w:t xml:space="preserve"/>
      </w:r>
    </w:p>
    <w:p>
      <w:pPr>
        <w:spacing w:after="80" w:before="80" w:line="320"/>
        <w:jc w:val="both"/>
      </w:pPr>
      <w:r>
        <w:rPr>
          <w:rFonts w:ascii="Arial" w:cs="Arial" w:eastAsia="Arial" w:hAnsi="Arial"/>
          <w:color w:val="444444"/>
          <w:sz w:val="22"/>
          <w:szCs w:val="22"/>
        </w:rPr>
        <w:t xml:space="preserve">The central business problem driving this analysis is the divergence between revenue growth and profit performance. Sales grew from $529,568 in 2022 to $566,313 in 2024 — a positive trajectory — yet profit declined from +$6,165 in 2022 to -$1,724 in 2024. This pattern indicates that the business is scaling revenue while simultaneously scaling losses, a trajectory that is unsustainable without structural intervention.</w:t>
      </w:r>
    </w:p>
    <w:p>
      <w:pPr>
        <w:spacing w:after="160" w:before="0"/>
      </w:pPr>
      <w:r>
        <w:t xml:space="preserve"/>
      </w:r>
    </w:p>
    <w:p>
      <w:pPr>
        <w:spacing w:after="80" w:before="80" w:line="320"/>
        <w:jc w:val="both"/>
      </w:pPr>
      <w:r>
        <w:rPr>
          <w:rFonts w:ascii="Arial" w:cs="Arial" w:eastAsia="Arial" w:hAnsi="Arial"/>
          <w:color w:val="444444"/>
          <w:sz w:val="22"/>
          <w:szCs w:val="22"/>
        </w:rPr>
        <w:t xml:space="preserve">This analysis was conducted to answer the following core business questions:</w:t>
      </w:r>
    </w:p>
    <w:p>
      <w:pPr>
        <w:pStyle w:val="ListParagraph"/>
        <w:numPr>
          <w:ilvl w:val="0"/>
          <w:numId w:val="2"/>
        </w:numPr>
        <w:spacing w:after="60" w:before="60"/>
      </w:pPr>
      <w:r>
        <w:rPr>
          <w:rFonts w:ascii="Arial" w:cs="Arial" w:eastAsia="Arial" w:hAnsi="Arial"/>
          <w:color w:val="444444"/>
          <w:sz w:val="22"/>
          <w:szCs w:val="22"/>
        </w:rPr>
        <w:t xml:space="preserve">Which product categories and sub-categories are profitable vs loss-making?</w:t>
      </w:r>
    </w:p>
    <w:p>
      <w:pPr>
        <w:pStyle w:val="ListParagraph"/>
        <w:numPr>
          <w:ilvl w:val="0"/>
          <w:numId w:val="2"/>
        </w:numPr>
        <w:spacing w:after="60" w:before="60"/>
      </w:pPr>
      <w:r>
        <w:rPr>
          <w:rFonts w:ascii="Arial" w:cs="Arial" w:eastAsia="Arial" w:hAnsi="Arial"/>
          <w:color w:val="444444"/>
          <w:sz w:val="22"/>
          <w:szCs w:val="22"/>
        </w:rPr>
        <w:t xml:space="preserve">How does discounting behaviour correlate with profitability outcomes?</w:t>
      </w:r>
    </w:p>
    <w:p>
      <w:pPr>
        <w:pStyle w:val="ListParagraph"/>
        <w:numPr>
          <w:ilvl w:val="0"/>
          <w:numId w:val="2"/>
        </w:numPr>
        <w:spacing w:after="60" w:before="60"/>
      </w:pPr>
      <w:r>
        <w:rPr>
          <w:rFonts w:ascii="Arial" w:cs="Arial" w:eastAsia="Arial" w:hAnsi="Arial"/>
          <w:color w:val="444444"/>
          <w:sz w:val="22"/>
          <w:szCs w:val="22"/>
        </w:rPr>
        <w:t xml:space="preserve">Are losses concentrated in specific regions or customer segments?</w:t>
      </w:r>
    </w:p>
    <w:p>
      <w:pPr>
        <w:pStyle w:val="ListParagraph"/>
        <w:numPr>
          <w:ilvl w:val="0"/>
          <w:numId w:val="2"/>
        </w:numPr>
        <w:spacing w:after="60" w:before="60"/>
      </w:pPr>
      <w:r>
        <w:rPr>
          <w:rFonts w:ascii="Arial" w:cs="Arial" w:eastAsia="Arial" w:hAnsi="Arial"/>
          <w:color w:val="444444"/>
          <w:sz w:val="22"/>
          <w:szCs w:val="22"/>
        </w:rPr>
        <w:t xml:space="preserve">What is the year-over-year trend in revenue, profit, and margin?</w:t>
      </w:r>
    </w:p>
    <w:p>
      <w:pPr>
        <w:pStyle w:val="ListParagraph"/>
        <w:numPr>
          <w:ilvl w:val="0"/>
          <w:numId w:val="2"/>
        </w:numPr>
        <w:spacing w:after="60" w:before="60"/>
      </w:pPr>
      <w:r>
        <w:rPr>
          <w:rFonts w:ascii="Arial" w:cs="Arial" w:eastAsia="Arial" w:hAnsi="Arial"/>
          <w:color w:val="444444"/>
          <w:sz w:val="22"/>
          <w:szCs w:val="22"/>
        </w:rPr>
        <w:t xml:space="preserve">What specific actions should leadership take to restore profitability?</w:t>
      </w:r>
    </w:p>
    <w:p>
      <w:pPr>
        <w:spacing w:after="160" w:before="0"/>
      </w:pPr>
      <w:r>
        <w:t xml:space="preserve"/>
      </w:r>
    </w:p>
    <w:p>
      <w:pPr>
        <w:pStyle w:val="Heading1"/>
        <w:pBdr>
          <w:bottom w:val="single" w:color="1F3864" w:sz="6" w:space="4"/>
        </w:pBdr>
        <w:spacing w:after="160" w:before="320"/>
      </w:pPr>
      <w:r>
        <w:rPr>
          <w:rFonts w:ascii="Arial" w:cs="Arial" w:eastAsia="Arial" w:hAnsi="Arial"/>
          <w:b/>
          <w:bCs/>
          <w:color w:val="1F3864"/>
          <w:sz w:val="32"/>
          <w:szCs w:val="32"/>
        </w:rPr>
        <w:t xml:space="preserve">3. Data &amp; Methodology</w:t>
      </w:r>
    </w:p>
    <w:p>
      <w:pPr>
        <w:pStyle w:val="Heading2"/>
        <w:spacing w:after="120" w:before="240"/>
      </w:pPr>
      <w:r>
        <w:rPr>
          <w:rFonts w:ascii="Arial" w:cs="Arial" w:eastAsia="Arial" w:hAnsi="Arial"/>
          <w:b/>
          <w:bCs/>
          <w:color w:val="1F3864"/>
          <w:sz w:val="26"/>
          <w:szCs w:val="26"/>
        </w:rPr>
        <w:t xml:space="preserve">3.1 Dataset Overview</w:t>
      </w:r>
    </w:p>
    <w:p>
      <w:pPr>
        <w:spacing w:after="80" w:before="80" w:line="320"/>
        <w:jc w:val="both"/>
      </w:pPr>
      <w:r>
        <w:rPr>
          <w:rFonts w:ascii="Arial" w:cs="Arial" w:eastAsia="Arial" w:hAnsi="Arial"/>
          <w:color w:val="444444"/>
          <w:sz w:val="22"/>
          <w:szCs w:val="22"/>
        </w:rPr>
        <w:t xml:space="preserve">The analysis was conducted on a transactional sales dataset comprising 501 raw records spanning January 2022 to December 2024. The dataset included the following fields: Order ID, Order Date, Ship Date, Customer Segment, Region, State, Category, Sub-Category, Quantity, Sales, Discount, Discounted Sales, Shipping Cost, Profit, and Profit Margin %.</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3.2 Data Cleaning Process</w:t>
      </w:r>
    </w:p>
    <w:p>
      <w:pPr>
        <w:spacing w:after="80" w:before="80" w:line="320"/>
        <w:jc w:val="both"/>
      </w:pPr>
      <w:r>
        <w:rPr>
          <w:rFonts w:ascii="Arial" w:cs="Arial" w:eastAsia="Arial" w:hAnsi="Arial"/>
          <w:color w:val="444444"/>
          <w:sz w:val="22"/>
          <w:szCs w:val="22"/>
        </w:rPr>
        <w:t xml:space="preserve">Prior to analysis, a structured data cleaning process was performed to ensure data integrity. The following issues were identified and resolved: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 Affected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Missing Order Date values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Rows removed — time analysis requires valid dates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Inconsistent segment naming (e.g. 'consumer', 'CORPORATE')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Standardised to title case using find &amp; replace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Negative Quantity values (data entry errors)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Converted to absolute values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Missing Shipping Cost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Filled with category average (mean imputation)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Duplicate Order 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Duplicate row identified and removed</w:t>
            </w:r>
          </w:p>
        </w:tc>
      </w:tr>
    </w:tbl>
    <w:p>
      <w:pPr>
        <w:spacing w:after="160" w:before="0"/>
      </w:pPr>
      <w:r>
        <w:t xml:space="preserve"/>
      </w:r>
    </w:p>
    <w:p>
      <w:pPr>
        <w:spacing w:after="80" w:before="80" w:line="320"/>
        <w:jc w:val="both"/>
      </w:pPr>
      <w:r>
        <w:rPr>
          <w:rFonts w:ascii="Arial" w:cs="Arial" w:eastAsia="Arial" w:hAnsi="Arial"/>
          <w:color w:val="444444"/>
          <w:sz w:val="22"/>
          <w:szCs w:val="22"/>
        </w:rPr>
        <w:t xml:space="preserve">Following cleaning, the working dataset comprised 496 valid order records. A calculated column — Profit Margin % — was added to enable margin analysis at the order level.</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3.3 Analytical Approach</w:t>
      </w:r>
    </w:p>
    <w:p>
      <w:pPr>
        <w:spacing w:after="80" w:before="80" w:line="320"/>
        <w:jc w:val="both"/>
      </w:pPr>
      <w:r>
        <w:rPr>
          <w:rFonts w:ascii="Arial" w:cs="Arial" w:eastAsia="Arial" w:hAnsi="Arial"/>
          <w:color w:val="444444"/>
          <w:sz w:val="22"/>
          <w:szCs w:val="22"/>
        </w:rPr>
        <w:t xml:space="preserve">Analysis was performed using Microsoft Excel (pivot tables and charts) and SQL (DB Browser for SQLite). Five pivot tables were constructed to summarise performance by Category, Region, Customer Segment, Sub-Category, and Year. Eight SQL queries were written to validate and extend the Excel findings programmatically.</w:t>
      </w:r>
    </w:p>
    <w:p>
      <w:pPr>
        <w:spacing w:after="160" w:before="0"/>
      </w:pPr>
      <w:r>
        <w:t xml:space="preserve"/>
      </w:r>
    </w:p>
    <w:p>
      <w:pPr>
        <w:pStyle w:val="Heading1"/>
        <w:pBdr>
          <w:bottom w:val="single" w:color="1F3864" w:sz="6" w:space="4"/>
        </w:pBdr>
        <w:spacing w:after="160" w:before="320"/>
      </w:pPr>
      <w:r>
        <w:rPr>
          <w:rFonts w:ascii="Arial" w:cs="Arial" w:eastAsia="Arial" w:hAnsi="Arial"/>
          <w:b/>
          <w:bCs/>
          <w:color w:val="1F3864"/>
          <w:sz w:val="32"/>
          <w:szCs w:val="32"/>
        </w:rPr>
        <w:t xml:space="preserve">4. Key Findings</w:t>
      </w:r>
    </w:p>
    <w:p>
      <w:pPr>
        <w:pStyle w:val="Heading2"/>
        <w:spacing w:after="120" w:before="240"/>
      </w:pPr>
      <w:r>
        <w:rPr>
          <w:rFonts w:ascii="Arial" w:cs="Arial" w:eastAsia="Arial" w:hAnsi="Arial"/>
          <w:b/>
          <w:bCs/>
          <w:color w:val="1F3864"/>
          <w:sz w:val="26"/>
          <w:szCs w:val="26"/>
        </w:rPr>
        <w:t xml:space="preserve">4.1 Category Performance</w:t>
      </w:r>
    </w:p>
    <w:p>
      <w:pPr>
        <w:spacing w:after="80" w:before="80" w:line="320"/>
        <w:jc w:val="both"/>
      </w:pPr>
      <w:r>
        <w:rPr>
          <w:rFonts w:ascii="Arial" w:cs="Arial" w:eastAsia="Arial" w:hAnsi="Arial"/>
          <w:color w:val="444444"/>
          <w:sz w:val="22"/>
          <w:szCs w:val="22"/>
        </w:rPr>
        <w:t xml:space="preserve">At the category level, Furniture is the most damaging segment to overall profitability despite being the second-highest revenue generator. Technology, the highest-revenue category at $602,222, also operates at a loss. Only Office Supplies generates consistent positive profit.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Technology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$602,222</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-$10,494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Office Supplies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$526,222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$57,601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+10.9%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Furniture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$482,443</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-$47,227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-9.8%</w:t>
            </w:r>
          </w:p>
        </w:tc>
      </w:tr>
    </w:tbl>
    <w:p>
      <w:pPr>
        <w:spacing w:after="160" w:before="0"/>
      </w:pPr>
      <w:r>
        <w:t xml:space="preserve"/>
      </w:r>
    </w:p>
    <w:p>
      <w:pPr>
        <w:spacing w:after="80" w:before="80" w:line="320"/>
        <w:jc w:val="both"/>
      </w:pPr>
      <w:r>
        <w:rPr>
          <w:rFonts w:ascii="Arial" w:cs="Arial" w:eastAsia="Arial" w:hAnsi="Arial"/>
          <w:color w:val="444444"/>
          <w:sz w:val="22"/>
          <w:szCs w:val="22"/>
        </w:rPr>
        <w:t xml:space="preserve">The contrast between Office Supplies (+10.9% margin) and Furniture (-9.8% margin) demonstrates that profitability is not a company-wide capability issue — it is a category management and discount discipline issue.</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4.2 Sub-Category Analysis — The Primary Loss Drivers</w:t>
      </w:r>
    </w:p>
    <w:p>
      <w:pPr>
        <w:spacing w:after="80" w:before="80" w:line="320"/>
        <w:jc w:val="both"/>
      </w:pPr>
      <w:r>
        <w:rPr>
          <w:rFonts w:ascii="Arial" w:cs="Arial" w:eastAsia="Arial" w:hAnsi="Arial"/>
          <w:color w:val="444444"/>
          <w:sz w:val="22"/>
          <w:szCs w:val="22"/>
        </w:rPr>
        <w:t xml:space="preserve">The sub-category analysis reveals that losses are highly concentrated in just three products. Tables, Printers, and Desks collectively account for $88,132 in losses — representing the entire company loss and more. Every other sub-category is either profitable or near break-even.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Discount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Tables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Furniture</w:t>
            </w:r>
          </w:p>
        </w:tc>
        <w:tc>
          <w:tcPr>
            <w:tcW w:type="dxa" w:w="1872"/>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-$35,685</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35%</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LOSS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Printers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Technology</w:t>
            </w:r>
          </w:p>
        </w:tc>
        <w:tc>
          <w:tcPr>
            <w:tcW w:type="dxa" w:w="1872"/>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-$27,085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LOSS</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Desks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Furniture</w:t>
            </w:r>
          </w:p>
        </w:tc>
        <w:tc>
          <w:tcPr>
            <w:tcW w:type="dxa" w:w="1872"/>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-$25,362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36%</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LOSS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Paper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Office Supplies</w:t>
            </w:r>
          </w:p>
        </w:tc>
        <w:tc>
          <w:tcPr>
            <w:tcW w:type="dxa" w:w="1872"/>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-$7,917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LOSS</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Monitors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Technology</w:t>
            </w:r>
          </w:p>
        </w:tc>
        <w:tc>
          <w:tcPr>
            <w:tcW w:type="dxa" w:w="1872"/>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-$6,591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LOSS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Chairs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Furniture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+$2,147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Profit</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Laptops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Technology</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+$4,508</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7%</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Profit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Labels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Office Supplies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+$27,469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Profit</w:t>
            </w:r>
          </w:p>
        </w:tc>
      </w:tr>
    </w:tbl>
    <w:p>
      <w:pPr>
        <w:spacing w:after="160" w:before="0"/>
      </w:pPr>
      <w:r>
        <w:t xml:space="preserve"/>
      </w:r>
    </w:p>
    <w:p>
      <w:pPr>
        <w:spacing w:after="80" w:before="80" w:line="320"/>
        <w:jc w:val="both"/>
      </w:pPr>
      <w:r>
        <w:rPr>
          <w:rFonts w:ascii="Arial" w:cs="Arial" w:eastAsia="Arial" w:hAnsi="Arial"/>
          <w:color w:val="444444"/>
          <w:sz w:val="22"/>
          <w:szCs w:val="22"/>
        </w:rPr>
        <w:t xml:space="preserve">A clear pattern emerges: sub-categories with average discounts of 30% or above are uniformly loss-making, while those with discounts below 15% are uniformly profitable. This is not coincidence — it is a direct causal relationship confirmed by the discount impact analysis in Section 4.4.</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4.3 Regional Performance</w:t>
      </w:r>
    </w:p>
    <w:p>
      <w:pPr>
        <w:spacing w:after="80" w:before="80" w:line="320"/>
        <w:jc w:val="both"/>
      </w:pPr>
      <w:r>
        <w:rPr>
          <w:rFonts w:ascii="Arial" w:cs="Arial" w:eastAsia="Arial" w:hAnsi="Arial"/>
          <w:color w:val="444444"/>
          <w:sz w:val="22"/>
          <w:szCs w:val="22"/>
        </w:rPr>
        <w:t xml:space="preserve">Loss-making behaviour is consistent across all five regions, which confirms this is not a geographic distribution or logistics problem. It is a pricing and discount policy problem that affects the entire business regardless of location.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West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$312,925</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-$6,211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$341,084</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-$5,932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-1.7%</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East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$319,677</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-$1,529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-0.5%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South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$332,463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+$665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North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$304,736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+$12,888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+4.2%</w:t>
            </w:r>
          </w:p>
        </w:tc>
      </w:tr>
    </w:tbl>
    <w:p>
      <w:pPr>
        <w:spacing w:after="160" w:before="0"/>
      </w:pPr>
      <w:r>
        <w:t xml:space="preserve"/>
      </w:r>
    </w:p>
    <w:p>
      <w:pPr>
        <w:spacing w:after="80" w:before="80" w:line="320"/>
        <w:jc w:val="both"/>
      </w:pPr>
      <w:r>
        <w:rPr>
          <w:rFonts w:ascii="Arial" w:cs="Arial" w:eastAsia="Arial" w:hAnsi="Arial"/>
          <w:color w:val="444444"/>
          <w:sz w:val="22"/>
          <w:szCs w:val="22"/>
        </w:rPr>
        <w:t xml:space="preserve">The North region is the only region achieving meaningful positive profit at +$12,888, while West and Central are the worst performers. However, even the best-performing region (North) would be classified as under-performing by industry benchmarks, where healthy retail margins typically range from 8–15%.</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4.4 Customer Segment Analysis</w:t>
      </w:r>
    </w:p>
    <w:p>
      <w:pPr>
        <w:spacing w:after="80" w:before="80" w:line="320"/>
        <w:jc w:val="both"/>
      </w:pPr>
      <w:r>
        <w:rPr>
          <w:rFonts w:ascii="Arial" w:cs="Arial" w:eastAsia="Arial" w:hAnsi="Arial"/>
          <w:color w:val="444444"/>
          <w:sz w:val="22"/>
          <w:szCs w:val="22"/>
        </w:rPr>
        <w:t xml:space="preserve">The Corporate segment is the most problematic customer group, losing $14,443 despite generating $475,728 in revenue. This is likely driven by volume-based discount agreements that erode margins beyond sustainable levels.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Discount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Consumer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$564,616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+$1,933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Home Office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$570,542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+$12,389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Corporate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$475,728</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-$14,443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14%</w:t>
            </w:r>
          </w:p>
        </w:tc>
      </w:tr>
    </w:tbl>
    <w:p>
      <w:pPr>
        <w:spacing w:after="160" w:before="0"/>
      </w:pPr>
      <w:r>
        <w:t xml:space="preserve"/>
      </w:r>
    </w:p>
    <w:p>
      <w:pPr>
        <w:spacing w:after="80" w:before="80" w:line="320"/>
        <w:jc w:val="both"/>
      </w:pPr>
      <w:r>
        <w:rPr>
          <w:rFonts w:ascii="Arial" w:cs="Arial" w:eastAsia="Arial" w:hAnsi="Arial"/>
          <w:color w:val="444444"/>
          <w:sz w:val="22"/>
          <w:szCs w:val="22"/>
        </w:rPr>
        <w:t xml:space="preserve">Home Office customers are the most valuable segment on a profit basis despite not being the largest revenue contributor. Consumer and Home Office segments have similar average discounts to Corporate (12–13% vs 14%), yet significantly better profit outcomes — suggesting Corporate losses are driven by high-discount product mix rather than discount rate alone.</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4.5 Discount Impact Analysis</w:t>
      </w:r>
    </w:p>
    <w:p>
      <w:pPr>
        <w:spacing w:after="80" w:before="80" w:line="320"/>
        <w:jc w:val="both"/>
      </w:pPr>
      <w:r>
        <w:rPr>
          <w:rFonts w:ascii="Arial" w:cs="Arial" w:eastAsia="Arial" w:hAnsi="Arial"/>
          <w:color w:val="444444"/>
          <w:sz w:val="22"/>
          <w:szCs w:val="22"/>
        </w:rPr>
        <w:t xml:space="preserve">The relationship between discount depth and profitability is the most important finding of this analysis. Orders with discounts above 30% generate an average loss of -$123.85 per order, while orders with 1–10% discounts generate an average profit of +$285.27 per order.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 Band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Profit per Order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0% — No Discount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+$23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+$23.11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1–10% Discount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+$49,066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+$285.27</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11–20% Discount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21–30% Discount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Over 30% Discount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323</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-$40,002</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-$123.85</w:t>
            </w:r>
          </w:p>
        </w:tc>
      </w:tr>
    </w:tbl>
    <w:p>
      <w:pPr>
        <w:spacing w:after="160" w:before="0"/>
      </w:pPr>
      <w:r>
        <w:t xml:space="preserve"/>
      </w:r>
    </w:p>
    <w:p>
      <w:pPr>
        <w:spacing w:after="80" w:before="80" w:line="320"/>
        <w:jc w:val="both"/>
      </w:pPr>
      <w:r>
        <w:rPr>
          <w:rFonts w:ascii="Arial" w:cs="Arial" w:eastAsia="Arial" w:hAnsi="Arial"/>
          <w:color w:val="444444"/>
          <w:sz w:val="22"/>
          <w:szCs w:val="22"/>
        </w:rPr>
        <w:t xml:space="preserve">This analysis shows that 65% of all orders (323 out of 496) carry discounts above 30%, and these orders are responsible for the entire company loss. The business is applying deep discounts to the majority of its transactions in a way that makes profitable growth structurally impossible.</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4.6 Year-Over-Year Trend</w:t>
      </w:r>
    </w:p>
    <w:p>
      <w:pPr>
        <w:spacing w:after="80" w:before="80" w:line="320"/>
        <w:jc w:val="both"/>
      </w:pPr>
      <w:r>
        <w:rPr>
          <w:rFonts w:ascii="Arial" w:cs="Arial" w:eastAsia="Arial" w:hAnsi="Arial"/>
          <w:color w:val="444444"/>
          <w:sz w:val="22"/>
          <w:szCs w:val="22"/>
        </w:rPr>
        <w:t xml:space="preserve">The multi-year trend confirms the business problem is worsening rather than self-correcting. Sales are growing, but profit is declining in tandem — a pattern that indicates the underlying discount behaviour is intensifying over time.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2022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$529,568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+$6,165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2023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$515,006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+$4,562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44444"/>
                <w:sz w:val="20"/>
                <w:szCs w:val="20"/>
              </w:rPr>
              <w:t xml:space="preserve">2024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$566,313</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0392B"/>
                <w:sz w:val="20"/>
                <w:szCs w:val="20"/>
              </w:rPr>
              <w:t xml:space="preserve">-$1,724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20"/>
                <w:szCs w:val="20"/>
              </w:rPr>
              <w:t xml:space="preserve">-0.3%</w:t>
            </w:r>
          </w:p>
        </w:tc>
      </w:tr>
    </w:tbl>
    <w:p>
      <w:pPr>
        <w:spacing w:after="160" w:before="0"/>
      </w:pPr>
      <w:r>
        <w:t xml:space="preserve"/>
      </w:r>
    </w:p>
    <w:p>
      <w:pPr>
        <w:spacing w:after="80" w:before="80" w:line="320"/>
        <w:jc w:val="both"/>
      </w:pPr>
      <w:r>
        <w:rPr>
          <w:rFonts w:ascii="Arial" w:cs="Arial" w:eastAsia="Arial" w:hAnsi="Arial"/>
          <w:color w:val="444444"/>
          <w:sz w:val="22"/>
          <w:szCs w:val="22"/>
        </w:rPr>
        <w:t xml:space="preserve">The business crossed from profitability into loss-making territory in 2024. Without intervention, this trend will continue as revenue targets drive deeper discounting to maintain sales volumes.</w:t>
      </w:r>
    </w:p>
    <w:p>
      <w:pPr>
        <w:spacing w:after="160" w:before="0"/>
      </w:pPr>
      <w:r>
        <w:t xml:space="preserve"/>
      </w:r>
    </w:p>
    <w:p>
      <w:pPr>
        <w:pStyle w:val="Heading1"/>
        <w:pBdr>
          <w:bottom w:val="single" w:color="1F3864" w:sz="6" w:space="4"/>
        </w:pBdr>
        <w:spacing w:after="160" w:before="320"/>
      </w:pPr>
      <w:r>
        <w:rPr>
          <w:rFonts w:ascii="Arial" w:cs="Arial" w:eastAsia="Arial" w:hAnsi="Arial"/>
          <w:b/>
          <w:bCs/>
          <w:color w:val="1F3864"/>
          <w:sz w:val="32"/>
          <w:szCs w:val="32"/>
        </w:rPr>
        <w:t xml:space="preserve">5. Recommendations</w:t>
      </w:r>
    </w:p>
    <w:p>
      <w:pPr>
        <w:spacing w:after="80" w:before="80" w:line="320"/>
        <w:jc w:val="both"/>
      </w:pPr>
      <w:r>
        <w:rPr>
          <w:rFonts w:ascii="Arial" w:cs="Arial" w:eastAsia="Arial" w:hAnsi="Arial"/>
          <w:color w:val="444444"/>
          <w:sz w:val="22"/>
          <w:szCs w:val="22"/>
        </w:rPr>
        <w:t xml:space="preserve">Based on the findings above, the following five recommendations are presented in order of priority and expected impact.</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Recommendation 1: Implement a Maximum Discount Cap of 15% (High Priority)</w:t>
      </w:r>
    </w:p>
    <w:p>
      <w:pPr>
        <w:spacing w:after="80" w:before="80" w:line="320"/>
        <w:jc w:val="both"/>
      </w:pPr>
      <w:r>
        <w:rPr>
          <w:rFonts w:ascii="Arial" w:cs="Arial" w:eastAsia="Arial" w:hAnsi="Arial"/>
          <w:color w:val="444444"/>
          <w:sz w:val="22"/>
          <w:szCs w:val="22"/>
        </w:rPr>
        <w:t xml:space="preserve">The data clearly shows that orders with discounts above 30% generate losses of -$124 on average per order. The business should implement an immediate policy capping discounts at 15% across all product categories. This single action, applied to the 323 over-discounted orders in the dataset, would convert an estimated $40,002 loss into profit.</w:t>
      </w:r>
    </w:p>
    <w:p>
      <w:pPr>
        <w:pStyle w:val="ListParagraph"/>
        <w:numPr>
          <w:ilvl w:val="0"/>
          <w:numId w:val="2"/>
        </w:numPr>
        <w:spacing w:after="60" w:before="60"/>
      </w:pPr>
      <w:r>
        <w:rPr>
          <w:rFonts w:ascii="Arial" w:cs="Arial" w:eastAsia="Arial" w:hAnsi="Arial"/>
          <w:color w:val="444444"/>
          <w:sz w:val="22"/>
          <w:szCs w:val="22"/>
        </w:rPr>
        <w:t xml:space="preserve">Action: Update pricing policy documentation and configure discount approval workflows</w:t>
      </w:r>
    </w:p>
    <w:p>
      <w:pPr>
        <w:pStyle w:val="ListParagraph"/>
        <w:numPr>
          <w:ilvl w:val="0"/>
          <w:numId w:val="2"/>
        </w:numPr>
        <w:spacing w:after="60" w:before="60"/>
      </w:pPr>
      <w:r>
        <w:rPr>
          <w:rFonts w:ascii="Arial" w:cs="Arial" w:eastAsia="Arial" w:hAnsi="Arial"/>
          <w:color w:val="444444"/>
          <w:sz w:val="22"/>
          <w:szCs w:val="22"/>
        </w:rPr>
        <w:t xml:space="preserve">Owner: Sales Director and Finance team</w:t>
      </w:r>
    </w:p>
    <w:p>
      <w:pPr>
        <w:pStyle w:val="ListParagraph"/>
        <w:numPr>
          <w:ilvl w:val="0"/>
          <w:numId w:val="2"/>
        </w:numPr>
        <w:spacing w:after="60" w:before="60"/>
      </w:pPr>
      <w:r>
        <w:rPr>
          <w:rFonts w:ascii="Arial" w:cs="Arial" w:eastAsia="Arial" w:hAnsi="Arial"/>
          <w:color w:val="444444"/>
          <w:sz w:val="22"/>
          <w:szCs w:val="22"/>
        </w:rPr>
        <w:t xml:space="preserve">Timeline: Immediate — within 30 days</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Recommendation 2: Conduct a Furniture Pricing Review (High Priority)</w:t>
      </w:r>
    </w:p>
    <w:p>
      <w:pPr>
        <w:spacing w:after="80" w:before="80" w:line="320"/>
        <w:jc w:val="both"/>
      </w:pPr>
      <w:r>
        <w:rPr>
          <w:rFonts w:ascii="Arial" w:cs="Arial" w:eastAsia="Arial" w:hAnsi="Arial"/>
          <w:color w:val="444444"/>
          <w:sz w:val="22"/>
          <w:szCs w:val="22"/>
        </w:rPr>
        <w:t xml:space="preserve">Furniture generates $482,443 in sales but loses $47,227. Tables and Desks — the worst performers — carry average discounts of 35–36%, which makes profitability mathematically impossible at current cost structures. Leadership must either raise base prices on these products or establish firm minimum margin floors before any discount is applied.</w:t>
      </w:r>
    </w:p>
    <w:p>
      <w:pPr>
        <w:pStyle w:val="ListParagraph"/>
        <w:numPr>
          <w:ilvl w:val="0"/>
          <w:numId w:val="2"/>
        </w:numPr>
        <w:spacing w:after="60" w:before="60"/>
      </w:pPr>
      <w:r>
        <w:rPr>
          <w:rFonts w:ascii="Arial" w:cs="Arial" w:eastAsia="Arial" w:hAnsi="Arial"/>
          <w:color w:val="444444"/>
          <w:sz w:val="22"/>
          <w:szCs w:val="22"/>
        </w:rPr>
        <w:t xml:space="preserve">Action: Review supplier costs, competitor pricing, and customer willingness to pay for Tables and Desks</w:t>
      </w:r>
    </w:p>
    <w:p>
      <w:pPr>
        <w:pStyle w:val="ListParagraph"/>
        <w:numPr>
          <w:ilvl w:val="0"/>
          <w:numId w:val="2"/>
        </w:numPr>
        <w:spacing w:after="60" w:before="60"/>
      </w:pPr>
      <w:r>
        <w:rPr>
          <w:rFonts w:ascii="Arial" w:cs="Arial" w:eastAsia="Arial" w:hAnsi="Arial"/>
          <w:color w:val="444444"/>
          <w:sz w:val="22"/>
          <w:szCs w:val="22"/>
        </w:rPr>
        <w:t xml:space="preserve">Owner: Category Management and Procurement</w:t>
      </w:r>
    </w:p>
    <w:p>
      <w:pPr>
        <w:pStyle w:val="ListParagraph"/>
        <w:numPr>
          <w:ilvl w:val="0"/>
          <w:numId w:val="2"/>
        </w:numPr>
        <w:spacing w:after="60" w:before="60"/>
      </w:pPr>
      <w:r>
        <w:rPr>
          <w:rFonts w:ascii="Arial" w:cs="Arial" w:eastAsia="Arial" w:hAnsi="Arial"/>
          <w:color w:val="444444"/>
          <w:sz w:val="22"/>
          <w:szCs w:val="22"/>
        </w:rPr>
        <w:t xml:space="preserve">Timeline: Within 60 days</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Recommendation 3: Shift Sales Targets from Revenue to Profit Margin (Medium Priority)</w:t>
      </w:r>
    </w:p>
    <w:p>
      <w:pPr>
        <w:spacing w:after="80" w:before="80" w:line="320"/>
        <w:jc w:val="both"/>
      </w:pPr>
      <w:r>
        <w:rPr>
          <w:rFonts w:ascii="Arial" w:cs="Arial" w:eastAsia="Arial" w:hAnsi="Arial"/>
          <w:color w:val="444444"/>
          <w:sz w:val="22"/>
          <w:szCs w:val="22"/>
        </w:rPr>
        <w:t xml:space="preserve">The current trajectory of growing sales alongside declining profit suggests sales teams may be incentivised on revenue rather than margin. A salesperson who closes a large deal with a 40% discount is generating revenue but destroying value. Sales compensation and targets should include a profit margin component to align incentives with business health.</w:t>
      </w:r>
    </w:p>
    <w:p>
      <w:pPr>
        <w:pStyle w:val="ListParagraph"/>
        <w:numPr>
          <w:ilvl w:val="0"/>
          <w:numId w:val="2"/>
        </w:numPr>
        <w:spacing w:after="60" w:before="60"/>
      </w:pPr>
      <w:r>
        <w:rPr>
          <w:rFonts w:ascii="Arial" w:cs="Arial" w:eastAsia="Arial" w:hAnsi="Arial"/>
          <w:color w:val="444444"/>
          <w:sz w:val="22"/>
          <w:szCs w:val="22"/>
        </w:rPr>
        <w:t xml:space="preserve">Action: Redesign sales KPIs to include profit margin threshold as a qualifying condition for commission</w:t>
      </w:r>
    </w:p>
    <w:p>
      <w:pPr>
        <w:pStyle w:val="ListParagraph"/>
        <w:numPr>
          <w:ilvl w:val="0"/>
          <w:numId w:val="2"/>
        </w:numPr>
        <w:spacing w:after="60" w:before="60"/>
      </w:pPr>
      <w:r>
        <w:rPr>
          <w:rFonts w:ascii="Arial" w:cs="Arial" w:eastAsia="Arial" w:hAnsi="Arial"/>
          <w:color w:val="444444"/>
          <w:sz w:val="22"/>
          <w:szCs w:val="22"/>
        </w:rPr>
        <w:t xml:space="preserve">Owner: Sales Director and HR</w:t>
      </w:r>
    </w:p>
    <w:p>
      <w:pPr>
        <w:pStyle w:val="ListParagraph"/>
        <w:numPr>
          <w:ilvl w:val="0"/>
          <w:numId w:val="2"/>
        </w:numPr>
        <w:spacing w:after="60" w:before="60"/>
      </w:pPr>
      <w:r>
        <w:rPr>
          <w:rFonts w:ascii="Arial" w:cs="Arial" w:eastAsia="Arial" w:hAnsi="Arial"/>
          <w:color w:val="444444"/>
          <w:sz w:val="22"/>
          <w:szCs w:val="22"/>
        </w:rPr>
        <w:t xml:space="preserve">Timeline: Next performance cycle</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Recommendation 4: Review Corporate Segment Discount Agreements (Medium Priority)</w:t>
      </w:r>
    </w:p>
    <w:p>
      <w:pPr>
        <w:spacing w:after="80" w:before="80" w:line="320"/>
        <w:jc w:val="both"/>
      </w:pPr>
      <w:r>
        <w:rPr>
          <w:rFonts w:ascii="Arial" w:cs="Arial" w:eastAsia="Arial" w:hAnsi="Arial"/>
          <w:color w:val="444444"/>
          <w:sz w:val="22"/>
          <w:szCs w:val="22"/>
        </w:rPr>
        <w:t xml:space="preserve">The Corporate segment loses $14,443 despite being the second-largest revenue contributor. This suggests existing volume discount agreements with Corporate clients may have been negotiated without adequate margin analysis. Each Corporate account should be individually reviewed against its actual profitability contribution.</w:t>
      </w:r>
    </w:p>
    <w:p>
      <w:pPr>
        <w:pStyle w:val="ListParagraph"/>
        <w:numPr>
          <w:ilvl w:val="0"/>
          <w:numId w:val="2"/>
        </w:numPr>
        <w:spacing w:after="60" w:before="60"/>
      </w:pPr>
      <w:r>
        <w:rPr>
          <w:rFonts w:ascii="Arial" w:cs="Arial" w:eastAsia="Arial" w:hAnsi="Arial"/>
          <w:color w:val="444444"/>
          <w:sz w:val="22"/>
          <w:szCs w:val="22"/>
        </w:rPr>
        <w:t xml:space="preserve">Action: Audit all active Corporate discount agreements; renegotiate where margin is below 5%</w:t>
      </w:r>
    </w:p>
    <w:p>
      <w:pPr>
        <w:pStyle w:val="ListParagraph"/>
        <w:numPr>
          <w:ilvl w:val="0"/>
          <w:numId w:val="2"/>
        </w:numPr>
        <w:spacing w:after="60" w:before="60"/>
      </w:pPr>
      <w:r>
        <w:rPr>
          <w:rFonts w:ascii="Arial" w:cs="Arial" w:eastAsia="Arial" w:hAnsi="Arial"/>
          <w:color w:val="444444"/>
          <w:sz w:val="22"/>
          <w:szCs w:val="22"/>
        </w:rPr>
        <w:t xml:space="preserve">Owner: Account Management and Finance</w:t>
      </w:r>
    </w:p>
    <w:p>
      <w:pPr>
        <w:pStyle w:val="ListParagraph"/>
        <w:numPr>
          <w:ilvl w:val="0"/>
          <w:numId w:val="2"/>
        </w:numPr>
        <w:spacing w:after="60" w:before="60"/>
      </w:pPr>
      <w:r>
        <w:rPr>
          <w:rFonts w:ascii="Arial" w:cs="Arial" w:eastAsia="Arial" w:hAnsi="Arial"/>
          <w:color w:val="444444"/>
          <w:sz w:val="22"/>
          <w:szCs w:val="22"/>
        </w:rPr>
        <w:t xml:space="preserve">Timeline: Within 90 days</w:t>
      </w:r>
    </w:p>
    <w:p>
      <w:pPr>
        <w:spacing w:after="160" w:before="0"/>
      </w:pPr>
      <w:r>
        <w:t xml:space="preserve"/>
      </w:r>
    </w:p>
    <w:p>
      <w:pPr>
        <w:pStyle w:val="Heading2"/>
        <w:spacing w:after="120" w:before="240"/>
      </w:pPr>
      <w:r>
        <w:rPr>
          <w:rFonts w:ascii="Arial" w:cs="Arial" w:eastAsia="Arial" w:hAnsi="Arial"/>
          <w:b/>
          <w:bCs/>
          <w:color w:val="1F3864"/>
          <w:sz w:val="26"/>
          <w:szCs w:val="26"/>
        </w:rPr>
        <w:t xml:space="preserve">Recommendation 5: Establish Monthly Profit Margin Monitoring (Ongoing)</w:t>
      </w:r>
    </w:p>
    <w:p>
      <w:pPr>
        <w:spacing w:after="80" w:before="80" w:line="320"/>
        <w:jc w:val="both"/>
      </w:pPr>
      <w:r>
        <w:rPr>
          <w:rFonts w:ascii="Arial" w:cs="Arial" w:eastAsia="Arial" w:hAnsi="Arial"/>
          <w:color w:val="444444"/>
          <w:sz w:val="22"/>
          <w:szCs w:val="22"/>
        </w:rPr>
        <w:t xml:space="preserve">The business currently does not appear to be tracking the gap between sales growth and profit growth in real time — if it were, the 2024 decline would have triggered earlier intervention. A monthly reporting cadence should be established that tracks profit margin by category and sub-category alongside revenue, enabling proactive rather than reactive management.</w:t>
      </w:r>
    </w:p>
    <w:p>
      <w:pPr>
        <w:pStyle w:val="ListParagraph"/>
        <w:numPr>
          <w:ilvl w:val="0"/>
          <w:numId w:val="2"/>
        </w:numPr>
        <w:spacing w:after="60" w:before="60"/>
      </w:pPr>
      <w:r>
        <w:rPr>
          <w:rFonts w:ascii="Arial" w:cs="Arial" w:eastAsia="Arial" w:hAnsi="Arial"/>
          <w:color w:val="444444"/>
          <w:sz w:val="22"/>
          <w:szCs w:val="22"/>
        </w:rPr>
        <w:t xml:space="preserve">Action: Build a monthly profit margin dashboard for leadership review</w:t>
      </w:r>
    </w:p>
    <w:p>
      <w:pPr>
        <w:pStyle w:val="ListParagraph"/>
        <w:numPr>
          <w:ilvl w:val="0"/>
          <w:numId w:val="2"/>
        </w:numPr>
        <w:spacing w:after="60" w:before="60"/>
      </w:pPr>
      <w:r>
        <w:rPr>
          <w:rFonts w:ascii="Arial" w:cs="Arial" w:eastAsia="Arial" w:hAnsi="Arial"/>
          <w:color w:val="444444"/>
          <w:sz w:val="22"/>
          <w:szCs w:val="22"/>
        </w:rPr>
        <w:t xml:space="preserve">Owner: Business Analyst / Finance team</w:t>
      </w:r>
    </w:p>
    <w:p>
      <w:pPr>
        <w:pStyle w:val="ListParagraph"/>
        <w:numPr>
          <w:ilvl w:val="0"/>
          <w:numId w:val="2"/>
        </w:numPr>
        <w:spacing w:after="60" w:before="60"/>
      </w:pPr>
      <w:r>
        <w:rPr>
          <w:rFonts w:ascii="Arial" w:cs="Arial" w:eastAsia="Arial" w:hAnsi="Arial"/>
          <w:color w:val="444444"/>
          <w:sz w:val="22"/>
          <w:szCs w:val="22"/>
        </w:rPr>
        <w:t xml:space="preserve">Timeline: Within 45 days</w:t>
      </w:r>
    </w:p>
    <w:p>
      <w:pPr>
        <w:spacing w:after="160" w:before="0"/>
      </w:pPr>
      <w:r>
        <w:t xml:space="preserve"/>
      </w:r>
    </w:p>
    <w:p>
      <w:pPr>
        <w:pStyle w:val="Heading1"/>
        <w:pBdr>
          <w:bottom w:val="single" w:color="1F3864" w:sz="6" w:space="4"/>
        </w:pBdr>
        <w:spacing w:after="160" w:before="320"/>
      </w:pPr>
      <w:r>
        <w:rPr>
          <w:rFonts w:ascii="Arial" w:cs="Arial" w:eastAsia="Arial" w:hAnsi="Arial"/>
          <w:b/>
          <w:bCs/>
          <w:color w:val="1F3864"/>
          <w:sz w:val="32"/>
          <w:szCs w:val="32"/>
        </w:rPr>
        <w:t xml:space="preserve">6. Conclusion</w:t>
      </w:r>
    </w:p>
    <w:p>
      <w:pPr>
        <w:spacing w:after="80" w:before="80" w:line="320"/>
        <w:jc w:val="both"/>
      </w:pPr>
      <w:r>
        <w:rPr>
          <w:rFonts w:ascii="Arial" w:cs="Arial" w:eastAsia="Arial" w:hAnsi="Arial"/>
          <w:color w:val="444444"/>
          <w:sz w:val="22"/>
          <w:szCs w:val="22"/>
        </w:rPr>
        <w:t xml:space="preserve">PalmBridge Retail Co. is a business with strong revenue performance that has allowed a structural profitability problem to develop unchecked. The business generated $1.6 million in sales over three years and retained virtually nothing. The root cause is not weak demand, poor regional coverage, or insufficient product range — it is a discount policy that has been applied too deeply, too broadly, and without adequate margin controls.</w:t>
      </w:r>
    </w:p>
    <w:p>
      <w:pPr>
        <w:spacing w:after="160" w:before="0"/>
      </w:pPr>
      <w:r>
        <w:t xml:space="preserve"/>
      </w:r>
    </w:p>
    <w:p>
      <w:pPr>
        <w:spacing w:after="80" w:before="80" w:line="320"/>
        <w:jc w:val="both"/>
      </w:pPr>
      <w:r>
        <w:rPr>
          <w:rFonts w:ascii="Arial" w:cs="Arial" w:eastAsia="Arial" w:hAnsi="Arial"/>
          <w:color w:val="444444"/>
          <w:sz w:val="22"/>
          <w:szCs w:val="22"/>
        </w:rPr>
        <w:t xml:space="preserve">The good news is that the fix is targeted. Three sub-categories — Tables, Printers, and Desks — account for the overwhelming majority of losses. Office Supplies demonstrates that the business knows how to be profitable. The task is to apply that discipline to the rest of the portfolio.</w:t>
      </w:r>
    </w:p>
    <w:p>
      <w:pPr>
        <w:spacing w:after="160" w:before="0"/>
      </w:pPr>
      <w:r>
        <w:t xml:space="preserve"/>
      </w:r>
    </w:p>
    <w:p>
      <w:pPr>
        <w:spacing w:after="80" w:before="80" w:line="320"/>
        <w:jc w:val="both"/>
      </w:pPr>
      <w:r>
        <w:rPr>
          <w:rFonts w:ascii="Arial" w:cs="Arial" w:eastAsia="Arial" w:hAnsi="Arial"/>
          <w:color w:val="444444"/>
          <w:sz w:val="22"/>
          <w:szCs w:val="22"/>
        </w:rPr>
        <w:t xml:space="preserve">The five recommendations in this report, if implemented, have the potential to restore the business to a healthy profit margin within one to two financial quarters. The most critical first step is the immediate implementation of a 15% maximum discount cap, which alone would eliminate the structural loss position.</w:t>
      </w:r>
    </w:p>
    <w:p>
      <w:pPr>
        <w:spacing w:after="160" w:before="0"/>
      </w:pPr>
      <w:r>
        <w:t xml:space="preserve"/>
      </w:r>
    </w:p>
    <w:p>
      <w:pPr>
        <w:spacing w:after="80" w:before="80" w:line="320"/>
        <w:jc w:val="both"/>
      </w:pPr>
      <w:r>
        <w:rPr>
          <w:rFonts w:ascii="Arial" w:cs="Arial" w:eastAsia="Arial" w:hAnsi="Arial"/>
          <w:i/>
          <w:iCs/>
          <w:color w:val="888888"/>
          <w:sz w:val="22"/>
          <w:szCs w:val="22"/>
        </w:rPr>
        <w:t xml:space="preserve">This analysis was conducted as part of a business analytics portfolio project demonstrating KPI analysis, profitability analysis, data cleaning, pivot table analysis, SQL querying, and business recommendations.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026"/>
      </w:tabs>
    </w:pPr>
    <w:r>
      <w:rPr>
        <w:rFonts w:ascii="Arial" w:cs="Arial" w:eastAsia="Arial" w:hAnsi="Arial"/>
        <w:color w:val="888888"/>
        <w:sz w:val="18"/>
        <w:szCs w:val="18"/>
      </w:rPr>
      <w:t xml:space="preserve">Confidential | Prepared by: Adedayo Adeyinka A.     </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888888"/>
        <w:sz w:val="18"/>
        <w:szCs w:val="18"/>
      </w:rPr>
      <w:t xml:space="preserve">E-Commerce Sales Performance Analysis  |  PalmBridge Retail 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2026-06-20T18:39:18.909Z</dcterms:created>
  <dcterms:modified xsi:type="dcterms:W3CDTF">2026-06-20T18:39:18.909Z</dcterms:modified>
</cp:coreProperties>
</file>

<file path=docProps/custom.xml><?xml version="1.0" encoding="utf-8"?>
<Properties xmlns="http://schemas.openxmlformats.org/officeDocument/2006/custom-properties" xmlns:vt="http://schemas.openxmlformats.org/officeDocument/2006/docPropsVTypes"/>
</file>