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7365D"/>
          <w:sz w:val="48"/>
        </w:rPr>
        <w:t>SQL Database Design</w:t>
      </w:r>
    </w:p>
    <w:p>
      <w:pPr>
        <w:jc w:val="center"/>
      </w:pPr>
      <w:r>
        <w:rPr>
          <w:rFonts w:ascii="Liberation Sans" w:hAnsi="Liberation Sans"/>
          <w:b/>
          <w:color w:val="1F4E78"/>
          <w:sz w:val="32"/>
        </w:rPr>
        <w:t>Treasury Reporting &amp; Dashboard Automation System</w:t>
      </w:r>
    </w:p>
    <w:p>
      <w:pPr>
        <w:jc w:val="center"/>
      </w:pPr>
      <w:r>
        <w:rPr>
          <w:rFonts w:ascii="Liberation Sans" w:hAnsi="Liberation Sans"/>
          <w:b w:val="0"/>
          <w:color w:val="1F2937"/>
          <w:sz w:val="24"/>
        </w:rPr>
        <w:t>Database Design and Data Dictionary Deliverable</w:t>
      </w:r>
    </w:p>
    <w:p/>
    <w:tbl>
      <w:tblPr>
        <w:tblStyle w:val="TableGrid"/>
        <w:tblW w:type="auto" w:w="0"/>
        <w:jc w:val="center"/>
        <w:tblLook w:firstColumn="1" w:firstRow="1" w:lastColumn="0" w:lastRow="0" w:noHBand="0" w:noVBand="1" w:val="04A0"/>
      </w:tblPr>
      <w:tblGrid>
        <w:gridCol w:w="4946"/>
        <w:gridCol w:w="4946"/>
      </w:tblGrid>
      <w:tr>
        <w:trPr>
          <w:cantSplit w:val="true"/>
        </w:trPr>
        <w:tc>
          <w:tcPr>
            <w:tcW w:type="dxa" w:w="3024"/>
            <w:shd w:fill="D9EAF7"/>
            <w:tcMar>
              <w:top w:w="70" w:type="dxa"/>
              <w:start w:w="80" w:type="dxa"/>
              <w:bottom w:w="70" w:type="dxa"/>
              <w:end w:w="80" w:type="dxa"/>
            </w:tcMar>
            <w:vAlign w:val="center"/>
          </w:tcPr>
          <w:p>
            <w:pPr>
              <w:spacing w:after="0" w:before="0"/>
            </w:pPr>
            <w:r>
              <w:rPr>
                <w:rFonts w:ascii="Liberation Sans" w:hAnsi="Liberation Sans"/>
                <w:b w:val="0"/>
                <w:color w:val="1F2937"/>
                <w:sz w:val="18"/>
              </w:rPr>
              <w:t>Document Version</w:t>
            </w:r>
          </w:p>
        </w:tc>
        <w:tc>
          <w:tcPr>
            <w:tcW w:type="dxa" w:w="6048"/>
            <w:tcMar>
              <w:top w:w="70" w:type="dxa"/>
              <w:start w:w="80" w:type="dxa"/>
              <w:bottom w:w="70" w:type="dxa"/>
              <w:end w:w="80" w:type="dxa"/>
            </w:tcMar>
            <w:vAlign w:val="center"/>
          </w:tcPr>
          <w:p>
            <w:pPr>
              <w:spacing w:after="0" w:before="0"/>
            </w:pPr>
            <w:r>
              <w:rPr>
                <w:rFonts w:ascii="Liberation Sans" w:hAnsi="Liberation Sans"/>
                <w:b w:val="0"/>
                <w:color w:val="1F2937"/>
                <w:sz w:val="18"/>
              </w:rPr>
              <w:t>0.1</w:t>
            </w:r>
          </w:p>
        </w:tc>
      </w:tr>
      <w:tr>
        <w:trPr>
          <w:cantSplit w:val="true"/>
        </w:trPr>
        <w:tc>
          <w:tcPr>
            <w:tcW w:type="dxa" w:w="3024"/>
            <w:shd w:fill="D9EAF7"/>
            <w:tcMar>
              <w:top w:w="70" w:type="dxa"/>
              <w:start w:w="80" w:type="dxa"/>
              <w:bottom w:w="70" w:type="dxa"/>
              <w:end w:w="80" w:type="dxa"/>
            </w:tcMar>
            <w:vAlign w:val="center"/>
          </w:tcPr>
          <w:p>
            <w:pPr>
              <w:spacing w:after="0" w:before="0"/>
            </w:pPr>
            <w:r>
              <w:rPr>
                <w:rFonts w:ascii="Liberation Sans" w:hAnsi="Liberation Sans"/>
                <w:b w:val="0"/>
                <w:color w:val="1F2937"/>
                <w:sz w:val="18"/>
              </w:rPr>
              <w:t>Status</w:t>
            </w:r>
          </w:p>
        </w:tc>
        <w:tc>
          <w:tcPr>
            <w:tcW w:type="dxa" w:w="6048"/>
            <w:tcMar>
              <w:top w:w="70" w:type="dxa"/>
              <w:start w:w="80" w:type="dxa"/>
              <w:bottom w:w="70" w:type="dxa"/>
              <w:end w:w="80" w:type="dxa"/>
            </w:tcMar>
            <w:vAlign w:val="center"/>
          </w:tcPr>
          <w:p>
            <w:pPr>
              <w:spacing w:after="0" w:before="0"/>
            </w:pPr>
            <w:r>
              <w:rPr>
                <w:rFonts w:ascii="Liberation Sans" w:hAnsi="Liberation Sans"/>
                <w:b w:val="0"/>
                <w:color w:val="1F2937"/>
                <w:sz w:val="18"/>
              </w:rPr>
              <w:t>Draft for review</w:t>
            </w:r>
          </w:p>
        </w:tc>
      </w:tr>
      <w:tr>
        <w:trPr>
          <w:cantSplit w:val="true"/>
        </w:trPr>
        <w:tc>
          <w:tcPr>
            <w:tcW w:type="dxa" w:w="3024"/>
            <w:shd w:fill="D9EAF7"/>
            <w:tcMar>
              <w:top w:w="70" w:type="dxa"/>
              <w:start w:w="80" w:type="dxa"/>
              <w:bottom w:w="70" w:type="dxa"/>
              <w:end w:w="80" w:type="dxa"/>
            </w:tcMar>
            <w:vAlign w:val="center"/>
          </w:tcPr>
          <w:p>
            <w:pPr>
              <w:spacing w:after="0" w:before="0"/>
            </w:pPr>
            <w:r>
              <w:rPr>
                <w:rFonts w:ascii="Liberation Sans" w:hAnsi="Liberation Sans"/>
                <w:b w:val="0"/>
                <w:color w:val="1F2937"/>
                <w:sz w:val="18"/>
              </w:rPr>
              <w:t>Prepared Date</w:t>
            </w:r>
          </w:p>
        </w:tc>
        <w:tc>
          <w:tcPr>
            <w:tcW w:type="dxa" w:w="6048"/>
            <w:tcMar>
              <w:top w:w="70" w:type="dxa"/>
              <w:start w:w="80" w:type="dxa"/>
              <w:bottom w:w="70" w:type="dxa"/>
              <w:end w:w="80" w:type="dxa"/>
            </w:tcMar>
            <w:vAlign w:val="center"/>
          </w:tcPr>
          <w:p>
            <w:pPr>
              <w:spacing w:after="0" w:before="0"/>
            </w:pPr>
            <w:r>
              <w:rPr>
                <w:rFonts w:ascii="Liberation Sans" w:hAnsi="Liberation Sans"/>
                <w:b w:val="0"/>
                <w:color w:val="1F2937"/>
                <w:sz w:val="18"/>
              </w:rPr>
              <w:t>01 September 2026</w:t>
            </w:r>
          </w:p>
        </w:tc>
      </w:tr>
      <w:tr>
        <w:trPr>
          <w:cantSplit w:val="true"/>
        </w:trPr>
        <w:tc>
          <w:tcPr>
            <w:tcW w:type="dxa" w:w="3024"/>
            <w:shd w:fill="D9EAF7"/>
            <w:tcMar>
              <w:top w:w="70" w:type="dxa"/>
              <w:start w:w="80" w:type="dxa"/>
              <w:bottom w:w="70" w:type="dxa"/>
              <w:end w:w="80" w:type="dxa"/>
            </w:tcMar>
            <w:vAlign w:val="center"/>
          </w:tcPr>
          <w:p>
            <w:pPr>
              <w:spacing w:after="0" w:before="0"/>
            </w:pPr>
            <w:r>
              <w:rPr>
                <w:rFonts w:ascii="Liberation Sans" w:hAnsi="Liberation Sans"/>
                <w:b w:val="0"/>
                <w:color w:val="1F2937"/>
                <w:sz w:val="18"/>
              </w:rPr>
              <w:t>Target Platform</w:t>
            </w:r>
          </w:p>
        </w:tc>
        <w:tc>
          <w:tcPr>
            <w:tcW w:type="dxa" w:w="6048"/>
            <w:tcMar>
              <w:top w:w="70" w:type="dxa"/>
              <w:start w:w="80" w:type="dxa"/>
              <w:bottom w:w="70" w:type="dxa"/>
              <w:end w:w="80" w:type="dxa"/>
            </w:tcMar>
            <w:vAlign w:val="center"/>
          </w:tcPr>
          <w:p>
            <w:pPr>
              <w:spacing w:after="0" w:before="0"/>
            </w:pPr>
            <w:r>
              <w:rPr>
                <w:rFonts w:ascii="Liberation Sans" w:hAnsi="Liberation Sans"/>
                <w:b w:val="0"/>
                <w:color w:val="1F2937"/>
                <w:sz w:val="18"/>
              </w:rPr>
              <w:t>Microsoft SQL Server / ASP.NET Core on IIS</w:t>
            </w:r>
          </w:p>
        </w:tc>
      </w:tr>
      <w:tr>
        <w:trPr>
          <w:cantSplit w:val="true"/>
        </w:trPr>
        <w:tc>
          <w:tcPr>
            <w:tcW w:type="dxa" w:w="3024"/>
            <w:shd w:fill="D9EAF7"/>
            <w:tcMar>
              <w:top w:w="70" w:type="dxa"/>
              <w:start w:w="80" w:type="dxa"/>
              <w:bottom w:w="70" w:type="dxa"/>
              <w:end w:w="80" w:type="dxa"/>
            </w:tcMar>
            <w:vAlign w:val="center"/>
          </w:tcPr>
          <w:p>
            <w:pPr>
              <w:spacing w:after="0" w:before="0"/>
            </w:pPr>
            <w:r>
              <w:rPr>
                <w:rFonts w:ascii="Liberation Sans" w:hAnsi="Liberation Sans"/>
                <w:b w:val="0"/>
                <w:color w:val="1F2937"/>
                <w:sz w:val="18"/>
              </w:rPr>
              <w:t>Classification</w:t>
            </w:r>
          </w:p>
        </w:tc>
        <w:tc>
          <w:tcPr>
            <w:tcW w:type="dxa" w:w="6048"/>
            <w:tcMar>
              <w:top w:w="70" w:type="dxa"/>
              <w:start w:w="80" w:type="dxa"/>
              <w:bottom w:w="70" w:type="dxa"/>
              <w:end w:w="80" w:type="dxa"/>
            </w:tcMar>
            <w:vAlign w:val="center"/>
          </w:tcPr>
          <w:p>
            <w:pPr>
              <w:spacing w:after="0" w:before="0"/>
            </w:pPr>
            <w:r>
              <w:rPr>
                <w:rFonts w:ascii="Liberation Sans" w:hAnsi="Liberation Sans"/>
                <w:b w:val="0"/>
                <w:color w:val="1F2937"/>
                <w:sz w:val="18"/>
              </w:rPr>
              <w:t>Internal Working Document</w:t>
            </w:r>
          </w:p>
        </w:tc>
      </w:tr>
    </w:tbl>
    <w:p>
      <w:pPr>
        <w:spacing w:before="600"/>
        <w:jc w:val="center"/>
      </w:pPr>
      <w:r>
        <w:rPr>
          <w:rFonts w:ascii="Liberation Sans" w:hAnsi="Liberation Sans"/>
          <w:b/>
          <w:color w:val="1F2937"/>
          <w:sz w:val="20"/>
        </w:rPr>
        <w:t>Source basis</w:t>
      </w:r>
    </w:p>
    <w:p>
      <w:pPr>
        <w:spacing w:after="20"/>
        <w:jc w:val="center"/>
      </w:pPr>
      <w:r>
        <w:rPr>
          <w:rFonts w:ascii="Liberation Sans" w:hAnsi="Liberation Sans"/>
          <w:b w:val="0"/>
          <w:color w:val="555555"/>
          <w:sz w:val="18"/>
        </w:rPr>
        <w:t>Business Requirement Document V1.docx</w:t>
      </w:r>
    </w:p>
    <w:p>
      <w:pPr>
        <w:spacing w:after="20"/>
        <w:jc w:val="center"/>
      </w:pPr>
      <w:r>
        <w:rPr>
          <w:rFonts w:ascii="Liberation Sans" w:hAnsi="Liberation Sans"/>
          <w:b w:val="0"/>
          <w:color w:val="555555"/>
          <w:sz w:val="18"/>
        </w:rPr>
        <w:t>FSD_Treasury_Report_Automation_v0.1.docx</w:t>
      </w:r>
    </w:p>
    <w:p>
      <w:pPr>
        <w:spacing w:after="20"/>
        <w:jc w:val="center"/>
      </w:pPr>
      <w:r>
        <w:rPr>
          <w:rFonts w:ascii="Liberation Sans" w:hAnsi="Liberation Sans"/>
          <w:b w:val="0"/>
          <w:color w:val="555555"/>
          <w:sz w:val="18"/>
        </w:rPr>
        <w:t>Treasury report as on 15Aug2026.xlsx</w:t>
      </w:r>
    </w:p>
    <w:p>
      <w:r>
        <w:br w:type="page"/>
      </w:r>
    </w:p>
    <w:p>
      <w:pPr>
        <w:pStyle w:val="Heading1"/>
        <w:spacing w:before="200" w:after="100"/>
      </w:pPr>
      <w:r>
        <w:rPr>
          <w:rFonts w:ascii="Liberation Sans" w:hAnsi="Liberation Sans"/>
          <w:b/>
          <w:color w:val="17365D"/>
          <w:sz w:val="30"/>
        </w:rPr>
        <w:t>0. Document Control and Source Basis</w:t>
      </w:r>
    </w:p>
    <w:tbl>
      <w:tblPr>
        <w:tblStyle w:val="TableGrid"/>
        <w:tblW w:type="auto" w:w="0"/>
        <w:jc w:val="center"/>
        <w:tblLook w:firstColumn="1" w:firstRow="1" w:lastColumn="0" w:lastRow="0" w:noHBand="0" w:noVBand="1" w:val="04A0"/>
      </w:tblPr>
      <w:tblGrid>
        <w:gridCol w:w="4946"/>
        <w:gridCol w:w="4946"/>
      </w:tblGrid>
      <w:tr>
        <w:trPr>
          <w:cantSplit w:val="true"/>
          <w:tblHeader w:val="true"/>
        </w:trPr>
        <w:tc>
          <w:tcPr>
            <w:tcW w:type="dxa" w:w="2376"/>
            <w:tcMar>
              <w:top w:w="70" w:type="dxa"/>
              <w:start w:w="80" w:type="dxa"/>
              <w:bottom w:w="70" w:type="dxa"/>
              <w:end w:w="80" w:type="dxa"/>
            </w:tcMar>
            <w:vAlign w:val="center"/>
            <w:shd w:fill="1F4E78"/>
          </w:tcPr>
          <w:p>
            <w:pPr>
              <w:spacing w:after="0" w:before="0"/>
            </w:pPr>
            <w:r>
              <w:rPr>
                <w:rFonts w:ascii="Liberation Sans" w:hAnsi="Liberation Sans"/>
                <w:b/>
                <w:color w:val="FFFFFF"/>
                <w:sz w:val="17"/>
              </w:rPr>
              <w:t>Item</w:t>
            </w:r>
          </w:p>
        </w:tc>
        <w:tc>
          <w:tcPr>
            <w:tcW w:type="dxa" w:w="7632"/>
            <w:tcMar>
              <w:top w:w="70" w:type="dxa"/>
              <w:start w:w="80" w:type="dxa"/>
              <w:bottom w:w="70" w:type="dxa"/>
              <w:end w:w="80" w:type="dxa"/>
            </w:tcMar>
            <w:vAlign w:val="center"/>
            <w:shd w:fill="1F4E78"/>
          </w:tcPr>
          <w:p>
            <w:pPr>
              <w:spacing w:after="0" w:before="0"/>
            </w:pPr>
            <w:r>
              <w:rPr>
                <w:rFonts w:ascii="Liberation Sans" w:hAnsi="Liberation Sans"/>
                <w:b/>
                <w:color w:val="FFFFFF"/>
                <w:sz w:val="17"/>
              </w:rPr>
              <w:t>Detail</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7"/>
              </w:rPr>
              <w:t>Purpose</w:t>
            </w:r>
          </w:p>
        </w:tc>
        <w:tc>
          <w:tcPr>
            <w:tcW w:type="dxa" w:w="7632"/>
            <w:tcMar>
              <w:top w:w="70" w:type="dxa"/>
              <w:start w:w="80" w:type="dxa"/>
              <w:bottom w:w="70" w:type="dxa"/>
              <w:end w:w="80" w:type="dxa"/>
            </w:tcMar>
            <w:vAlign w:val="center"/>
          </w:tcPr>
          <w:p>
            <w:pPr>
              <w:spacing w:after="0" w:before="0"/>
            </w:pPr>
            <w:r>
              <w:rPr>
                <w:rFonts w:ascii="Liberation Sans" w:hAnsi="Liberation Sans"/>
                <w:b w:val="0"/>
                <w:color w:val="1F2937"/>
                <w:sz w:val="17"/>
              </w:rPr>
              <w:t>Translate the Treasury BRD, FSD and current Excel model into an implementable SQL Server logical/physical design and developer-oriented data dictionary.</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7"/>
              </w:rPr>
              <w:t>Primary business source</w:t>
            </w:r>
          </w:p>
        </w:tc>
        <w:tc>
          <w:tcPr>
            <w:tcW w:type="dxa" w:w="7632"/>
            <w:tcMar>
              <w:top w:w="70" w:type="dxa"/>
              <w:start w:w="80" w:type="dxa"/>
              <w:bottom w:w="70" w:type="dxa"/>
              <w:end w:w="80" w:type="dxa"/>
            </w:tcMar>
            <w:vAlign w:val="center"/>
          </w:tcPr>
          <w:p>
            <w:pPr>
              <w:spacing w:after="0" w:before="0"/>
            </w:pPr>
            <w:r>
              <w:rPr>
                <w:rFonts w:ascii="Liberation Sans" w:hAnsi="Liberation Sans"/>
                <w:b w:val="0"/>
                <w:color w:val="1F2937"/>
                <w:sz w:val="17"/>
              </w:rPr>
              <w:t>Business Requirement Document V1.docx</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7"/>
              </w:rPr>
              <w:t>Functional design source</w:t>
            </w:r>
          </w:p>
        </w:tc>
        <w:tc>
          <w:tcPr>
            <w:tcW w:type="dxa" w:w="7632"/>
            <w:tcMar>
              <w:top w:w="70" w:type="dxa"/>
              <w:start w:w="80" w:type="dxa"/>
              <w:bottom w:w="70" w:type="dxa"/>
              <w:end w:w="80" w:type="dxa"/>
            </w:tcMar>
            <w:vAlign w:val="center"/>
          </w:tcPr>
          <w:p>
            <w:pPr>
              <w:spacing w:after="0" w:before="0"/>
            </w:pPr>
            <w:r>
              <w:rPr>
                <w:rFonts w:ascii="Liberation Sans" w:hAnsi="Liberation Sans"/>
                <w:b w:val="0"/>
                <w:color w:val="1F2937"/>
                <w:sz w:val="17"/>
              </w:rPr>
              <w:t>FSD_Treasury_Report_Automation_v0.1.docx</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7"/>
              </w:rPr>
              <w:t>Current data/calculation reference</w:t>
            </w:r>
          </w:p>
        </w:tc>
        <w:tc>
          <w:tcPr>
            <w:tcW w:type="dxa" w:w="7632"/>
            <w:tcMar>
              <w:top w:w="70" w:type="dxa"/>
              <w:start w:w="80" w:type="dxa"/>
              <w:bottom w:w="70" w:type="dxa"/>
              <w:end w:w="80" w:type="dxa"/>
            </w:tcMar>
            <w:vAlign w:val="center"/>
          </w:tcPr>
          <w:p>
            <w:pPr>
              <w:spacing w:after="0" w:before="0"/>
            </w:pPr>
            <w:r>
              <w:rPr>
                <w:rFonts w:ascii="Liberation Sans" w:hAnsi="Liberation Sans"/>
                <w:b w:val="0"/>
                <w:color w:val="1F2937"/>
                <w:sz w:val="17"/>
              </w:rPr>
              <w:t>Treasury report as on 15Aug2026.xlsx</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7"/>
              </w:rPr>
              <w:t>Companion deliverables</w:t>
            </w:r>
          </w:p>
        </w:tc>
        <w:tc>
          <w:tcPr>
            <w:tcW w:type="dxa" w:w="7632"/>
            <w:tcMar>
              <w:top w:w="70" w:type="dxa"/>
              <w:start w:w="80" w:type="dxa"/>
              <w:bottom w:w="70" w:type="dxa"/>
              <w:end w:w="80" w:type="dxa"/>
            </w:tcMar>
            <w:vAlign w:val="center"/>
          </w:tcPr>
          <w:p>
            <w:pPr>
              <w:spacing w:after="0" w:before="0"/>
            </w:pPr>
            <w:r>
              <w:rPr>
                <w:rFonts w:ascii="Liberation Sans" w:hAnsi="Liberation Sans"/>
                <w:b w:val="0"/>
                <w:color w:val="1F2937"/>
                <w:sz w:val="17"/>
              </w:rPr>
              <w:t>Treasury_SQL_Data_Dictionary_v0.1.xlsx and Treasury_SQL_Server_DDL_v0.1.sql</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7"/>
              </w:rPr>
              <w:t>Design convention</w:t>
            </w:r>
          </w:p>
        </w:tc>
        <w:tc>
          <w:tcPr>
            <w:tcW w:type="dxa" w:w="7632"/>
            <w:tcMar>
              <w:top w:w="70" w:type="dxa"/>
              <w:start w:w="80" w:type="dxa"/>
              <w:bottom w:w="70" w:type="dxa"/>
              <w:end w:w="80" w:type="dxa"/>
            </w:tcMar>
            <w:vAlign w:val="center"/>
          </w:tcPr>
          <w:p>
            <w:pPr>
              <w:spacing w:after="0" w:before="0"/>
            </w:pPr>
            <w:r>
              <w:rPr>
                <w:rFonts w:ascii="Liberation Sans" w:hAnsi="Liberation Sans"/>
                <w:b w:val="0"/>
                <w:color w:val="1F2937"/>
                <w:sz w:val="17"/>
              </w:rPr>
              <w:t>Source = directly supported; Derived = implementation design needed to satisfy source intent; TBD = business/IT decision still required.</w:t>
            </w:r>
          </w:p>
        </w:tc>
      </w:tr>
    </w:tbl>
    <w:p>
      <w:pPr>
        <w:spacing w:after="100" w:line="252" w:lineRule="auto"/>
      </w:pPr>
      <w:r>
        <w:rPr>
          <w:rFonts w:ascii="Liberation Sans" w:hAnsi="Liberation Sans"/>
          <w:b w:val="0"/>
          <w:color w:val="1F2937"/>
          <w:sz w:val="18"/>
        </w:rPr>
        <w:t>The current workbook contains 48 worksheets, including one executive dashboard, six core treasury schedule sheets, one cash-flow detail sheet without an extractable used range, and 40 bank/account source worksheets. The database therefore normalizes repeated account worksheets into master and fact tables instead of reproducing worksheet structures.</w:t>
      </w:r>
    </w:p>
    <w:p>
      <w:pPr>
        <w:spacing w:after="100" w:line="252" w:lineRule="auto"/>
      </w:pPr>
      <w:r>
        <w:rPr>
          <w:rFonts w:ascii="Liberation Sans" w:hAnsi="Liberation Sans"/>
          <w:b w:val="0"/>
          <w:color w:val="1F2937"/>
          <w:sz w:val="18"/>
        </w:rPr>
        <w:t>Workbook observations that affect the database design include hard-coded FX rates, manual liquidity adjustments, shared working-capital limit behavior, broken #REF! dependencies in Debt &amp; Equity/dashboard calculations, and an invalid long-term loan maturity date in the current source. These are treated as master-data rules, explicit adjustments, validation exceptions, or open design items rather than copied as spreadsheet logic.</w:t>
      </w:r>
    </w:p>
    <w:p>
      <w:pPr>
        <w:pStyle w:val="Heading1"/>
        <w:spacing w:before="200" w:after="100"/>
      </w:pPr>
      <w:r>
        <w:rPr>
          <w:rFonts w:ascii="Liberation Sans" w:hAnsi="Liberation Sans"/>
          <w:b/>
          <w:color w:val="17365D"/>
          <w:sz w:val="30"/>
        </w:rPr>
        <w:t>1. Database Design Objectives</w:t>
      </w:r>
    </w:p>
    <w:p>
      <w:pPr>
        <w:pStyle w:val="ListBullet"/>
        <w:spacing w:after="40"/>
        <w:ind w:left="360"/>
      </w:pPr>
      <w:r>
        <w:rPr>
          <w:rFonts w:ascii="Liberation Sans" w:hAnsi="Liberation Sans"/>
          <w:b w:val="0"/>
          <w:color w:val="1F2937"/>
          <w:sz w:val="18"/>
        </w:rPr>
        <w:t>Make SQL Server the authoritative Treasury reporting system of record while retaining Excel only for controlled upload, export, reconciliation and migration support.</w:t>
      </w:r>
    </w:p>
    <w:p>
      <w:pPr>
        <w:pStyle w:val="ListBullet"/>
        <w:spacing w:after="40"/>
        <w:ind w:left="360"/>
      </w:pPr>
      <w:r>
        <w:rPr>
          <w:rFonts w:ascii="Liberation Sans" w:hAnsi="Liberation Sans"/>
          <w:b w:val="0"/>
          <w:color w:val="1F2937"/>
          <w:sz w:val="18"/>
        </w:rPr>
        <w:t>Preserve Business Unit ownership and row-level access while enabling Group consolidation and controlled executive drill-down.</w:t>
      </w:r>
    </w:p>
    <w:p>
      <w:pPr>
        <w:pStyle w:val="ListBullet"/>
        <w:spacing w:after="40"/>
        <w:ind w:left="360"/>
      </w:pPr>
      <w:r>
        <w:rPr>
          <w:rFonts w:ascii="Liberation Sans" w:hAnsi="Liberation Sans"/>
          <w:b w:val="0"/>
          <w:color w:val="1F2937"/>
          <w:sz w:val="18"/>
        </w:rPr>
        <w:t>Keep mutable operational data separate from immutable CFO-approved snapshots so historical reports remain reproducible.</w:t>
      </w:r>
    </w:p>
    <w:p>
      <w:pPr>
        <w:pStyle w:val="ListBullet"/>
        <w:spacing w:after="40"/>
        <w:ind w:left="360"/>
      </w:pPr>
      <w:r>
        <w:rPr>
          <w:rFonts w:ascii="Liberation Sans" w:hAnsi="Liberation Sans"/>
          <w:b w:val="0"/>
          <w:color w:val="1F2937"/>
          <w:sz w:val="18"/>
        </w:rPr>
        <w:t>Replace cell references, hard-coded rates and duplicate worksheet structures with explicit keys, master data, dated facts and auditable business rules.</w:t>
      </w:r>
    </w:p>
    <w:p>
      <w:pPr>
        <w:pStyle w:val="ListBullet"/>
        <w:spacing w:after="40"/>
        <w:ind w:left="360"/>
      </w:pPr>
      <w:r>
        <w:rPr>
          <w:rFonts w:ascii="Liberation Sans" w:hAnsi="Liberation Sans"/>
          <w:b w:val="0"/>
          <w:color w:val="1F2937"/>
          <w:sz w:val="18"/>
        </w:rPr>
        <w:t>Support maker-checker workflow, comments, exceptions, return/resubmission, reopening, versioning, publication and full audit history.</w:t>
      </w:r>
    </w:p>
    <w:p>
      <w:pPr>
        <w:pStyle w:val="ListBullet"/>
        <w:spacing w:after="40"/>
        <w:ind w:left="360"/>
      </w:pPr>
      <w:r>
        <w:rPr>
          <w:rFonts w:ascii="Liberation Sans" w:hAnsi="Liberation Sans"/>
          <w:b w:val="0"/>
          <w:color w:val="1F2937"/>
          <w:sz w:val="18"/>
        </w:rPr>
        <w:t>Provide a schema that can extend to 13-week forecasting, transaction-level bank parsing, scenario planning and advanced analytics without redesigning core entities.</w:t>
      </w:r>
    </w:p>
    <w:p>
      <w:pPr>
        <w:pStyle w:val="Heading1"/>
        <w:spacing w:before="200" w:after="100"/>
      </w:pPr>
      <w:r>
        <w:rPr>
          <w:rFonts w:ascii="Liberation Sans" w:hAnsi="Liberation Sans"/>
          <w:b/>
          <w:color w:val="17365D"/>
          <w:sz w:val="30"/>
        </w:rPr>
        <w:t>2. SQL Server Schema Organization</w:t>
      </w:r>
    </w:p>
    <w:tbl>
      <w:tblPr>
        <w:tblStyle w:val="TableGrid"/>
        <w:tblW w:type="auto" w:w="0"/>
        <w:jc w:val="center"/>
        <w:tblLook w:firstColumn="1" w:firstRow="1" w:lastColumn="0" w:lastRow="0" w:noHBand="0" w:noVBand="1" w:val="04A0"/>
      </w:tblPr>
      <w:tblGrid>
        <w:gridCol w:w="3298"/>
        <w:gridCol w:w="3298"/>
        <w:gridCol w:w="3298"/>
      </w:tblGrid>
      <w:tr>
        <w:trPr>
          <w:cantSplit w:val="true"/>
          <w:tblHeader w:val="true"/>
        </w:trPr>
        <w:tc>
          <w:tcPr>
            <w:tcW w:type="dxa" w:w="1512"/>
            <w:tcMar>
              <w:top w:w="70" w:type="dxa"/>
              <w:start w:w="80" w:type="dxa"/>
              <w:bottom w:w="70" w:type="dxa"/>
              <w:end w:w="80" w:type="dxa"/>
            </w:tcMar>
            <w:vAlign w:val="center"/>
            <w:shd w:fill="1F4E78"/>
          </w:tcPr>
          <w:p>
            <w:pPr>
              <w:spacing w:after="0" w:before="0"/>
            </w:pPr>
            <w:r>
              <w:rPr>
                <w:rFonts w:ascii="Liberation Sans" w:hAnsi="Liberation Sans"/>
                <w:b/>
                <w:color w:val="FFFFFF"/>
                <w:sz w:val="17"/>
              </w:rPr>
              <w:t>Schema</w:t>
            </w:r>
          </w:p>
        </w:tc>
        <w:tc>
          <w:tcPr>
            <w:tcW w:type="dxa" w:w="1008"/>
            <w:tcMar>
              <w:top w:w="70" w:type="dxa"/>
              <w:start w:w="80" w:type="dxa"/>
              <w:bottom w:w="70" w:type="dxa"/>
              <w:end w:w="80" w:type="dxa"/>
            </w:tcMar>
            <w:vAlign w:val="center"/>
            <w:shd w:fill="1F4E78"/>
          </w:tcPr>
          <w:p>
            <w:pPr>
              <w:spacing w:after="0" w:before="0"/>
            </w:pPr>
            <w:r>
              <w:rPr>
                <w:rFonts w:ascii="Liberation Sans" w:hAnsi="Liberation Sans"/>
                <w:b/>
                <w:color w:val="FFFFFF"/>
                <w:sz w:val="17"/>
              </w:rPr>
              <w:t>Tables</w:t>
            </w:r>
          </w:p>
        </w:tc>
        <w:tc>
          <w:tcPr>
            <w:tcW w:type="dxa" w:w="7488"/>
            <w:tcMar>
              <w:top w:w="70" w:type="dxa"/>
              <w:start w:w="80" w:type="dxa"/>
              <w:bottom w:w="70" w:type="dxa"/>
              <w:end w:w="80" w:type="dxa"/>
            </w:tcMar>
            <w:vAlign w:val="center"/>
            <w:shd w:fill="1F4E78"/>
          </w:tcPr>
          <w:p>
            <w:pPr>
              <w:spacing w:after="0" w:before="0"/>
            </w:pPr>
            <w:r>
              <w:rPr>
                <w:rFonts w:ascii="Liberation Sans" w:hAnsi="Liberation Sans"/>
                <w:b/>
                <w:color w:val="FFFFFF"/>
                <w:sz w:val="17"/>
              </w:rPr>
              <w:t>Responsibility</w:t>
            </w:r>
          </w:p>
        </w:tc>
      </w:tr>
      <w:tr>
        <w:trPr>
          <w:cantSplit w:val="true"/>
        </w:trPr>
        <w:tc>
          <w:tcPr>
            <w:tcW w:type="dxa" w:w="1512"/>
            <w:tcMar>
              <w:top w:w="70" w:type="dxa"/>
              <w:start w:w="80" w:type="dxa"/>
              <w:bottom w:w="70" w:type="dxa"/>
              <w:end w:w="80" w:type="dxa"/>
            </w:tcMar>
            <w:vAlign w:val="center"/>
          </w:tcPr>
          <w:p>
            <w:pPr>
              <w:spacing w:after="0" w:before="0"/>
            </w:pPr>
            <w:r>
              <w:rPr>
                <w:rFonts w:ascii="Liberation Sans" w:hAnsi="Liberation Sans"/>
                <w:b w:val="0"/>
                <w:color w:val="1F2937"/>
                <w:sz w:val="17"/>
              </w:rPr>
              <w:t>audit</w:t>
            </w:r>
          </w:p>
        </w:tc>
        <w:tc>
          <w:tcPr>
            <w:tcW w:type="dxa" w:w="1008"/>
            <w:tcMar>
              <w:top w:w="70" w:type="dxa"/>
              <w:start w:w="80" w:type="dxa"/>
              <w:bottom w:w="70" w:type="dxa"/>
              <w:end w:w="80" w:type="dxa"/>
            </w:tcMar>
            <w:vAlign w:val="center"/>
          </w:tcPr>
          <w:p>
            <w:pPr>
              <w:spacing w:after="0" w:before="0"/>
            </w:pPr>
            <w:r>
              <w:rPr>
                <w:rFonts w:ascii="Liberation Sans" w:hAnsi="Liberation Sans"/>
                <w:b w:val="0"/>
                <w:color w:val="1F2937"/>
                <w:sz w:val="17"/>
              </w:rPr>
              <w:t>1</w:t>
            </w:r>
          </w:p>
        </w:tc>
        <w:tc>
          <w:tcPr>
            <w:tcW w:type="dxa" w:w="7488"/>
            <w:tcMar>
              <w:top w:w="70" w:type="dxa"/>
              <w:start w:w="80" w:type="dxa"/>
              <w:bottom w:w="70" w:type="dxa"/>
              <w:end w:w="80" w:type="dxa"/>
            </w:tcMar>
            <w:vAlign w:val="center"/>
          </w:tcPr>
          <w:p>
            <w:pPr>
              <w:spacing w:after="0" w:before="0"/>
            </w:pPr>
            <w:r>
              <w:rPr>
                <w:rFonts w:ascii="Liberation Sans" w:hAnsi="Liberation Sans"/>
                <w:b w:val="0"/>
                <w:color w:val="1F2937"/>
                <w:sz w:val="17"/>
              </w:rPr>
              <w:t>Append-only audit events.</w:t>
            </w:r>
          </w:p>
        </w:tc>
      </w:tr>
      <w:tr>
        <w:trPr>
          <w:cantSplit w:val="true"/>
        </w:trPr>
        <w:tc>
          <w:tcPr>
            <w:tcW w:type="dxa" w:w="1512"/>
            <w:tcMar>
              <w:top w:w="70" w:type="dxa"/>
              <w:start w:w="80" w:type="dxa"/>
              <w:bottom w:w="70" w:type="dxa"/>
              <w:end w:w="80" w:type="dxa"/>
            </w:tcMar>
            <w:vAlign w:val="center"/>
          </w:tcPr>
          <w:p>
            <w:pPr>
              <w:spacing w:after="0" w:before="0"/>
            </w:pPr>
            <w:r>
              <w:rPr>
                <w:rFonts w:ascii="Liberation Sans" w:hAnsi="Liberation Sans"/>
                <w:b w:val="0"/>
                <w:color w:val="1F2937"/>
                <w:sz w:val="17"/>
              </w:rPr>
              <w:t>banking</w:t>
            </w:r>
          </w:p>
        </w:tc>
        <w:tc>
          <w:tcPr>
            <w:tcW w:type="dxa" w:w="1008"/>
            <w:tcMar>
              <w:top w:w="70" w:type="dxa"/>
              <w:start w:w="80" w:type="dxa"/>
              <w:bottom w:w="70" w:type="dxa"/>
              <w:end w:w="80" w:type="dxa"/>
            </w:tcMar>
            <w:vAlign w:val="center"/>
          </w:tcPr>
          <w:p>
            <w:pPr>
              <w:spacing w:after="0" w:before="0"/>
            </w:pPr>
            <w:r>
              <w:rPr>
                <w:rFonts w:ascii="Liberation Sans" w:hAnsi="Liberation Sans"/>
                <w:b w:val="0"/>
                <w:color w:val="1F2937"/>
                <w:sz w:val="17"/>
              </w:rPr>
              <w:t>3</w:t>
            </w:r>
          </w:p>
        </w:tc>
        <w:tc>
          <w:tcPr>
            <w:tcW w:type="dxa" w:w="7488"/>
            <w:tcMar>
              <w:top w:w="70" w:type="dxa"/>
              <w:start w:w="80" w:type="dxa"/>
              <w:bottom w:w="70" w:type="dxa"/>
              <w:end w:w="80" w:type="dxa"/>
            </w:tcMar>
            <w:vAlign w:val="center"/>
          </w:tcPr>
          <w:p>
            <w:pPr>
              <w:spacing w:after="0" w:before="0"/>
            </w:pPr>
            <w:r>
              <w:rPr>
                <w:rFonts w:ascii="Liberation Sans" w:hAnsi="Liberation Sans"/>
                <w:b w:val="0"/>
                <w:color w:val="1F2937"/>
                <w:sz w:val="17"/>
              </w:rPr>
              <w:t>Bank account master, bank balances and later transaction detail.</w:t>
            </w:r>
          </w:p>
        </w:tc>
      </w:tr>
      <w:tr>
        <w:trPr>
          <w:cantSplit w:val="true"/>
        </w:trPr>
        <w:tc>
          <w:tcPr>
            <w:tcW w:type="dxa" w:w="1512"/>
            <w:tcMar>
              <w:top w:w="70" w:type="dxa"/>
              <w:start w:w="80" w:type="dxa"/>
              <w:bottom w:w="70" w:type="dxa"/>
              <w:end w:w="80" w:type="dxa"/>
            </w:tcMar>
            <w:vAlign w:val="center"/>
          </w:tcPr>
          <w:p>
            <w:pPr>
              <w:spacing w:after="0" w:before="0"/>
            </w:pPr>
            <w:r>
              <w:rPr>
                <w:rFonts w:ascii="Liberation Sans" w:hAnsi="Liberation Sans"/>
                <w:b w:val="0"/>
                <w:color w:val="1F2937"/>
                <w:sz w:val="17"/>
              </w:rPr>
              <w:t>cfg</w:t>
            </w:r>
          </w:p>
        </w:tc>
        <w:tc>
          <w:tcPr>
            <w:tcW w:type="dxa" w:w="1008"/>
            <w:tcMar>
              <w:top w:w="70" w:type="dxa"/>
              <w:start w:w="80" w:type="dxa"/>
              <w:bottom w:w="70" w:type="dxa"/>
              <w:end w:w="80" w:type="dxa"/>
            </w:tcMar>
            <w:vAlign w:val="center"/>
          </w:tcPr>
          <w:p>
            <w:pPr>
              <w:spacing w:after="0" w:before="0"/>
            </w:pPr>
            <w:r>
              <w:rPr>
                <w:rFonts w:ascii="Liberation Sans" w:hAnsi="Liberation Sans"/>
                <w:b w:val="0"/>
                <w:color w:val="1F2937"/>
                <w:sz w:val="17"/>
              </w:rPr>
              <w:t>1</w:t>
            </w:r>
          </w:p>
        </w:tc>
        <w:tc>
          <w:tcPr>
            <w:tcW w:type="dxa" w:w="7488"/>
            <w:tcMar>
              <w:top w:w="70" w:type="dxa"/>
              <w:start w:w="80" w:type="dxa"/>
              <w:bottom w:w="70" w:type="dxa"/>
              <w:end w:w="80" w:type="dxa"/>
            </w:tcMar>
            <w:vAlign w:val="center"/>
          </w:tcPr>
          <w:p>
            <w:pPr>
              <w:spacing w:after="0" w:before="0"/>
            </w:pPr>
            <w:r>
              <w:rPr>
                <w:rFonts w:ascii="Liberation Sans" w:hAnsi="Liberation Sans"/>
                <w:b w:val="0"/>
                <w:color w:val="1F2937"/>
                <w:sz w:val="17"/>
              </w:rPr>
              <w:t>Effective-dated thresholds and business configuration.</w:t>
            </w:r>
          </w:p>
        </w:tc>
      </w:tr>
      <w:tr>
        <w:trPr>
          <w:cantSplit w:val="true"/>
        </w:trPr>
        <w:tc>
          <w:tcPr>
            <w:tcW w:type="dxa" w:w="1512"/>
            <w:tcMar>
              <w:top w:w="70" w:type="dxa"/>
              <w:start w:w="80" w:type="dxa"/>
              <w:bottom w:w="70" w:type="dxa"/>
              <w:end w:w="80" w:type="dxa"/>
            </w:tcMar>
            <w:vAlign w:val="center"/>
          </w:tcPr>
          <w:p>
            <w:pPr>
              <w:spacing w:after="0" w:before="0"/>
            </w:pPr>
            <w:r>
              <w:rPr>
                <w:rFonts w:ascii="Liberation Sans" w:hAnsi="Liberation Sans"/>
                <w:b w:val="0"/>
                <w:color w:val="1F2937"/>
                <w:sz w:val="17"/>
              </w:rPr>
              <w:t>ingest</w:t>
            </w:r>
          </w:p>
        </w:tc>
        <w:tc>
          <w:tcPr>
            <w:tcW w:type="dxa" w:w="1008"/>
            <w:tcMar>
              <w:top w:w="70" w:type="dxa"/>
              <w:start w:w="80" w:type="dxa"/>
              <w:bottom w:w="70" w:type="dxa"/>
              <w:end w:w="80" w:type="dxa"/>
            </w:tcMar>
            <w:vAlign w:val="center"/>
          </w:tcPr>
          <w:p>
            <w:pPr>
              <w:spacing w:after="0" w:before="0"/>
            </w:pPr>
            <w:r>
              <w:rPr>
                <w:rFonts w:ascii="Liberation Sans" w:hAnsi="Liberation Sans"/>
                <w:b w:val="0"/>
                <w:color w:val="1F2937"/>
                <w:sz w:val="17"/>
              </w:rPr>
              <w:t>6</w:t>
            </w:r>
          </w:p>
        </w:tc>
        <w:tc>
          <w:tcPr>
            <w:tcW w:type="dxa" w:w="7488"/>
            <w:tcMar>
              <w:top w:w="70" w:type="dxa"/>
              <w:start w:w="80" w:type="dxa"/>
              <w:bottom w:w="70" w:type="dxa"/>
              <w:end w:w="80" w:type="dxa"/>
            </w:tcMar>
            <w:vAlign w:val="center"/>
          </w:tcPr>
          <w:p>
            <w:pPr>
              <w:spacing w:after="0" w:before="0"/>
            </w:pPr>
            <w:r>
              <w:rPr>
                <w:rFonts w:ascii="Liberation Sans" w:hAnsi="Liberation Sans"/>
                <w:b w:val="0"/>
                <w:color w:val="1F2937"/>
                <w:sz w:val="17"/>
              </w:rPr>
              <w:t>Excel template definitions, upload batches, staging rows, validation errors and attachments.</w:t>
            </w:r>
          </w:p>
        </w:tc>
      </w:tr>
      <w:tr>
        <w:trPr>
          <w:cantSplit w:val="true"/>
        </w:trPr>
        <w:tc>
          <w:tcPr>
            <w:tcW w:type="dxa" w:w="1512"/>
            <w:tcMar>
              <w:top w:w="70" w:type="dxa"/>
              <w:start w:w="80" w:type="dxa"/>
              <w:bottom w:w="70" w:type="dxa"/>
              <w:end w:w="80" w:type="dxa"/>
            </w:tcMar>
            <w:vAlign w:val="center"/>
          </w:tcPr>
          <w:p>
            <w:pPr>
              <w:spacing w:after="0" w:before="0"/>
            </w:pPr>
            <w:r>
              <w:rPr>
                <w:rFonts w:ascii="Liberation Sans" w:hAnsi="Liberation Sans"/>
                <w:b w:val="0"/>
                <w:color w:val="1F2937"/>
                <w:sz w:val="17"/>
              </w:rPr>
              <w:t>notify</w:t>
            </w:r>
          </w:p>
        </w:tc>
        <w:tc>
          <w:tcPr>
            <w:tcW w:type="dxa" w:w="1008"/>
            <w:tcMar>
              <w:top w:w="70" w:type="dxa"/>
              <w:start w:w="80" w:type="dxa"/>
              <w:bottom w:w="70" w:type="dxa"/>
              <w:end w:w="80" w:type="dxa"/>
            </w:tcMar>
            <w:vAlign w:val="center"/>
          </w:tcPr>
          <w:p>
            <w:pPr>
              <w:spacing w:after="0" w:before="0"/>
            </w:pPr>
            <w:r>
              <w:rPr>
                <w:rFonts w:ascii="Liberation Sans" w:hAnsi="Liberation Sans"/>
                <w:b w:val="0"/>
                <w:color w:val="1F2937"/>
                <w:sz w:val="17"/>
              </w:rPr>
              <w:t>1</w:t>
            </w:r>
          </w:p>
        </w:tc>
        <w:tc>
          <w:tcPr>
            <w:tcW w:type="dxa" w:w="7488"/>
            <w:tcMar>
              <w:top w:w="70" w:type="dxa"/>
              <w:start w:w="80" w:type="dxa"/>
              <w:bottom w:w="70" w:type="dxa"/>
              <w:end w:w="80" w:type="dxa"/>
            </w:tcMar>
            <w:vAlign w:val="center"/>
          </w:tcPr>
          <w:p>
            <w:pPr>
              <w:spacing w:after="0" w:before="0"/>
            </w:pPr>
            <w:r>
              <w:rPr>
                <w:rFonts w:ascii="Liberation Sans" w:hAnsi="Liberation Sans"/>
                <w:b w:val="0"/>
                <w:color w:val="1F2937"/>
                <w:sz w:val="17"/>
              </w:rPr>
              <w:t>Workflow/deadline notification queue and delivery history.</w:t>
            </w:r>
          </w:p>
        </w:tc>
      </w:tr>
      <w:tr>
        <w:trPr>
          <w:cantSplit w:val="true"/>
        </w:trPr>
        <w:tc>
          <w:tcPr>
            <w:tcW w:type="dxa" w:w="1512"/>
            <w:tcMar>
              <w:top w:w="70" w:type="dxa"/>
              <w:start w:w="80" w:type="dxa"/>
              <w:bottom w:w="70" w:type="dxa"/>
              <w:end w:w="80" w:type="dxa"/>
            </w:tcMar>
            <w:vAlign w:val="center"/>
          </w:tcPr>
          <w:p>
            <w:pPr>
              <w:spacing w:after="0" w:before="0"/>
            </w:pPr>
            <w:r>
              <w:rPr>
                <w:rFonts w:ascii="Liberation Sans" w:hAnsi="Liberation Sans"/>
                <w:b w:val="0"/>
                <w:color w:val="1F2937"/>
                <w:sz w:val="17"/>
              </w:rPr>
              <w:t>org</w:t>
            </w:r>
          </w:p>
        </w:tc>
        <w:tc>
          <w:tcPr>
            <w:tcW w:type="dxa" w:w="1008"/>
            <w:tcMar>
              <w:top w:w="70" w:type="dxa"/>
              <w:start w:w="80" w:type="dxa"/>
              <w:bottom w:w="70" w:type="dxa"/>
              <w:end w:w="80" w:type="dxa"/>
            </w:tcMar>
            <w:vAlign w:val="center"/>
          </w:tcPr>
          <w:p>
            <w:pPr>
              <w:spacing w:after="0" w:before="0"/>
            </w:pPr>
            <w:r>
              <w:rPr>
                <w:rFonts w:ascii="Liberation Sans" w:hAnsi="Liberation Sans"/>
                <w:b w:val="0"/>
                <w:color w:val="1F2937"/>
                <w:sz w:val="17"/>
              </w:rPr>
              <w:t>4</w:t>
            </w:r>
          </w:p>
        </w:tc>
        <w:tc>
          <w:tcPr>
            <w:tcW w:type="dxa" w:w="7488"/>
            <w:tcMar>
              <w:top w:w="70" w:type="dxa"/>
              <w:start w:w="80" w:type="dxa"/>
              <w:bottom w:w="70" w:type="dxa"/>
              <w:end w:w="80" w:type="dxa"/>
            </w:tcMar>
            <w:vAlign w:val="center"/>
          </w:tcPr>
          <w:p>
            <w:pPr>
              <w:spacing w:after="0" w:before="0"/>
            </w:pPr>
            <w:r>
              <w:rPr>
                <w:rFonts w:ascii="Liberation Sans" w:hAnsi="Liberation Sans"/>
                <w:b w:val="0"/>
                <w:color w:val="1F2937"/>
                <w:sz w:val="17"/>
              </w:rPr>
              <w:t>Organization, business groups, Business Units and legal entities.</w:t>
            </w:r>
          </w:p>
        </w:tc>
      </w:tr>
      <w:tr>
        <w:trPr>
          <w:cantSplit w:val="true"/>
        </w:trPr>
        <w:tc>
          <w:tcPr>
            <w:tcW w:type="dxa" w:w="1512"/>
            <w:tcMar>
              <w:top w:w="70" w:type="dxa"/>
              <w:start w:w="80" w:type="dxa"/>
              <w:bottom w:w="70" w:type="dxa"/>
              <w:end w:w="80" w:type="dxa"/>
            </w:tcMar>
            <w:vAlign w:val="center"/>
          </w:tcPr>
          <w:p>
            <w:pPr>
              <w:spacing w:after="0" w:before="0"/>
            </w:pPr>
            <w:r>
              <w:rPr>
                <w:rFonts w:ascii="Liberation Sans" w:hAnsi="Liberation Sans"/>
                <w:b w:val="0"/>
                <w:color w:val="1F2937"/>
                <w:sz w:val="17"/>
              </w:rPr>
              <w:t>ref</w:t>
            </w:r>
          </w:p>
        </w:tc>
        <w:tc>
          <w:tcPr>
            <w:tcW w:type="dxa" w:w="1008"/>
            <w:tcMar>
              <w:top w:w="70" w:type="dxa"/>
              <w:start w:w="80" w:type="dxa"/>
              <w:bottom w:w="70" w:type="dxa"/>
              <w:end w:w="80" w:type="dxa"/>
            </w:tcMar>
            <w:vAlign w:val="center"/>
          </w:tcPr>
          <w:p>
            <w:pPr>
              <w:spacing w:after="0" w:before="0"/>
            </w:pPr>
            <w:r>
              <w:rPr>
                <w:rFonts w:ascii="Liberation Sans" w:hAnsi="Liberation Sans"/>
                <w:b w:val="0"/>
                <w:color w:val="1F2937"/>
                <w:sz w:val="17"/>
              </w:rPr>
              <w:t>7</w:t>
            </w:r>
          </w:p>
        </w:tc>
        <w:tc>
          <w:tcPr>
            <w:tcW w:type="dxa" w:w="7488"/>
            <w:tcMar>
              <w:top w:w="70" w:type="dxa"/>
              <w:start w:w="80" w:type="dxa"/>
              <w:bottom w:w="70" w:type="dxa"/>
              <w:end w:w="80" w:type="dxa"/>
            </w:tcMar>
            <w:vAlign w:val="center"/>
          </w:tcPr>
          <w:p>
            <w:pPr>
              <w:spacing w:after="0" w:before="0"/>
            </w:pPr>
            <w:r>
              <w:rPr>
                <w:rFonts w:ascii="Liberation Sans" w:hAnsi="Liberation Sans"/>
                <w:b w:val="0"/>
                <w:color w:val="1F2937"/>
                <w:sz w:val="17"/>
              </w:rPr>
              <w:t>Banks, currencies, countries and controlled reference types.</w:t>
            </w:r>
          </w:p>
        </w:tc>
      </w:tr>
      <w:tr>
        <w:trPr>
          <w:cantSplit w:val="true"/>
        </w:trPr>
        <w:tc>
          <w:tcPr>
            <w:tcW w:type="dxa" w:w="1512"/>
            <w:tcMar>
              <w:top w:w="70" w:type="dxa"/>
              <w:start w:w="80" w:type="dxa"/>
              <w:bottom w:w="70" w:type="dxa"/>
              <w:end w:w="80" w:type="dxa"/>
            </w:tcMar>
            <w:vAlign w:val="center"/>
          </w:tcPr>
          <w:p>
            <w:pPr>
              <w:spacing w:after="0" w:before="0"/>
            </w:pPr>
            <w:r>
              <w:rPr>
                <w:rFonts w:ascii="Liberation Sans" w:hAnsi="Liberation Sans"/>
                <w:b w:val="0"/>
                <w:color w:val="1F2937"/>
                <w:sz w:val="17"/>
              </w:rPr>
              <w:t>rpt</w:t>
            </w:r>
          </w:p>
        </w:tc>
        <w:tc>
          <w:tcPr>
            <w:tcW w:type="dxa" w:w="1008"/>
            <w:tcMar>
              <w:top w:w="70" w:type="dxa"/>
              <w:start w:w="80" w:type="dxa"/>
              <w:bottom w:w="70" w:type="dxa"/>
              <w:end w:w="80" w:type="dxa"/>
            </w:tcMar>
            <w:vAlign w:val="center"/>
          </w:tcPr>
          <w:p>
            <w:pPr>
              <w:spacing w:after="0" w:before="0"/>
            </w:pPr>
            <w:r>
              <w:rPr>
                <w:rFonts w:ascii="Liberation Sans" w:hAnsi="Liberation Sans"/>
                <w:b w:val="0"/>
                <w:color w:val="1F2937"/>
                <w:sz w:val="17"/>
              </w:rPr>
              <w:t>7</w:t>
            </w:r>
          </w:p>
        </w:tc>
        <w:tc>
          <w:tcPr>
            <w:tcW w:type="dxa" w:w="7488"/>
            <w:tcMar>
              <w:top w:w="70" w:type="dxa"/>
              <w:start w:w="80" w:type="dxa"/>
              <w:bottom w:w="70" w:type="dxa"/>
              <w:end w:w="80" w:type="dxa"/>
            </w:tcMar>
            <w:vAlign w:val="center"/>
          </w:tcPr>
          <w:p>
            <w:pPr>
              <w:spacing w:after="0" w:before="0"/>
            </w:pPr>
            <w:r>
              <w:rPr>
                <w:rFonts w:ascii="Liberation Sans" w:hAnsi="Liberation Sans"/>
                <w:b w:val="0"/>
                <w:color w:val="1F2937"/>
                <w:sz w:val="17"/>
              </w:rPr>
              <w:t>Reporting periods, versions, BU submissions and immutable approved snapshots.</w:t>
            </w:r>
          </w:p>
        </w:tc>
      </w:tr>
      <w:tr>
        <w:trPr>
          <w:cantSplit w:val="true"/>
        </w:trPr>
        <w:tc>
          <w:tcPr>
            <w:tcW w:type="dxa" w:w="1512"/>
            <w:tcMar>
              <w:top w:w="70" w:type="dxa"/>
              <w:start w:w="80" w:type="dxa"/>
              <w:bottom w:w="70" w:type="dxa"/>
              <w:end w:w="80" w:type="dxa"/>
            </w:tcMar>
            <w:vAlign w:val="center"/>
          </w:tcPr>
          <w:p>
            <w:pPr>
              <w:spacing w:after="0" w:before="0"/>
            </w:pPr>
            <w:r>
              <w:rPr>
                <w:rFonts w:ascii="Liberation Sans" w:hAnsi="Liberation Sans"/>
                <w:b w:val="0"/>
                <w:color w:val="1F2937"/>
                <w:sz w:val="17"/>
              </w:rPr>
              <w:t>sec</w:t>
            </w:r>
          </w:p>
        </w:tc>
        <w:tc>
          <w:tcPr>
            <w:tcW w:type="dxa" w:w="1008"/>
            <w:tcMar>
              <w:top w:w="70" w:type="dxa"/>
              <w:start w:w="80" w:type="dxa"/>
              <w:bottom w:w="70" w:type="dxa"/>
              <w:end w:w="80" w:type="dxa"/>
            </w:tcMar>
            <w:vAlign w:val="center"/>
          </w:tcPr>
          <w:p>
            <w:pPr>
              <w:spacing w:after="0" w:before="0"/>
            </w:pPr>
            <w:r>
              <w:rPr>
                <w:rFonts w:ascii="Liberation Sans" w:hAnsi="Liberation Sans"/>
                <w:b w:val="0"/>
                <w:color w:val="1F2937"/>
                <w:sz w:val="17"/>
              </w:rPr>
              <w:t>6</w:t>
            </w:r>
          </w:p>
        </w:tc>
        <w:tc>
          <w:tcPr>
            <w:tcW w:type="dxa" w:w="7488"/>
            <w:tcMar>
              <w:top w:w="70" w:type="dxa"/>
              <w:start w:w="80" w:type="dxa"/>
              <w:bottom w:w="70" w:type="dxa"/>
              <w:end w:w="80" w:type="dxa"/>
            </w:tcMar>
            <w:vAlign w:val="center"/>
          </w:tcPr>
          <w:p>
            <w:pPr>
              <w:spacing w:after="0" w:before="0"/>
            </w:pPr>
            <w:r>
              <w:rPr>
                <w:rFonts w:ascii="Liberation Sans" w:hAnsi="Liberation Sans"/>
                <w:b w:val="0"/>
                <w:color w:val="1F2937"/>
                <w:sz w:val="17"/>
              </w:rPr>
              <w:t>Application users, roles, permissions and BU access.</w:t>
            </w:r>
          </w:p>
        </w:tc>
      </w:tr>
      <w:tr>
        <w:trPr>
          <w:cantSplit w:val="true"/>
        </w:trPr>
        <w:tc>
          <w:tcPr>
            <w:tcW w:type="dxa" w:w="1512"/>
            <w:tcMar>
              <w:top w:w="70" w:type="dxa"/>
              <w:start w:w="80" w:type="dxa"/>
              <w:bottom w:w="70" w:type="dxa"/>
              <w:end w:w="80" w:type="dxa"/>
            </w:tcMar>
            <w:vAlign w:val="center"/>
          </w:tcPr>
          <w:p>
            <w:pPr>
              <w:spacing w:after="0" w:before="0"/>
            </w:pPr>
            <w:r>
              <w:rPr>
                <w:rFonts w:ascii="Liberation Sans" w:hAnsi="Liberation Sans"/>
                <w:b w:val="0"/>
                <w:color w:val="1F2937"/>
                <w:sz w:val="17"/>
              </w:rPr>
              <w:t>treasury</w:t>
            </w:r>
          </w:p>
        </w:tc>
        <w:tc>
          <w:tcPr>
            <w:tcW w:type="dxa" w:w="1008"/>
            <w:tcMar>
              <w:top w:w="70" w:type="dxa"/>
              <w:start w:w="80" w:type="dxa"/>
              <w:bottom w:w="70" w:type="dxa"/>
              <w:end w:w="80" w:type="dxa"/>
            </w:tcMar>
            <w:vAlign w:val="center"/>
          </w:tcPr>
          <w:p>
            <w:pPr>
              <w:spacing w:after="0" w:before="0"/>
            </w:pPr>
            <w:r>
              <w:rPr>
                <w:rFonts w:ascii="Liberation Sans" w:hAnsi="Liberation Sans"/>
                <w:b w:val="0"/>
                <w:color w:val="1F2937"/>
                <w:sz w:val="17"/>
              </w:rPr>
              <w:t>13</w:t>
            </w:r>
          </w:p>
        </w:tc>
        <w:tc>
          <w:tcPr>
            <w:tcW w:type="dxa" w:w="7488"/>
            <w:tcMar>
              <w:top w:w="70" w:type="dxa"/>
              <w:start w:w="80" w:type="dxa"/>
              <w:bottom w:w="70" w:type="dxa"/>
              <w:end w:w="80" w:type="dxa"/>
            </w:tcMar>
            <w:vAlign w:val="center"/>
          </w:tcPr>
          <w:p>
            <w:pPr>
              <w:spacing w:after="0" w:before="0"/>
            </w:pPr>
            <w:r>
              <w:rPr>
                <w:rFonts w:ascii="Liberation Sans" w:hAnsi="Liberation Sans"/>
                <w:b w:val="0"/>
                <w:color w:val="1F2937"/>
                <w:sz w:val="17"/>
              </w:rPr>
              <w:t>FX rates, working capital, loans, investments, cash flow and liquidity adjustments.</w:t>
            </w:r>
          </w:p>
        </w:tc>
      </w:tr>
      <w:tr>
        <w:trPr>
          <w:cantSplit w:val="true"/>
        </w:trPr>
        <w:tc>
          <w:tcPr>
            <w:tcW w:type="dxa" w:w="1512"/>
            <w:tcMar>
              <w:top w:w="70" w:type="dxa"/>
              <w:start w:w="80" w:type="dxa"/>
              <w:bottom w:w="70" w:type="dxa"/>
              <w:end w:w="80" w:type="dxa"/>
            </w:tcMar>
            <w:vAlign w:val="center"/>
          </w:tcPr>
          <w:p>
            <w:pPr>
              <w:spacing w:after="0" w:before="0"/>
            </w:pPr>
            <w:r>
              <w:rPr>
                <w:rFonts w:ascii="Liberation Sans" w:hAnsi="Liberation Sans"/>
                <w:b w:val="0"/>
                <w:color w:val="1F2937"/>
                <w:sz w:val="17"/>
              </w:rPr>
              <w:t>workflow</w:t>
            </w:r>
          </w:p>
        </w:tc>
        <w:tc>
          <w:tcPr>
            <w:tcW w:type="dxa" w:w="1008"/>
            <w:tcMar>
              <w:top w:w="70" w:type="dxa"/>
              <w:start w:w="80" w:type="dxa"/>
              <w:bottom w:w="70" w:type="dxa"/>
              <w:end w:w="80" w:type="dxa"/>
            </w:tcMar>
            <w:vAlign w:val="center"/>
          </w:tcPr>
          <w:p>
            <w:pPr>
              <w:spacing w:after="0" w:before="0"/>
            </w:pPr>
            <w:r>
              <w:rPr>
                <w:rFonts w:ascii="Liberation Sans" w:hAnsi="Liberation Sans"/>
                <w:b w:val="0"/>
                <w:color w:val="1F2937"/>
                <w:sz w:val="17"/>
              </w:rPr>
              <w:t>4</w:t>
            </w:r>
          </w:p>
        </w:tc>
        <w:tc>
          <w:tcPr>
            <w:tcW w:type="dxa" w:w="7488"/>
            <w:tcMar>
              <w:top w:w="70" w:type="dxa"/>
              <w:start w:w="80" w:type="dxa"/>
              <w:bottom w:w="70" w:type="dxa"/>
              <w:end w:w="80" w:type="dxa"/>
            </w:tcMar>
            <w:vAlign w:val="center"/>
          </w:tcPr>
          <w:p>
            <w:pPr>
              <w:spacing w:after="0" w:before="0"/>
            </w:pPr>
            <w:r>
              <w:rPr>
                <w:rFonts w:ascii="Liberation Sans" w:hAnsi="Liberation Sans"/>
                <w:b w:val="0"/>
                <w:color w:val="1F2937"/>
                <w:sz w:val="17"/>
              </w:rPr>
              <w:t>Approval state, actions, comments and exceptions.</w:t>
            </w:r>
          </w:p>
        </w:tc>
      </w:tr>
    </w:tbl>
    <w:p>
      <w:pPr>
        <w:spacing w:after="100" w:line="252" w:lineRule="auto"/>
      </w:pPr>
      <w:r>
        <w:rPr>
          <w:rFonts w:ascii="Liberation Sans" w:hAnsi="Liberation Sans"/>
          <w:b w:val="0"/>
          <w:color w:val="1F2937"/>
          <w:sz w:val="18"/>
        </w:rPr>
        <w:t>Schema separation is a proposed implementation convention. It is not required by the BRD, but it keeps ownership boundaries clear and reduces ambiguity between security, workflow, financial facts and reporting snapshots.</w:t>
      </w:r>
    </w:p>
    <w:p>
      <w:pPr>
        <w:pStyle w:val="Heading1"/>
        <w:spacing w:before="200" w:after="100"/>
      </w:pPr>
      <w:r>
        <w:rPr>
          <w:rFonts w:ascii="Liberation Sans" w:hAnsi="Liberation Sans"/>
          <w:b/>
          <w:color w:val="17365D"/>
          <w:sz w:val="30"/>
        </w:rPr>
        <w:t>3. Logical Database Model</w:t>
      </w:r>
    </w:p>
    <w:p>
      <w:pPr>
        <w:jc w:val="center"/>
      </w:pPr>
      <w:r>
        <w:drawing>
          <wp:inline xmlns:a="http://schemas.openxmlformats.org/drawingml/2006/main" xmlns:pic="http://schemas.openxmlformats.org/drawingml/2006/picture">
            <wp:extent cx="6126480" cy="4761190"/>
            <wp:docPr id="1" name="Picture 1"/>
            <wp:cNvGraphicFramePr>
              <a:graphicFrameLocks noChangeAspect="1"/>
            </wp:cNvGraphicFramePr>
            <a:graphic>
              <a:graphicData uri="http://schemas.openxmlformats.org/drawingml/2006/picture">
                <pic:pic>
                  <pic:nvPicPr>
                    <pic:cNvPr id="0" name="treasury_logical_model.png"/>
                    <pic:cNvPicPr/>
                  </pic:nvPicPr>
                  <pic:blipFill>
                    <a:blip r:embed="rId11"/>
                    <a:stretch>
                      <a:fillRect/>
                    </a:stretch>
                  </pic:blipFill>
                  <pic:spPr>
                    <a:xfrm>
                      <a:off x="0" y="0"/>
                      <a:ext cx="6126480" cy="4761190"/>
                    </a:xfrm>
                    <a:prstGeom prst="rect"/>
                  </pic:spPr>
                </pic:pic>
              </a:graphicData>
            </a:graphic>
          </wp:inline>
        </w:drawing>
      </w:r>
    </w:p>
    <w:p>
      <w:pPr>
        <w:jc w:val="center"/>
      </w:pPr>
      <w:r>
        <w:rPr>
          <w:rFonts w:ascii="Liberation Sans" w:hAnsi="Liberation Sans"/>
          <w:b w:val="0"/>
          <w:i/>
          <w:color w:val="666666"/>
          <w:sz w:val="16"/>
        </w:rPr>
        <w:t>Figure 1. Logical subject-area model and primary data flow.</w:t>
      </w:r>
    </w:p>
    <w:p>
      <w:pPr>
        <w:spacing w:after="100" w:line="252" w:lineRule="auto"/>
      </w:pPr>
      <w:r>
        <w:rPr>
          <w:rFonts w:ascii="Liberation Sans" w:hAnsi="Liberation Sans"/>
          <w:b w:val="0"/>
          <w:color w:val="1F2937"/>
          <w:sz w:val="18"/>
        </w:rPr>
        <w:t>The central control chain is ReportingPeriod → ReportVersion. All period-sensitive financial facts are version-aware. BU submissions and workflow instances are anchored to the same version. CFO approval locks the version and generates an immutable TreasurySnapshot with KPI, detailed drill-down and executive commentary copies.</w:t>
      </w:r>
    </w:p>
    <w:p>
      <w:pPr>
        <w:pStyle w:val="Heading1"/>
        <w:spacing w:before="200" w:after="100"/>
      </w:pPr>
      <w:r>
        <w:rPr>
          <w:rFonts w:ascii="Liberation Sans" w:hAnsi="Liberation Sans"/>
          <w:b/>
          <w:color w:val="17365D"/>
          <w:sz w:val="30"/>
        </w:rPr>
        <w:t>4. Core Physical Design Decisions</w:t>
      </w:r>
    </w:p>
    <w:tbl>
      <w:tblPr>
        <w:tblStyle w:val="TableGrid"/>
        <w:tblW w:type="auto" w:w="0"/>
        <w:jc w:val="center"/>
        <w:tblLook w:firstColumn="1" w:firstRow="1" w:lastColumn="0" w:lastRow="0" w:noHBand="0" w:noVBand="1" w:val="04A0"/>
      </w:tblPr>
      <w:tblGrid>
        <w:gridCol w:w="3298"/>
        <w:gridCol w:w="3298"/>
        <w:gridCol w:w="3298"/>
      </w:tblGrid>
      <w:tr>
        <w:trPr>
          <w:cantSplit w:val="true"/>
          <w:tblHeader w:val="true"/>
        </w:trPr>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5"/>
              </w:rPr>
              <w:t>Area</w:t>
            </w:r>
          </w:p>
        </w:tc>
        <w:tc>
          <w:tcPr>
            <w:tcW w:type="dxa" w:w="4032"/>
            <w:tcMar>
              <w:top w:w="70" w:type="dxa"/>
              <w:start w:w="80" w:type="dxa"/>
              <w:bottom w:w="70" w:type="dxa"/>
              <w:end w:w="80" w:type="dxa"/>
            </w:tcMar>
            <w:vAlign w:val="center"/>
            <w:shd w:fill="1F4E78"/>
          </w:tcPr>
          <w:p>
            <w:pPr>
              <w:spacing w:after="0" w:before="0"/>
            </w:pPr>
            <w:r>
              <w:rPr>
                <w:rFonts w:ascii="Liberation Sans" w:hAnsi="Liberation Sans"/>
                <w:b/>
                <w:color w:val="FFFFFF"/>
                <w:sz w:val="15"/>
              </w:rPr>
              <w:t>Design</w:t>
            </w:r>
          </w:p>
        </w:tc>
        <w:tc>
          <w:tcPr>
            <w:tcW w:type="dxa" w:w="4104"/>
            <w:tcMar>
              <w:top w:w="70" w:type="dxa"/>
              <w:start w:w="80" w:type="dxa"/>
              <w:bottom w:w="70" w:type="dxa"/>
              <w:end w:w="80" w:type="dxa"/>
            </w:tcMar>
            <w:vAlign w:val="center"/>
            <w:shd w:fill="1F4E78"/>
          </w:tcPr>
          <w:p>
            <w:pPr>
              <w:spacing w:after="0" w:before="0"/>
            </w:pPr>
            <w:r>
              <w:rPr>
                <w:rFonts w:ascii="Liberation Sans" w:hAnsi="Liberation Sans"/>
                <w:b/>
                <w:color w:val="FFFFFF"/>
                <w:sz w:val="15"/>
              </w:rPr>
              <w:t>Classification / Rationale</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Financial amount precision</w:t>
            </w:r>
          </w:p>
        </w:tc>
        <w:tc>
          <w:tcPr>
            <w:tcW w:type="dxa" w:w="4032"/>
            <w:tcMar>
              <w:top w:w="70" w:type="dxa"/>
              <w:start w:w="80" w:type="dxa"/>
              <w:bottom w:w="70" w:type="dxa"/>
              <w:end w:w="80" w:type="dxa"/>
            </w:tcMar>
            <w:vAlign w:val="center"/>
          </w:tcPr>
          <w:p>
            <w:pPr>
              <w:spacing w:after="0" w:before="0"/>
            </w:pPr>
            <w:r>
              <w:rPr>
                <w:rFonts w:ascii="Liberation Sans" w:hAnsi="Liberation Sans"/>
                <w:b w:val="0"/>
                <w:color w:val="1F2937"/>
                <w:sz w:val="15"/>
              </w:rPr>
              <w:t>Use decimal(19,4) for monetary amounts and decimal(28,8) for quantities/KPI precision. Do not use SQL Server MONEY.</w:t>
            </w:r>
          </w:p>
        </w:tc>
        <w:tc>
          <w:tcPr>
            <w:tcW w:type="dxa" w:w="4104"/>
            <w:tcMar>
              <w:top w:w="70" w:type="dxa"/>
              <w:start w:w="80" w:type="dxa"/>
              <w:bottom w:w="70" w:type="dxa"/>
              <w:end w:w="80" w:type="dxa"/>
            </w:tcMar>
            <w:vAlign w:val="center"/>
          </w:tcPr>
          <w:p>
            <w:pPr>
              <w:spacing w:after="0" w:before="0"/>
            </w:pPr>
            <w:r>
              <w:rPr>
                <w:rFonts w:ascii="Liberation Sans" w:hAnsi="Liberation Sans"/>
                <w:b w:val="0"/>
                <w:color w:val="1F2937"/>
                <w:sz w:val="15"/>
              </w:rPr>
              <w:t>Derived. Supports currency precision and avoids spreadsheet rounding dependency.</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Presentation units</w:t>
            </w:r>
          </w:p>
        </w:tc>
        <w:tc>
          <w:tcPr>
            <w:tcW w:type="dxa" w:w="4032"/>
            <w:tcMar>
              <w:top w:w="70" w:type="dxa"/>
              <w:start w:w="80" w:type="dxa"/>
              <w:bottom w:w="70" w:type="dxa"/>
              <w:end w:w="80" w:type="dxa"/>
            </w:tcMar>
            <w:vAlign w:val="center"/>
          </w:tcPr>
          <w:p>
            <w:pPr>
              <w:spacing w:after="0" w:before="0"/>
            </w:pPr>
            <w:r>
              <w:rPr>
                <w:rFonts w:ascii="Liberation Sans" w:hAnsi="Liberation Sans"/>
                <w:b w:val="0"/>
                <w:color w:val="1F2937"/>
                <w:sz w:val="15"/>
              </w:rPr>
              <w:t>Store atomic currency amounts. Convert to “QAR millions” only in queries/UI/export.</w:t>
            </w:r>
          </w:p>
        </w:tc>
        <w:tc>
          <w:tcPr>
            <w:tcW w:type="dxa" w:w="4104"/>
            <w:tcMar>
              <w:top w:w="70" w:type="dxa"/>
              <w:start w:w="80" w:type="dxa"/>
              <w:bottom w:w="70" w:type="dxa"/>
              <w:end w:w="80" w:type="dxa"/>
            </w:tcMar>
            <w:vAlign w:val="center"/>
          </w:tcPr>
          <w:p>
            <w:pPr>
              <w:spacing w:after="0" w:before="0"/>
            </w:pPr>
            <w:r>
              <w:rPr>
                <w:rFonts w:ascii="Liberation Sans" w:hAnsi="Liberation Sans"/>
                <w:b w:val="0"/>
                <w:color w:val="1F2937"/>
                <w:sz w:val="15"/>
              </w:rPr>
              <w:t>Derived from workbook presentation behavior.</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Keys</w:t>
            </w:r>
          </w:p>
        </w:tc>
        <w:tc>
          <w:tcPr>
            <w:tcW w:type="dxa" w:w="4032"/>
            <w:tcMar>
              <w:top w:w="70" w:type="dxa"/>
              <w:start w:w="80" w:type="dxa"/>
              <w:bottom w:w="70" w:type="dxa"/>
              <w:end w:w="80" w:type="dxa"/>
            </w:tcMar>
            <w:vAlign w:val="center"/>
          </w:tcPr>
          <w:p>
            <w:pPr>
              <w:spacing w:after="0" w:before="0"/>
            </w:pPr>
            <w:r>
              <w:rPr>
                <w:rFonts w:ascii="Liberation Sans" w:hAnsi="Liberation Sans"/>
                <w:b w:val="0"/>
                <w:color w:val="1F2937"/>
                <w:sz w:val="15"/>
              </w:rPr>
              <w:t>Use IDENTITY surrogate keys for entities/facts; composite primary keys only for mapping tables.</w:t>
            </w:r>
          </w:p>
        </w:tc>
        <w:tc>
          <w:tcPr>
            <w:tcW w:type="dxa" w:w="4104"/>
            <w:tcMar>
              <w:top w:w="70" w:type="dxa"/>
              <w:start w:w="80" w:type="dxa"/>
              <w:bottom w:w="70" w:type="dxa"/>
              <w:end w:w="80" w:type="dxa"/>
            </w:tcMar>
            <w:vAlign w:val="center"/>
          </w:tcPr>
          <w:p>
            <w:pPr>
              <w:spacing w:after="0" w:before="0"/>
            </w:pPr>
            <w:r>
              <w:rPr>
                <w:rFonts w:ascii="Liberation Sans" w:hAnsi="Liberation Sans"/>
                <w:b w:val="0"/>
                <w:color w:val="1F2937"/>
                <w:sz w:val="15"/>
              </w:rPr>
              <w:t>Derived. Simplifies ORM and workflow references.</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Period versioning</w:t>
            </w:r>
          </w:p>
        </w:tc>
        <w:tc>
          <w:tcPr>
            <w:tcW w:type="dxa" w:w="4032"/>
            <w:tcMar>
              <w:top w:w="70" w:type="dxa"/>
              <w:start w:w="80" w:type="dxa"/>
              <w:bottom w:w="70" w:type="dxa"/>
              <w:end w:w="80" w:type="dxa"/>
            </w:tcMar>
            <w:vAlign w:val="center"/>
          </w:tcPr>
          <w:p>
            <w:pPr>
              <w:spacing w:after="0" w:before="0"/>
            </w:pPr>
            <w:r>
              <w:rPr>
                <w:rFonts w:ascii="Liberation Sans" w:hAnsi="Liberation Sans"/>
                <w:b w:val="0"/>
                <w:color w:val="1F2937"/>
                <w:sz w:val="15"/>
              </w:rPr>
              <w:t>Carry ReportVersionId on period-sensitive facts so reopened reports create new rows/version rather than overwriting approved values.</w:t>
            </w:r>
          </w:p>
        </w:tc>
        <w:tc>
          <w:tcPr>
            <w:tcW w:type="dxa" w:w="4104"/>
            <w:tcMar>
              <w:top w:w="70" w:type="dxa"/>
              <w:start w:w="80" w:type="dxa"/>
              <w:bottom w:w="70" w:type="dxa"/>
              <w:end w:w="80" w:type="dxa"/>
            </w:tcMar>
            <w:vAlign w:val="center"/>
          </w:tcPr>
          <w:p>
            <w:pPr>
              <w:spacing w:after="0" w:before="0"/>
            </w:pPr>
            <w:r>
              <w:rPr>
                <w:rFonts w:ascii="Liberation Sans" w:hAnsi="Liberation Sans"/>
                <w:b w:val="0"/>
                <w:color w:val="1F2937"/>
                <w:sz w:val="15"/>
              </w:rPr>
              <w:t>Derived from BRD reopen/version requirement.</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Snapshot</w:t>
            </w:r>
          </w:p>
        </w:tc>
        <w:tc>
          <w:tcPr>
            <w:tcW w:type="dxa" w:w="4032"/>
            <w:tcMar>
              <w:top w:w="70" w:type="dxa"/>
              <w:start w:w="80" w:type="dxa"/>
              <w:bottom w:w="70" w:type="dxa"/>
              <w:end w:w="80" w:type="dxa"/>
            </w:tcMar>
            <w:vAlign w:val="center"/>
          </w:tcPr>
          <w:p>
            <w:pPr>
              <w:spacing w:after="0" w:before="0"/>
            </w:pPr>
            <w:r>
              <w:rPr>
                <w:rFonts w:ascii="Liberation Sans" w:hAnsi="Liberation Sans"/>
                <w:b w:val="0"/>
                <w:color w:val="1F2937"/>
                <w:sz w:val="15"/>
              </w:rPr>
              <w:t>Create immutable snapshot manifest plus KPI/detail/comment copies after CFO approval.</w:t>
            </w:r>
          </w:p>
        </w:tc>
        <w:tc>
          <w:tcPr>
            <w:tcW w:type="dxa" w:w="4104"/>
            <w:tcMar>
              <w:top w:w="70" w:type="dxa"/>
              <w:start w:w="80" w:type="dxa"/>
              <w:bottom w:w="70" w:type="dxa"/>
              <w:end w:w="80" w:type="dxa"/>
            </w:tcMar>
            <w:vAlign w:val="center"/>
          </w:tcPr>
          <w:p>
            <w:pPr>
              <w:spacing w:after="0" w:before="0"/>
            </w:pPr>
            <w:r>
              <w:rPr>
                <w:rFonts w:ascii="Liberation Sans" w:hAnsi="Liberation Sans"/>
                <w:b w:val="0"/>
                <w:color w:val="1F2937"/>
                <w:sz w:val="15"/>
              </w:rPr>
              <w:t>Derived to satisfy reproducibility and approved-data-only executive reporting.</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FX conversion</w:t>
            </w:r>
          </w:p>
        </w:tc>
        <w:tc>
          <w:tcPr>
            <w:tcW w:type="dxa" w:w="4032"/>
            <w:tcMar>
              <w:top w:w="70" w:type="dxa"/>
              <w:start w:w="80" w:type="dxa"/>
              <w:bottom w:w="70" w:type="dxa"/>
              <w:end w:w="80" w:type="dxa"/>
            </w:tcMar>
            <w:vAlign w:val="center"/>
          </w:tcPr>
          <w:p>
            <w:pPr>
              <w:spacing w:after="0" w:before="0"/>
            </w:pPr>
            <w:r>
              <w:rPr>
                <w:rFonts w:ascii="Liberation Sans" w:hAnsi="Liberation Sans"/>
                <w:b w:val="0"/>
                <w:color w:val="1F2937"/>
                <w:sz w:val="15"/>
              </w:rPr>
              <w:t>Store AppliedFXRateId and converted reporting amount where a rate is used.</w:t>
            </w:r>
          </w:p>
        </w:tc>
        <w:tc>
          <w:tcPr>
            <w:tcW w:type="dxa" w:w="4104"/>
            <w:tcMar>
              <w:top w:w="70" w:type="dxa"/>
              <w:start w:w="80" w:type="dxa"/>
              <w:bottom w:w="70" w:type="dxa"/>
              <w:end w:w="80" w:type="dxa"/>
            </w:tcMar>
            <w:vAlign w:val="center"/>
          </w:tcPr>
          <w:p>
            <w:pPr>
              <w:spacing w:after="0" w:before="0"/>
            </w:pPr>
            <w:r>
              <w:rPr>
                <w:rFonts w:ascii="Liberation Sans" w:hAnsi="Liberation Sans"/>
                <w:b w:val="0"/>
                <w:color w:val="1F2937"/>
                <w:sz w:val="15"/>
              </w:rPr>
              <w:t>Source + Derived. Replaces hard-coded workbook rates.</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Deletion</w:t>
            </w:r>
          </w:p>
        </w:tc>
        <w:tc>
          <w:tcPr>
            <w:tcW w:type="dxa" w:w="4032"/>
            <w:tcMar>
              <w:top w:w="70" w:type="dxa"/>
              <w:start w:w="80" w:type="dxa"/>
              <w:bottom w:w="70" w:type="dxa"/>
              <w:end w:w="80" w:type="dxa"/>
            </w:tcMar>
            <w:vAlign w:val="center"/>
          </w:tcPr>
          <w:p>
            <w:pPr>
              <w:spacing w:after="0" w:before="0"/>
            </w:pPr>
            <w:r>
              <w:rPr>
                <w:rFonts w:ascii="Liberation Sans" w:hAnsi="Liberation Sans"/>
                <w:b w:val="0"/>
                <w:color w:val="1F2937"/>
                <w:sz w:val="15"/>
              </w:rPr>
              <w:t>No cascade deletes for financial/workflow/snapshot/audit entities. Masters use inactive/close status instead of destructive deletion.</w:t>
            </w:r>
          </w:p>
        </w:tc>
        <w:tc>
          <w:tcPr>
            <w:tcW w:type="dxa" w:w="4104"/>
            <w:tcMar>
              <w:top w:w="70" w:type="dxa"/>
              <w:start w:w="80" w:type="dxa"/>
              <w:bottom w:w="70" w:type="dxa"/>
              <w:end w:w="80" w:type="dxa"/>
            </w:tcMar>
            <w:vAlign w:val="center"/>
          </w:tcPr>
          <w:p>
            <w:pPr>
              <w:spacing w:after="0" w:before="0"/>
            </w:pPr>
            <w:r>
              <w:rPr>
                <w:rFonts w:ascii="Liberation Sans" w:hAnsi="Liberation Sans"/>
                <w:b w:val="0"/>
                <w:color w:val="1F2937"/>
                <w:sz w:val="15"/>
              </w:rPr>
              <w:t>Derived control design.</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Concurrency</w:t>
            </w:r>
          </w:p>
        </w:tc>
        <w:tc>
          <w:tcPr>
            <w:tcW w:type="dxa" w:w="4032"/>
            <w:tcMar>
              <w:top w:w="70" w:type="dxa"/>
              <w:start w:w="80" w:type="dxa"/>
              <w:bottom w:w="70" w:type="dxa"/>
              <w:end w:w="80" w:type="dxa"/>
            </w:tcMar>
            <w:vAlign w:val="center"/>
          </w:tcPr>
          <w:p>
            <w:pPr>
              <w:spacing w:after="0" w:before="0"/>
            </w:pPr>
            <w:r>
              <w:rPr>
                <w:rFonts w:ascii="Liberation Sans" w:hAnsi="Liberation Sans"/>
                <w:b w:val="0"/>
                <w:color w:val="1F2937"/>
                <w:sz w:val="15"/>
              </w:rPr>
              <w:t>Use SQL Server rowversion on mutable masters/facts.</w:t>
            </w:r>
          </w:p>
        </w:tc>
        <w:tc>
          <w:tcPr>
            <w:tcW w:type="dxa" w:w="4104"/>
            <w:tcMar>
              <w:top w:w="70" w:type="dxa"/>
              <w:start w:w="80" w:type="dxa"/>
              <w:bottom w:w="70" w:type="dxa"/>
              <w:end w:w="80" w:type="dxa"/>
            </w:tcMar>
            <w:vAlign w:val="center"/>
          </w:tcPr>
          <w:p>
            <w:pPr>
              <w:spacing w:after="0" w:before="0"/>
            </w:pPr>
            <w:r>
              <w:rPr>
                <w:rFonts w:ascii="Liberation Sans" w:hAnsi="Liberation Sans"/>
                <w:b w:val="0"/>
                <w:color w:val="1F2937"/>
                <w:sz w:val="15"/>
              </w:rPr>
              <w:t>Proposed. Prevents silent overwrite in multi-user IIS application.</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Time</w:t>
            </w:r>
          </w:p>
        </w:tc>
        <w:tc>
          <w:tcPr>
            <w:tcW w:type="dxa" w:w="4032"/>
            <w:tcMar>
              <w:top w:w="70" w:type="dxa"/>
              <w:start w:w="80" w:type="dxa"/>
              <w:bottom w:w="70" w:type="dxa"/>
              <w:end w:w="80" w:type="dxa"/>
            </w:tcMar>
            <w:vAlign w:val="center"/>
          </w:tcPr>
          <w:p>
            <w:pPr>
              <w:spacing w:after="0" w:before="0"/>
            </w:pPr>
            <w:r>
              <w:rPr>
                <w:rFonts w:ascii="Liberation Sans" w:hAnsi="Liberation Sans"/>
                <w:b w:val="0"/>
                <w:color w:val="1F2937"/>
                <w:sz w:val="15"/>
              </w:rPr>
              <w:t>Use datetime2(0) UTC for application event timestamps and date for financial as-of dates.</w:t>
            </w:r>
          </w:p>
        </w:tc>
        <w:tc>
          <w:tcPr>
            <w:tcW w:type="dxa" w:w="4104"/>
            <w:tcMar>
              <w:top w:w="70" w:type="dxa"/>
              <w:start w:w="80" w:type="dxa"/>
              <w:bottom w:w="70" w:type="dxa"/>
              <w:end w:w="80" w:type="dxa"/>
            </w:tcMar>
            <w:vAlign w:val="center"/>
          </w:tcPr>
          <w:p>
            <w:pPr>
              <w:spacing w:after="0" w:before="0"/>
            </w:pPr>
            <w:r>
              <w:rPr>
                <w:rFonts w:ascii="Liberation Sans" w:hAnsi="Liberation Sans"/>
                <w:b w:val="0"/>
                <w:color w:val="1F2937"/>
                <w:sz w:val="15"/>
              </w:rPr>
              <w:t>Proposed; final timezone/display policy is an IT decision.</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Passwords</w:t>
            </w:r>
          </w:p>
        </w:tc>
        <w:tc>
          <w:tcPr>
            <w:tcW w:type="dxa" w:w="4032"/>
            <w:tcMar>
              <w:top w:w="70" w:type="dxa"/>
              <w:start w:w="80" w:type="dxa"/>
              <w:bottom w:w="70" w:type="dxa"/>
              <w:end w:w="80" w:type="dxa"/>
            </w:tcMar>
            <w:vAlign w:val="center"/>
          </w:tcPr>
          <w:p>
            <w:pPr>
              <w:spacing w:after="0" w:before="0"/>
            </w:pPr>
            <w:r>
              <w:rPr>
                <w:rFonts w:ascii="Liberation Sans" w:hAnsi="Liberation Sans"/>
                <w:b w:val="0"/>
                <w:color w:val="1F2937"/>
                <w:sz w:val="15"/>
              </w:rPr>
              <w:t>Store salted one-way password hashes, not reversible encrypted passwords.</w:t>
            </w:r>
          </w:p>
        </w:tc>
        <w:tc>
          <w:tcPr>
            <w:tcW w:type="dxa" w:w="4104"/>
            <w:tcMar>
              <w:top w:w="70" w:type="dxa"/>
              <w:start w:w="80" w:type="dxa"/>
              <w:bottom w:w="70" w:type="dxa"/>
              <w:end w:w="80" w:type="dxa"/>
            </w:tcMar>
            <w:vAlign w:val="center"/>
          </w:tcPr>
          <w:p>
            <w:pPr>
              <w:spacing w:after="0" w:before="0"/>
            </w:pPr>
            <w:r>
              <w:rPr>
                <w:rFonts w:ascii="Liberation Sans" w:hAnsi="Liberation Sans"/>
                <w:b w:val="0"/>
                <w:color w:val="1F2937"/>
                <w:sz w:val="15"/>
              </w:rPr>
              <w:t>Security implementation of BRD “encrypted” credential requirement.</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BU security</w:t>
            </w:r>
          </w:p>
        </w:tc>
        <w:tc>
          <w:tcPr>
            <w:tcW w:type="dxa" w:w="4032"/>
            <w:tcMar>
              <w:top w:w="70" w:type="dxa"/>
              <w:start w:w="80" w:type="dxa"/>
              <w:bottom w:w="70" w:type="dxa"/>
              <w:end w:w="80" w:type="dxa"/>
            </w:tcMar>
            <w:vAlign w:val="center"/>
          </w:tcPr>
          <w:p>
            <w:pPr>
              <w:spacing w:after="0" w:before="0"/>
            </w:pPr>
            <w:r>
              <w:rPr>
                <w:rFonts w:ascii="Liberation Sans" w:hAnsi="Liberation Sans"/>
                <w:b w:val="0"/>
                <w:color w:val="1F2937"/>
                <w:sz w:val="15"/>
              </w:rPr>
              <w:t>Authorize by role plus UserBusinessUnit mapping; optional SQL Server Row-Level Security may be added as defense in depth.</w:t>
            </w:r>
          </w:p>
        </w:tc>
        <w:tc>
          <w:tcPr>
            <w:tcW w:type="dxa" w:w="4104"/>
            <w:tcMar>
              <w:top w:w="70" w:type="dxa"/>
              <w:start w:w="80" w:type="dxa"/>
              <w:bottom w:w="70" w:type="dxa"/>
              <w:end w:w="80" w:type="dxa"/>
            </w:tcMar>
            <w:vAlign w:val="center"/>
          </w:tcPr>
          <w:p>
            <w:pPr>
              <w:spacing w:after="0" w:before="0"/>
            </w:pPr>
            <w:r>
              <w:rPr>
                <w:rFonts w:ascii="Liberation Sans" w:hAnsi="Liberation Sans"/>
                <w:b w:val="0"/>
                <w:color w:val="1F2937"/>
                <w:sz w:val="15"/>
              </w:rPr>
              <w:t>Source + Proposed defense in depth.</w:t>
            </w:r>
          </w:p>
        </w:tc>
      </w:tr>
    </w:tbl>
    <w:p>
      <w:pPr>
        <w:pStyle w:val="Heading1"/>
        <w:spacing w:before="200" w:after="100"/>
      </w:pPr>
      <w:r>
        <w:rPr>
          <w:rFonts w:ascii="Liberation Sans" w:hAnsi="Liberation Sans"/>
          <w:b/>
          <w:color w:val="17365D"/>
          <w:sz w:val="30"/>
        </w:rPr>
        <w:t>5. Reporting Period, Versioning and Snapshot Design</w:t>
      </w:r>
    </w:p>
    <w:p>
      <w:pPr>
        <w:spacing w:after="100" w:line="252" w:lineRule="auto"/>
      </w:pPr>
      <w:r>
        <w:rPr>
          <w:rFonts w:ascii="Liberation Sans" w:hAnsi="Liberation Sans"/>
          <w:b w:val="0"/>
          <w:color w:val="1F2937"/>
          <w:sz w:val="18"/>
        </w:rPr>
        <w:t>ReportingPeriod is the business calendar control. ReportVersion is the immutable-version boundary. Version 1 is created for the normal reporting cycle. If a CFO-approved period must be changed, the system preserves Version 1, creates Version 2 with ReopenedFromVersionId and mandatory ReopenReason, and routes the new version through the applicable approval chain.</w:t>
      </w:r>
    </w:p>
    <w:p>
      <w:pPr>
        <w:spacing w:after="100" w:line="252" w:lineRule="auto"/>
      </w:pPr>
      <w:r>
        <w:rPr>
          <w:rFonts w:ascii="Liberation Sans" w:hAnsi="Liberation Sans"/>
          <w:b w:val="0"/>
          <w:color w:val="1F2937"/>
          <w:sz w:val="18"/>
        </w:rPr>
        <w:t>CFO approval should execute as one database transaction: confirm the version is at CFO Review, confirm required BU submissions are complete or formally excepted, verify no unresolved blocking exception remains, set the version to CFOApproved and LockedAtUtc, generate TreasurySnapshot plus SnapshotKPI/SnapshotDetail/SnapshotComment rows, calculate the snapshot DataHash, and write workflow/audit events. Any failure should roll back the entire approval transaction.</w:t>
      </w:r>
    </w:p>
    <w:p>
      <w:pPr>
        <w:spacing w:after="100" w:line="252" w:lineRule="auto"/>
      </w:pPr>
      <w:r>
        <w:rPr>
          <w:rFonts w:ascii="Liberation Sans" w:hAnsi="Liberation Sans"/>
          <w:b w:val="0"/>
          <w:color w:val="1F2937"/>
          <w:sz w:val="18"/>
        </w:rPr>
        <w:t>Publication is separate from approval because the source distinguishes “CFO Approved” and “Published”. The database therefore stores PublishedByUserId, PublishedAtUtc and AudienceScope on the snapshot. The exact role permitted to publish remains TBD.</w:t>
      </w:r>
    </w:p>
    <w:p>
      <w:pPr>
        <w:pStyle w:val="Heading1"/>
        <w:spacing w:before="200" w:after="100"/>
      </w:pPr>
      <w:r>
        <w:rPr>
          <w:rFonts w:ascii="Liberation Sans" w:hAnsi="Liberation Sans"/>
          <w:b/>
          <w:color w:val="17365D"/>
          <w:sz w:val="30"/>
        </w:rPr>
        <w:t>6. Business Unit Security and Approval Data Model</w:t>
      </w:r>
    </w:p>
    <w:tbl>
      <w:tblPr>
        <w:tblStyle w:val="TableGrid"/>
        <w:tblW w:type="auto" w:w="0"/>
        <w:jc w:val="center"/>
        <w:tblLook w:firstColumn="1" w:firstRow="1" w:lastColumn="0" w:lastRow="0" w:noHBand="0" w:noVBand="1" w:val="04A0"/>
      </w:tblPr>
      <w:tblGrid>
        <w:gridCol w:w="3298"/>
        <w:gridCol w:w="3298"/>
        <w:gridCol w:w="3298"/>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6"/>
              </w:rPr>
              <w:t>Control</w:t>
            </w:r>
          </w:p>
        </w:tc>
        <w:tc>
          <w:tcPr>
            <w:tcW w:type="dxa" w:w="3672"/>
            <w:tcMar>
              <w:top w:w="70" w:type="dxa"/>
              <w:start w:w="80" w:type="dxa"/>
              <w:bottom w:w="70" w:type="dxa"/>
              <w:end w:w="80" w:type="dxa"/>
            </w:tcMar>
            <w:vAlign w:val="center"/>
            <w:shd w:fill="1F4E78"/>
          </w:tcPr>
          <w:p>
            <w:pPr>
              <w:spacing w:after="0" w:before="0"/>
            </w:pPr>
            <w:r>
              <w:rPr>
                <w:rFonts w:ascii="Liberation Sans" w:hAnsi="Liberation Sans"/>
                <w:b/>
                <w:color w:val="FFFFFF"/>
                <w:sz w:val="16"/>
              </w:rPr>
              <w:t>Primary Tables</w:t>
            </w:r>
          </w:p>
        </w:tc>
        <w:tc>
          <w:tcPr>
            <w:tcW w:type="dxa" w:w="5112"/>
            <w:tcMar>
              <w:top w:w="70" w:type="dxa"/>
              <w:start w:w="80" w:type="dxa"/>
              <w:bottom w:w="70" w:type="dxa"/>
              <w:end w:w="80" w:type="dxa"/>
            </w:tcMar>
            <w:vAlign w:val="center"/>
            <w:shd w:fill="1F4E78"/>
          </w:tcPr>
          <w:p>
            <w:pPr>
              <w:spacing w:after="0" w:before="0"/>
            </w:pPr>
            <w:r>
              <w:rPr>
                <w:rFonts w:ascii="Liberation Sans" w:hAnsi="Liberation Sans"/>
                <w:b/>
                <w:color w:val="FFFFFF"/>
                <w:sz w:val="16"/>
              </w:rPr>
              <w:t>Database Treatment</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6"/>
              </w:rPr>
              <w:t>Authentication</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6"/>
              </w:rPr>
              <w:t>sec.AppUser</w:t>
            </w:r>
          </w:p>
        </w:tc>
        <w:tc>
          <w:tcPr>
            <w:tcW w:type="dxa" w:w="5112"/>
            <w:tcMar>
              <w:top w:w="70" w:type="dxa"/>
              <w:start w:w="80" w:type="dxa"/>
              <w:bottom w:w="70" w:type="dxa"/>
              <w:end w:w="80" w:type="dxa"/>
            </w:tcMar>
            <w:vAlign w:val="center"/>
          </w:tcPr>
          <w:p>
            <w:pPr>
              <w:spacing w:after="0" w:before="0"/>
            </w:pPr>
            <w:r>
              <w:rPr>
                <w:rFonts w:ascii="Liberation Sans" w:hAnsi="Liberation Sans"/>
                <w:b w:val="0"/>
                <w:color w:val="1F2937"/>
                <w:sz w:val="16"/>
              </w:rPr>
              <w:t>Unique login, password hash, active/lockout state and last login.</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6"/>
              </w:rPr>
              <w:t>Role assignment</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6"/>
              </w:rPr>
              <w:t>sec.SecurityRole, sec.UserRole</w:t>
            </w:r>
          </w:p>
        </w:tc>
        <w:tc>
          <w:tcPr>
            <w:tcW w:type="dxa" w:w="5112"/>
            <w:tcMar>
              <w:top w:w="70" w:type="dxa"/>
              <w:start w:w="80" w:type="dxa"/>
              <w:bottom w:w="70" w:type="dxa"/>
              <w:end w:w="80" w:type="dxa"/>
            </w:tcMar>
            <w:vAlign w:val="center"/>
          </w:tcPr>
          <w:p>
            <w:pPr>
              <w:spacing w:after="0" w:before="0"/>
            </w:pPr>
            <w:r>
              <w:rPr>
                <w:rFonts w:ascii="Liberation Sans" w:hAnsi="Liberation Sans"/>
                <w:b w:val="0"/>
                <w:color w:val="1F2937"/>
                <w:sz w:val="16"/>
              </w:rPr>
              <w:t>A user may hold more than one role where organizational policy permits.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6"/>
              </w:rPr>
              <w:t>Fine-grained authorization</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6"/>
              </w:rPr>
              <w:t>sec.Permission, sec.RolePermission</w:t>
            </w:r>
          </w:p>
        </w:tc>
        <w:tc>
          <w:tcPr>
            <w:tcW w:type="dxa" w:w="5112"/>
            <w:tcMar>
              <w:top w:w="70" w:type="dxa"/>
              <w:start w:w="80" w:type="dxa"/>
              <w:bottom w:w="70" w:type="dxa"/>
              <w:end w:w="80" w:type="dxa"/>
            </w:tcMar>
            <w:vAlign w:val="center"/>
          </w:tcPr>
          <w:p>
            <w:pPr>
              <w:spacing w:after="0" w:before="0"/>
            </w:pPr>
            <w:r>
              <w:rPr>
                <w:rFonts w:ascii="Liberation Sans" w:hAnsi="Liberation Sans"/>
                <w:b w:val="0"/>
                <w:color w:val="1F2937"/>
                <w:sz w:val="16"/>
              </w:rPr>
              <w:t>Module/action permissions separated from role names.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6"/>
              </w:rPr>
              <w:t>BU access</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6"/>
              </w:rPr>
              <w:t>sec.UserBusinessUnit</w:t>
            </w:r>
          </w:p>
        </w:tc>
        <w:tc>
          <w:tcPr>
            <w:tcW w:type="dxa" w:w="5112"/>
            <w:tcMar>
              <w:top w:w="70" w:type="dxa"/>
              <w:start w:w="80" w:type="dxa"/>
              <w:bottom w:w="70" w:type="dxa"/>
              <w:end w:w="80" w:type="dxa"/>
            </w:tcMar>
            <w:vAlign w:val="center"/>
          </w:tcPr>
          <w:p>
            <w:pPr>
              <w:spacing w:after="0" w:before="0"/>
            </w:pPr>
            <w:r>
              <w:rPr>
                <w:rFonts w:ascii="Liberation Sans" w:hAnsi="Liberation Sans"/>
                <w:b w:val="0"/>
                <w:color w:val="1F2937"/>
                <w:sz w:val="16"/>
              </w:rPr>
              <w:t>BU scope is evaluated together with role permission.</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6"/>
              </w:rPr>
              <w:t>Maker-checker</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6"/>
              </w:rPr>
              <w:t>rpt.TreasurySubmission + workflow.WorkflowAction</w:t>
            </w:r>
          </w:p>
        </w:tc>
        <w:tc>
          <w:tcPr>
            <w:tcW w:type="dxa" w:w="5112"/>
            <w:tcMar>
              <w:top w:w="70" w:type="dxa"/>
              <w:start w:w="80" w:type="dxa"/>
              <w:bottom w:w="70" w:type="dxa"/>
              <w:end w:w="80" w:type="dxa"/>
            </w:tcMar>
            <w:vAlign w:val="center"/>
          </w:tcPr>
          <w:p>
            <w:pPr>
              <w:spacing w:after="0" w:before="0"/>
            </w:pPr>
            <w:r>
              <w:rPr>
                <w:rFonts w:ascii="Liberation Sans" w:hAnsi="Liberation Sans"/>
                <w:b w:val="0"/>
                <w:color w:val="1F2937"/>
                <w:sz w:val="16"/>
              </w:rPr>
              <w:t>Approval logic compares maker/submission user with acting approver and blocks self-approval where applicable.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6"/>
              </w:rPr>
              <w:t>Financial approval</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6"/>
              </w:rPr>
              <w:t>workflow.WorkflowInstance/WorkflowAction</w:t>
            </w:r>
          </w:p>
        </w:tc>
        <w:tc>
          <w:tcPr>
            <w:tcW w:type="dxa" w:w="5112"/>
            <w:tcMar>
              <w:top w:w="70" w:type="dxa"/>
              <w:start w:w="80" w:type="dxa"/>
              <w:bottom w:w="70" w:type="dxa"/>
              <w:end w:w="80" w:type="dxa"/>
            </w:tcMar>
            <w:vAlign w:val="center"/>
          </w:tcPr>
          <w:p>
            <w:pPr>
              <w:spacing w:after="0" w:before="0"/>
            </w:pPr>
            <w:r>
              <w:rPr>
                <w:rFonts w:ascii="Liberation Sans" w:hAnsi="Liberation Sans"/>
                <w:b w:val="0"/>
                <w:color w:val="1F2937"/>
                <w:sz w:val="16"/>
              </w:rPr>
              <w:t>System administration privileges do not imply financial approval.</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6"/>
              </w:rPr>
              <w:t>Read-only executive access</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6"/>
              </w:rPr>
              <w:t>rpt.TreasurySnapshot*</w:t>
            </w:r>
          </w:p>
        </w:tc>
        <w:tc>
          <w:tcPr>
            <w:tcW w:type="dxa" w:w="5112"/>
            <w:tcMar>
              <w:top w:w="70" w:type="dxa"/>
              <w:start w:w="80" w:type="dxa"/>
              <w:bottom w:w="70" w:type="dxa"/>
              <w:end w:w="80" w:type="dxa"/>
            </w:tcMar>
            <w:vAlign w:val="center"/>
          </w:tcPr>
          <w:p>
            <w:pPr>
              <w:spacing w:after="0" w:before="0"/>
            </w:pPr>
            <w:r>
              <w:rPr>
                <w:rFonts w:ascii="Liberation Sans" w:hAnsi="Liberation Sans"/>
                <w:b w:val="0"/>
                <w:color w:val="1F2937"/>
                <w:sz w:val="16"/>
              </w:rPr>
              <w:t>CEO and Board queries use approved/published snapshot entities only.</w:t>
            </w:r>
          </w:p>
        </w:tc>
      </w:tr>
    </w:tbl>
    <w:p>
      <w:pPr>
        <w:pStyle w:val="Heading1"/>
        <w:spacing w:before="200" w:after="100"/>
      </w:pPr>
      <w:r>
        <w:rPr>
          <w:rFonts w:ascii="Liberation Sans" w:hAnsi="Liberation Sans"/>
          <w:b/>
          <w:color w:val="17365D"/>
          <w:sz w:val="30"/>
        </w:rPr>
        <w:t>7. Data Ingestion and Validation Design</w:t>
      </w:r>
    </w:p>
    <w:p>
      <w:pPr>
        <w:spacing w:after="100" w:line="252" w:lineRule="auto"/>
      </w:pPr>
      <w:r>
        <w:rPr>
          <w:rFonts w:ascii="Liberation Sans" w:hAnsi="Liberation Sans"/>
          <w:b w:val="0"/>
          <w:color w:val="1F2937"/>
          <w:sz w:val="18"/>
        </w:rPr>
        <w:t>Excel uploads use a controlled definition instead of accepting arbitrary spreadsheets. UploadTemplate and UploadTemplateColumn describe the approved template version, expected columns, order, required flags and target fields. UploadBatch stores the file lineage and validation summary; UploadDetail retains every source row as JSON; ValidationError identifies row, field, rule and reason.</w:t>
      </w:r>
    </w:p>
    <w:p>
      <w:pPr>
        <w:spacing w:after="100" w:line="252" w:lineRule="auto"/>
      </w:pPr>
      <w:r>
        <w:rPr>
          <w:rFonts w:ascii="Liberation Sans" w:hAnsi="Liberation Sans"/>
          <w:b w:val="0"/>
          <w:color w:val="1F2937"/>
          <w:sz w:val="18"/>
        </w:rPr>
        <w:t>Only validated rows are imported to production tables. The production row retains UploadBatchId where applicable so reviewers and auditors can trace a financial value back to the upload. FileHash and optional RowHash support duplicate detection. Supporting documentation is represented by Attachment metadata and a controlled storage reference rather than embedding an implementation-specific storage choice into the logical design.</w:t>
      </w:r>
    </w:p>
    <w:p>
      <w:pPr>
        <w:pStyle w:val="Heading1"/>
        <w:spacing w:before="200" w:after="100"/>
      </w:pPr>
      <w:r>
        <w:rPr>
          <w:rFonts w:ascii="Liberation Sans" w:hAnsi="Liberation Sans"/>
          <w:b/>
          <w:color w:val="17365D"/>
          <w:sz w:val="30"/>
        </w:rPr>
        <w:t>8. Treasury Data Model by Functional Area</w:t>
      </w:r>
    </w:p>
    <w:tbl>
      <w:tblPr>
        <w:tblStyle w:val="TableGrid"/>
        <w:tblW w:type="auto" w:w="0"/>
        <w:jc w:val="center"/>
        <w:tblLook w:firstColumn="1" w:firstRow="1" w:lastColumn="0" w:lastRow="0" w:noHBand="0" w:noVBand="1" w:val="04A0"/>
      </w:tblPr>
      <w:tblGrid>
        <w:gridCol w:w="3298"/>
        <w:gridCol w:w="3298"/>
        <w:gridCol w:w="3298"/>
      </w:tblGrid>
      <w:tr>
        <w:trPr>
          <w:cantSplit w:val="true"/>
          <w:tblHeader w:val="true"/>
        </w:trPr>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5"/>
              </w:rPr>
              <w:t>Functional Area</w:t>
            </w:r>
          </w:p>
        </w:tc>
        <w:tc>
          <w:tcPr>
            <w:tcW w:type="dxa" w:w="3888"/>
            <w:tcMar>
              <w:top w:w="70" w:type="dxa"/>
              <w:start w:w="80" w:type="dxa"/>
              <w:bottom w:w="70" w:type="dxa"/>
              <w:end w:w="80" w:type="dxa"/>
            </w:tcMar>
            <w:vAlign w:val="center"/>
            <w:shd w:fill="1F4E78"/>
          </w:tcPr>
          <w:p>
            <w:pPr>
              <w:spacing w:after="0" w:before="0"/>
            </w:pPr>
            <w:r>
              <w:rPr>
                <w:rFonts w:ascii="Liberation Sans" w:hAnsi="Liberation Sans"/>
                <w:b/>
                <w:color w:val="FFFFFF"/>
                <w:sz w:val="15"/>
              </w:rPr>
              <w:t>Primary Tables</w:t>
            </w:r>
          </w:p>
        </w:tc>
        <w:tc>
          <w:tcPr>
            <w:tcW w:type="dxa" w:w="5040"/>
            <w:tcMar>
              <w:top w:w="70" w:type="dxa"/>
              <w:start w:w="80" w:type="dxa"/>
              <w:bottom w:w="70" w:type="dxa"/>
              <w:end w:w="80" w:type="dxa"/>
            </w:tcMar>
            <w:vAlign w:val="center"/>
            <w:shd w:fill="1F4E78"/>
          </w:tcPr>
          <w:p>
            <w:pPr>
              <w:spacing w:after="0" w:before="0"/>
            </w:pPr>
            <w:r>
              <w:rPr>
                <w:rFonts w:ascii="Liberation Sans" w:hAnsi="Liberation Sans"/>
                <w:b/>
                <w:color w:val="FFFFFF"/>
                <w:sz w:val="15"/>
              </w:rPr>
              <w:t>Key Design Point</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Funds Position</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banking.BankAccount, banking.BankBalance, treasury.FXRate</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One account master plus dated balances replaces one-sheet-per-account. Closing balance converts through approved FX rate.</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Working Capital</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treasury.WorkingCapitalFacility, treasury.FacilityUtilization</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ParentFacilityId and IsSharedLimit support umbrella/sub-limit structures so sub-limits are not blindly summed.</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Loans</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treasury.Loan, LoanRepayment, LoanMovementForecast</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Year/month worksheet columns become dated child rows. Payment is stored as positive amount and direction is handled by business logic.</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Investments</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treasury.Investment, InvestmentValuation</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Separates acquisition/cost data from dated market valuations and FX conversion.</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Debt to Equity</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treasury.EquityValuation</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Added to reproduce the workbook equity bridge; Avg. EBDA definition remains TBD.</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Cash Flow</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treasury.CashFlowCategory, CashFlowForecast</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Phase 1 supports weekly buckets; BucketType also allows migration/read-only monthly records from the existing workbook.</w:t>
            </w:r>
          </w:p>
        </w:tc>
      </w:tr>
      <w:tr>
        <w:trPr>
          <w:cantSplit w:val="true"/>
        </w:trPr>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5"/>
              </w:rPr>
              <w:t>Liquidity Adjustments</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treasury.LiquidityAdjustment</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Makes liquidity reserve, reserved working capital and manual reconciliation adjustments explicit, reasoned and approvable.</w:t>
            </w:r>
          </w:p>
        </w:tc>
      </w:tr>
    </w:tbl>
    <w:p>
      <w:pPr>
        <w:sectPr>
          <w:headerReference w:type="default" r:id="rId9"/>
          <w:footerReference w:type="default" r:id="rId10"/>
          <w:pgSz w:w="11909" w:h="16834"/>
          <w:pgMar w:top="936" w:right="1008" w:bottom="936" w:left="1008" w:header="720" w:footer="720" w:gutter="0"/>
          <w:cols w:space="720"/>
          <w:docGrid w:linePitch="360"/>
        </w:sectPr>
      </w:pPr>
    </w:p>
    <w:p>
      <w:pPr>
        <w:pStyle w:val="Heading1"/>
        <w:spacing w:before="200" w:after="100"/>
      </w:pPr>
      <w:r>
        <w:rPr>
          <w:rFonts w:ascii="Liberation Sans" w:hAnsi="Liberation Sans"/>
          <w:b/>
          <w:color w:val="17365D"/>
          <w:sz w:val="30"/>
        </w:rPr>
        <w:t>9. Complete Table Catalog</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cantSplit w:val="true"/>
          <w:tblHeader w:val="true"/>
        </w:trPr>
        <w:tc>
          <w:tcPr>
            <w:tcW w:type="dxa" w:w="2376"/>
            <w:tcMar>
              <w:top w:w="70" w:type="dxa"/>
              <w:start w:w="80" w:type="dxa"/>
              <w:bottom w:w="70" w:type="dxa"/>
              <w:end w:w="80" w:type="dxa"/>
            </w:tcMar>
            <w:vAlign w:val="center"/>
            <w:shd w:fill="1F4E78"/>
          </w:tcPr>
          <w:p>
            <w:pPr>
              <w:spacing w:after="0" w:before="0"/>
            </w:pPr>
            <w:r>
              <w:rPr>
                <w:rFonts w:ascii="Liberation Sans" w:hAnsi="Liberation Sans"/>
                <w:b/>
                <w:color w:val="FFFFFF"/>
                <w:sz w:val="13"/>
              </w:rPr>
              <w:t>Table</w:t>
            </w:r>
          </w:p>
        </w:tc>
        <w:tc>
          <w:tcPr>
            <w:tcW w:type="dxa" w:w="1872"/>
            <w:tcMar>
              <w:top w:w="70" w:type="dxa"/>
              <w:start w:w="80" w:type="dxa"/>
              <w:bottom w:w="70" w:type="dxa"/>
              <w:end w:w="80" w:type="dxa"/>
            </w:tcMar>
            <w:vAlign w:val="center"/>
            <w:shd w:fill="1F4E78"/>
          </w:tcPr>
          <w:p>
            <w:pPr>
              <w:spacing w:after="0" w:before="0"/>
            </w:pPr>
            <w:r>
              <w:rPr>
                <w:rFonts w:ascii="Liberation Sans" w:hAnsi="Liberation Sans"/>
                <w:b/>
                <w:color w:val="FFFFFF"/>
                <w:sz w:val="13"/>
              </w:rPr>
              <w:t>Primary Key</w:t>
            </w:r>
          </w:p>
        </w:tc>
        <w:tc>
          <w:tcPr>
            <w:tcW w:type="dxa" w:w="5328"/>
            <w:tcMar>
              <w:top w:w="70" w:type="dxa"/>
              <w:start w:w="80" w:type="dxa"/>
              <w:bottom w:w="70" w:type="dxa"/>
              <w:end w:w="80" w:type="dxa"/>
            </w:tcMar>
            <w:vAlign w:val="center"/>
            <w:shd w:fill="1F4E78"/>
          </w:tcPr>
          <w:p>
            <w:pPr>
              <w:spacing w:after="0" w:before="0"/>
            </w:pPr>
            <w:r>
              <w:rPr>
                <w:rFonts w:ascii="Liberation Sans" w:hAnsi="Liberation Sans"/>
                <w:b/>
                <w:color w:val="FFFFFF"/>
                <w:sz w:val="13"/>
              </w:rPr>
              <w:t>Purpose</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Scope</w:t>
            </w:r>
          </w:p>
        </w:tc>
        <w:tc>
          <w:tcPr>
            <w:tcW w:type="dxa" w:w="3384"/>
            <w:tcMar>
              <w:top w:w="70" w:type="dxa"/>
              <w:start w:w="80" w:type="dxa"/>
              <w:bottom w:w="70" w:type="dxa"/>
              <w:end w:w="80" w:type="dxa"/>
            </w:tcMar>
            <w:vAlign w:val="center"/>
            <w:shd w:fill="1F4E78"/>
          </w:tcPr>
          <w:p>
            <w:pPr>
              <w:spacing w:after="0" w:before="0"/>
            </w:pPr>
            <w:r>
              <w:rPr>
                <w:rFonts w:ascii="Liberation Sans" w:hAnsi="Liberation Sans"/>
                <w:b/>
                <w:color w:val="FFFFFF"/>
                <w:sz w:val="13"/>
              </w:rPr>
              <w:t>Source Basis</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sec.AppUser</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AppUserId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Application credential and user status master.</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31, 40; FSD 2,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sec.SecurityRole</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SecurityRoleId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Application role master.</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8, 31; FSD 2,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sec.Permission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PermissionId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Fine grained module/action permission master.</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8, 31; FSD 2</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sec.UserRole</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AppUserId, SecurityRoleId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Many-to-many mapping of users to roles.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8, 31; FSD 2</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sec.RolePermission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SecurityRoleId, PermissionId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Many-to-many mapping of roles to permissions.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8, 31; FSD 2</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ref.Country</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CountryId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Country reference master.</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12, 37; FSD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ref.Currency</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CurrencyId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Currency reference master.</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16, 37; FSD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ref.Bank</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BankId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Bank master used across accounts, facilities and borrowings.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12-14, 37; FSD 6; Excel Funds/WC/Loan</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ref.AccountType</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AccountTypeId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Bank account type reference.</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12; FSD 4.2, 6; Excel Funds</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ref.FacilityType</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FacilityTypeId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Working capital/borrowing facility type reference.</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13-14; FSD 6; Excel Working capital</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ref.InvestmentType</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InvestmentTypeId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Investment classification master.</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15; FSD 6; Excel Debt &amp; Equity</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ref.TreasuryCategory</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TreasuryCategoryId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Generic treasury category/reference master used for configurable classifications.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37, 40; FSD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org.Organization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OrganizationId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Top-level organization master.</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37; FSD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org.BusinessGroup</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BusinessGroupId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Business grouping below organization.</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37; FSD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org.BusinessUnit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BusinessUnitId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Business Unit master and primary row-level security dimension.</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5, 8, 37; FSD 2, 6; Excel unit codes</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org.LegalEntity</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LegalEntityId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Legal entity master owned by a Business Unit.</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12, 37; FSD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sec.UserBusinessUnit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AppUserId, BusinessUnitId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User-to-BU access scope mapping.</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8, 31, 39; FSD 2,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rpt.ReportingPeriod</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ReportingPeriodId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Controlled treasury reporting cycle.</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6-7, 27-28; FSD 3,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rpt.ReportVersion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ReportVersionId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Versioned financial position for a Reporting Period, including reopen lifecycle.</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11, 27-28, 39; FSD 3,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rpt.TreasurySubmission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TreasurySubmissionId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BU reporting package and workflow anchor for a period/version.</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6, 8-10, 38; FSD 3,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banking.BankAccount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BankAccountId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Central bank account master replacing one worksheet per account.</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12, 41; FSD 4.2-4.3, 6; Excel account sheets</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banking.BankBalance</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BankBalanceId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Dated bank balance fact used by Funds Position and liquidity KPIs.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12, 20, 25; FSD 4.2-4.3, 6; Excel Funds position</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treasury.FXRate</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FXRateId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Approved foreign exchange rate master by currency pair and effective date.</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16, 25; FSD 4.2, 5, 6; Excel hard-coded FX rates</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treasury.WorkingCapitalFacility</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FacilityId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Central working capital facility master with support for shared/umbrella limits.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13; FSD 4.5, 6; Excel Working capital</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treasury.FacilityUtilization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FacilityUtilizationId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Reporting-date utilization of a working capital facility.</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13, 22, 25; FSD 4.5, 6; Excel Working capital</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treasury.FacilityApplication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FacilityApplicationId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Working capital financing application/expected approval record, primarily for QDB sections in current workbook.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 if retained; otherwise TBD</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FSD 4.8, 6; Excel Loan movement QDB WC financing</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treasury.Loan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LoanId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Central loan/borrowing master for short-term and long-term borrowings.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14; FSD 4.6, 6; Excel Loan</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treasury.LoanRepayment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LoanRepaymentId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Dated principal/interest repayment schedule and actual payment tracking.</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14, 25; FSD 4.6, 6; Excel Loan</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treasury.LoanMovementForecast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LoanMovementForecastId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Versioned future loan movement schedule replacing month columns in the workbook.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FSD 4.8, 6; Excel Loan movement</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treasury.Investment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InvestmentId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Investment master covering shares, metals and fixed deposits.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15, 25; FSD 4.7, 6; Excel Debt &amp; Equity/Dashboard</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treasury.InvestmentValuation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InvestmentValuationId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Dated market valuation for investments.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15; FSD 4.7, 6; Excel Debt &amp; Equity</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treasury.EquityValuation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EquityValuationId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Group/BU equity book value bridge required to reproduce the workbook Debt-to-Equity KPI.</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 subject to confirmation</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FSD 4.7, 8; Excel Debt &amp; Equity</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treasury.CashFlowCategory</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CashFlowCategoryId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Configurable cash flow category master.</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17; FSD 4.4,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treasury.CashFlowForecast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CashFlowForecastId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BU cash flow forecast by category and weekly/monthly bucket.</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17, 25, 42; FSD 4.4, 6; Excel Cash flow</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treasury.LiquidityAdjustment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LiquidityAdjustmentId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Explicit approved adjustment replacing hidden/manual reserve and summary adjustments in the workbook.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 subject to Finance confirmation</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FSD 4.2, 4.7, 4.8; Excel Funds position / Loan movement</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workflow.WorkflowInstance</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WorkflowInstanceId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Workflow state container for BU submission or Group report version.</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6, 9-11; FSD 3,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workflow.WorkflowAction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WorkflowActionId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Immutable approval, return, submit, reopen and publish action history.</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9-11, 29; FSD 3, 9</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workflow.WorkflowComment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WorkflowCommentId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Threaded business/reviewer comments tied to period, BU, module and data record.</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21, 25, 29; FSD 6, 9</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workflow.TreasuryException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TreasuryExceptionId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Validation/business exception register with severity and override controls.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22, 24, 29; FSD 5, 6, 9</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ingest.UploadTemplate</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UploadTemplateId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Approved standardized Excel upload template definition and version.</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19-20; FSD 6; derived implementation</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ingest.UploadTemplateColumn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UploadTemplateColumnId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Expected column definition for upload structure validation.</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19-20; derived implementation</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ingest.UploadBatch</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UploadBatchId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Uploaded file header, lineage and validation summary.</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19-20, 29; FSD 6, 9</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ingest.UploadDetail</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UploadDetailId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Staging row preserving raw source values and import result.</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19-20; FSD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ingest.ValidationError</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ValidationErrorId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Row/record level validation result with field and reason.</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20, 22; FSD 5,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ingest.Attachment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AttachmentId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Supporting document metadata linked to period/module/record.</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8, 21-22; FSD 6</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rpt.TreasurySnapshot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TreasurySnapshotId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Immutable manifest for a CFO-approved report version.</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11, 25, 27-28, 33; FSD 3, 6, 8-9</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rpt.SnapshotKPI</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SnapshotKPIId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Immutable KPI values captured from approved source data.</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24-28; FSD 8</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rpt.SnapshotDetail</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SnapshotDetailId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Immutable denormalized module detail enabling historical drill-down even after master data changes.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26-28; FSD 6.1, 8.1; derived implementation</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rpt.SnapshotComment</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SnapshotCommentId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Immutable management/executive commentary captured at approval.</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21, 25, 27; FSD 8.1</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notify.Notification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NotificationId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Workflow/deadline notification queue and delivery history.</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32; FSD 6, 10</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audit.AuditLog</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AuditLogId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Append-only application audit log for data and workflow actions.</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29, 39; FSD 9</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cfg.Configuration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ConfigurationId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Effective-dated application/business rule configuration.</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Phase 1</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BRD 40; FSD 6, 8</w:t>
            </w:r>
          </w:p>
        </w:tc>
      </w:tr>
      <w:tr>
        <w:trPr>
          <w:cantSplit w:val="true"/>
        </w:trPr>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3"/>
              </w:rPr>
              <w:t>banking.BankTransaction</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3"/>
              </w:rPr>
              <w:t>BankTransactionId</w:t>
            </w:r>
          </w:p>
        </w:tc>
        <w:tc>
          <w:tcPr>
            <w:tcW w:type="dxa" w:w="5328"/>
            <w:tcMar>
              <w:top w:w="70" w:type="dxa"/>
              <w:start w:w="80" w:type="dxa"/>
              <w:bottom w:w="70" w:type="dxa"/>
              <w:end w:w="80" w:type="dxa"/>
            </w:tcMar>
            <w:vAlign w:val="center"/>
          </w:tcPr>
          <w:p>
            <w:pPr>
              <w:spacing w:after="0" w:before="0"/>
            </w:pPr>
            <w:r>
              <w:rPr>
                <w:rFonts w:ascii="Liberation Sans" w:hAnsi="Liberation Sans"/>
                <w:b w:val="0"/>
                <w:color w:val="1F2937"/>
                <w:sz w:val="13"/>
              </w:rPr>
              <w:t>Normalized bank statement transaction detail for future bank-specific parsing.</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Later / optional</w:t>
            </w:r>
          </w:p>
        </w:tc>
        <w:tc>
          <w:tcPr>
            <w:tcW w:type="dxa" w:w="3384"/>
            <w:tcMar>
              <w:top w:w="70" w:type="dxa"/>
              <w:start w:w="80" w:type="dxa"/>
              <w:bottom w:w="70" w:type="dxa"/>
              <w:end w:w="80" w:type="dxa"/>
            </w:tcMar>
            <w:vAlign w:val="center"/>
          </w:tcPr>
          <w:p>
            <w:pPr>
              <w:spacing w:after="0" w:before="0"/>
            </w:pPr>
            <w:r>
              <w:rPr>
                <w:rFonts w:ascii="Liberation Sans" w:hAnsi="Liberation Sans"/>
                <w:b w:val="0"/>
                <w:color w:val="1F2937"/>
                <w:sz w:val="13"/>
              </w:rPr>
              <w:t>FSD 4.3, 10; Excel account sheets</w:t>
            </w:r>
          </w:p>
        </w:tc>
      </w:tr>
    </w:tbl>
    <w:p>
      <w:pPr>
        <w:sectPr>
          <w:headerReference w:type="default" r:id="rId12"/>
          <w:footerReference w:type="default" r:id="rId13"/>
          <w:pgSz w:w="16834" w:h="11909" w:orient="landscape"/>
          <w:pgMar w:top="792" w:right="792" w:bottom="792" w:left="792" w:header="720" w:footer="720" w:gutter="0"/>
          <w:cols w:space="720"/>
          <w:docGrid w:linePitch="360"/>
        </w:sectPr>
      </w:pPr>
    </w:p>
    <w:p>
      <w:pPr>
        <w:pStyle w:val="Heading1"/>
        <w:spacing w:before="200" w:after="100"/>
      </w:pPr>
      <w:r>
        <w:rPr>
          <w:rFonts w:ascii="Liberation Sans" w:hAnsi="Liberation Sans"/>
          <w:b/>
          <w:color w:val="17365D"/>
          <w:sz w:val="30"/>
        </w:rPr>
        <w:t>10. Core Table Data Dictionary</w:t>
      </w:r>
    </w:p>
    <w:p>
      <w:pPr>
        <w:spacing w:after="100" w:line="252" w:lineRule="auto"/>
      </w:pPr>
      <w:r>
        <w:rPr>
          <w:rFonts w:ascii="Liberation Sans" w:hAnsi="Liberation Sans"/>
          <w:b w:val="0"/>
          <w:color w:val="1F2937"/>
          <w:sz w:val="18"/>
        </w:rPr>
        <w:t>The companion Excel data dictionary contains every defined column for all 53 tables. The sections below reproduce the most implementation-critical tables in the design document for review. “Basis” distinguishes source-derived fields from implementation fields and unresolved items.</w:t>
      </w:r>
    </w:p>
    <w:p>
      <w:pPr>
        <w:pStyle w:val="Heading2"/>
        <w:spacing w:before="140" w:after="100"/>
      </w:pPr>
      <w:r>
        <w:rPr>
          <w:rFonts w:ascii="Liberation Sans" w:hAnsi="Liberation Sans"/>
          <w:b/>
          <w:color w:val="17365D"/>
          <w:sz w:val="24"/>
        </w:rPr>
        <w:t>10.1 sec.AppUser</w:t>
      </w:r>
    </w:p>
    <w:p>
      <w:pPr>
        <w:spacing w:after="100" w:line="252" w:lineRule="auto"/>
      </w:pPr>
      <w:r>
        <w:rPr>
          <w:rFonts w:ascii="Liberation Sans" w:hAnsi="Liberation Sans"/>
          <w:b w:val="0"/>
          <w:color w:val="1F2937"/>
          <w:sz w:val="18"/>
        </w:rPr>
        <w:t>Application credential and user status master.</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AppUserId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Surrogate application user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LoginName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AK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Unique application login name.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DisplayName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User display name.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EmailAddress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nvarchar(254)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Corporate email address used for notifications.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PasswordHash</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nvarchar(512)</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One-way salted password hash. Interprets BRD encrypted password requirement as non-reversible credential storage.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PasswordAlgorithm</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Hash algorithm/version identifier.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PasswordChangedAtUtc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Last password change time.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FailedLoginCount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Consecutive failed login count.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LockoutUntilUtc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Temporary account lockout expiry.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MustChangePassword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Forces password change at next login when enabled.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IsActive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User active status.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LastLoginAtUtc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Last successful login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Most recent update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last modified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SQL Server optimistic concurrency token.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10.2 rpt.ReportingPeriod</w:t>
      </w:r>
    </w:p>
    <w:p>
      <w:pPr>
        <w:spacing w:after="100" w:line="252" w:lineRule="auto"/>
      </w:pPr>
      <w:r>
        <w:rPr>
          <w:rFonts w:ascii="Liberation Sans" w:hAnsi="Liberation Sans"/>
          <w:b w:val="0"/>
          <w:color w:val="1F2937"/>
          <w:sz w:val="18"/>
        </w:rPr>
        <w:t>Controlled treasury reporting cycle.</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ReportingPeriodId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Reporting period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PeriodCode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AK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Stable period code such as 2026-08.</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PeriodName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Display label such as August 2026.</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Controlled financial reporting date.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SubmissionStartAt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BU submission opening date/time.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BUSubmissionDeadlineAt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BU submission deadline.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ReviewDeadlineAt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Review deadline.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CFOApprovalDeadlineAt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CFO approval deadline.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PeriodStatus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Period status, for example Open, Review, Closed, Published.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ClosedAtUtc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Financial close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PublishedAtUtc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Publication timestamp for current approved version.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Most recent update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last modified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SQL Server optimistic concurrency token.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10.3 rpt.ReportVersion</w:t>
      </w:r>
    </w:p>
    <w:p>
      <w:pPr>
        <w:spacing w:after="100" w:line="252" w:lineRule="auto"/>
      </w:pPr>
      <w:r>
        <w:rPr>
          <w:rFonts w:ascii="Liberation Sans" w:hAnsi="Liberation Sans"/>
          <w:b w:val="0"/>
          <w:color w:val="1F2937"/>
          <w:sz w:val="18"/>
        </w:rPr>
        <w:t>Versioned financial position for a Reporting Period, including reopen lifecycle.</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ReportVersionId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 version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ReportingPeriodId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rpt.ReportingPeriod.ReportingPeriodId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Parent reporting period.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VersionNo</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smallint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AK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Sequential version number beginning at 1.</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VersionStatus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Draft, InReview, CFOApproved, Published, Superseded or Reopened.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ReopenedFromVersionId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rpt.ReportVersion.ReportVersionId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Previously approved version from which this version was reopened.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ReopenReason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nvarchar(1000)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Mandatory reason when reopening an approved period.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LockedAtUtc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Financial lock timestamp after CFO approval.</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ApprovedByUserId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CFO user who approved this version.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ApprovedAtUtc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CFO approval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Most recent update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last modified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SQL Server optimistic concurrency token.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10.4 banking.BankAccount</w:t>
      </w:r>
    </w:p>
    <w:p>
      <w:pPr>
        <w:spacing w:after="100" w:line="252" w:lineRule="auto"/>
      </w:pPr>
      <w:r>
        <w:rPr>
          <w:rFonts w:ascii="Liberation Sans" w:hAnsi="Liberation Sans"/>
          <w:b w:val="0"/>
          <w:color w:val="1F2937"/>
          <w:sz w:val="18"/>
        </w:rPr>
        <w:t>Central bank account master replacing one worksheet per account.</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BankAccountId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Bank account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BusinessUnitId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org.BusinessUnit.BusinessUnitId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Owning Business Unit.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LegalEntityId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org.LegalEntity.LegalEntityId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Owning legal entity where known.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BankId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ref.Bank.BankId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Bank.</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BranchName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Branch name.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AccountName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Account/customer name.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AccountNumber</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AK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Full account number stored as text to preserve leading zeros. Sensitive display must be masked.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MaskedAccountNumber</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Masked account number used for UI/reporting.</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IBAN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nvarchar(64)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IBAN where applicable.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BIC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Bank/branch BIC where available.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CurrencyId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smallint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ref.Currency.CurrencyId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Account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AccountTypeId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smallint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ref.AccountType.AccountTypeId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Controlled account type.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OpenDate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Opening date.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CloseDate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Closing date.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IsActive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Active status.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Most recent update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last modified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SQL Server optimistic concurrency token.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10.5 banking.BankBalance</w:t>
      </w:r>
    </w:p>
    <w:p>
      <w:pPr>
        <w:spacing w:after="100" w:line="252" w:lineRule="auto"/>
      </w:pPr>
      <w:r>
        <w:rPr>
          <w:rFonts w:ascii="Liberation Sans" w:hAnsi="Liberation Sans"/>
          <w:b w:val="0"/>
          <w:color w:val="1F2937"/>
          <w:sz w:val="18"/>
        </w:rPr>
        <w:t>Dated bank balance fact used by Funds Position and liquidity KPIs.</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BankBalanceId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Balance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BankAccountId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banking.BankAccount.BankAccountId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Bank account.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ReportingPeriodId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rpt.ReportingPeriod.ReportingPeriodId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Reporting period.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ReportVersionId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rpt.ReportVersion.ReportVersionId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Versioned financial position.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BalanceDate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Balance date used for reporting.</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OpeningBalance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Opening balance in account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DebitMovement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Debit movement in account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CreditMovement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Credit movement in account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ClosingBalance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Closing balance in account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CurrencyId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smallint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ref.Currency.CurrencyId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Source currency, expected to match account master.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AppliedFXRateId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treasury.FXRate.FXRateId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Approved FX rate used for reporting currency conversion; null for base currency if rate 1 is implicit.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ReportingCurrencyAmount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Converted amount in reporting currency, normally QAR.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SourceType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Manual, ExcelUpload, BankStatement or Migration.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SourceReference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Statement/upload reference.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SourceGeneratedAtUtc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Source statement/report generation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UploadBatchId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ingest.UploadBatch.UploadBatchId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Upload lineage where imported.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Most recent update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last modified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SQL Server optimistic concurrency token.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10.6 treasury.FXRate</w:t>
      </w:r>
    </w:p>
    <w:p>
      <w:pPr>
        <w:spacing w:after="100" w:line="252" w:lineRule="auto"/>
      </w:pPr>
      <w:r>
        <w:rPr>
          <w:rFonts w:ascii="Liberation Sans" w:hAnsi="Liberation Sans"/>
          <w:b w:val="0"/>
          <w:color w:val="1F2937"/>
          <w:sz w:val="18"/>
        </w:rPr>
        <w:t>Approved foreign exchange rate master by currency pair and effective date.</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FXRateId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FX rate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FromCurrencyId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smallint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ref.Currency.CurrencyId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Source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ToCurrencyId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smallint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ref.Currency.CurrencyId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Target/reporting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ExchangeRate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decimal(19,8)</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Multiplier: Amount in From Currency × ExchangeRate = Amount in To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EffectiveDate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Rate effective date.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RateSource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Source/provider or business source.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ApprovalStatus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Draft, Approved, Rejected or Superseded.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ApprovedByUserId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Approving user.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ApprovedAtUtc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Approval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Most recent update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last modified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SQL Server optimistic concurrency token.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10.7 treasury.WorkingCapitalFacility</w:t>
      </w:r>
    </w:p>
    <w:p>
      <w:pPr>
        <w:spacing w:after="100" w:line="252" w:lineRule="auto"/>
      </w:pPr>
      <w:r>
        <w:rPr>
          <w:rFonts w:ascii="Liberation Sans" w:hAnsi="Liberation Sans"/>
          <w:b w:val="0"/>
          <w:color w:val="1F2937"/>
          <w:sz w:val="18"/>
        </w:rPr>
        <w:t>Central working capital facility master with support for shared/umbrella limits.</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FacilityId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Facility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BusinessUnitId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org.BusinessUnit.BusinessUnitId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Owning BU where facility is BU-specific; may be null for group umbrella facility.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LegalEntityId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org.LegalEntity.LegalEntityId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Borrowing/legal entity.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BankId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ref.Bank.BankId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Facility bank.</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ParentFacilityId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treasury.WorkingCapitalFacility.FacilityId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Umbrella/shared parent facility.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FacilityTypeId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smallint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ref.FacilityType.FacilityTypeId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Facility type such as LC or Murabaha.</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FacilityReference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AK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Bank/internal facility reference.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CurrencyId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smallint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ref.Currency.CurrencyId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Facility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SanctionedLimit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Sanctioned limit in facility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InterestRatePct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decimal(9,6)</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Contract interest rate in percentage points.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BenchmarkRatePct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decimal(9,6)</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Benchmark rate in percentage points.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SpreadPct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decimal(9,6)</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Spread in percentage points.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EffectiveDate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Facility effective date.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ExpiryDate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Facility expiry date.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SecurityText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nvarchar(1000)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Security/collateral description.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CovenantText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nvarchar(2000)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Covenant information.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IsSharedLimit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Identifies umbrella/shared limit whose sublimits are not additive.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FacilityStatus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Active, Expired, Closed, Suspended or Draft.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Most recent update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last modified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SQL Server optimistic concurrency token.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10.8 treasury.FacilityUtilization</w:t>
      </w:r>
    </w:p>
    <w:p>
      <w:pPr>
        <w:spacing w:after="100" w:line="252" w:lineRule="auto"/>
      </w:pPr>
      <w:r>
        <w:rPr>
          <w:rFonts w:ascii="Liberation Sans" w:hAnsi="Liberation Sans"/>
          <w:b w:val="0"/>
          <w:color w:val="1F2937"/>
          <w:sz w:val="18"/>
        </w:rPr>
        <w:t>Reporting-date utilization of a working capital facility.</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FacilityUtilizationId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Utilization fact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FacilityId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treasury.WorkingCapitalFacility.FacilityId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Working capital facility.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ReportingPeriodId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rpt.ReportingPeriod.ReportingPeriodId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Reporting period.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ReportVersionId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rpt.ReportVersion.ReportVersionId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 version.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AsOfDate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Utilization as-of date.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UtilizedAmount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Utilized amount.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UnderProcessAmount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Amount under process, required to reproduce current workbook.</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AvailableAmount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Sanctioned limit less utilized amount, respecting configured shared-limit rules.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UtilizationPct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decimal(9,6)</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Utilization percentage points, e.g. 12.0 means 12%.</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SourceType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Manual, ExcelUpload or Migration.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UploadBatchId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ingest.UploadBatch.UploadBatchId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Upload lineage where applicable.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Most recent update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last modified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SQL Server optimistic concurrency token.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10.9 treasury.Loan</w:t>
      </w:r>
    </w:p>
    <w:p>
      <w:pPr>
        <w:spacing w:after="100" w:line="252" w:lineRule="auto"/>
      </w:pPr>
      <w:r>
        <w:rPr>
          <w:rFonts w:ascii="Liberation Sans" w:hAnsi="Liberation Sans"/>
          <w:b w:val="0"/>
          <w:color w:val="1F2937"/>
          <w:sz w:val="18"/>
        </w:rPr>
        <w:t>Central loan/borrowing master for short-term and long-term borrowings.</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LoanId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Loan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BusinessUnitId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org.BusinessUnit.BusinessUnitId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Owning BU where applicable.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LegalEntityId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org.LegalEntity.LegalEntityId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Borrower legal entity.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BorrowerName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Borrower name if not fully represented by LegalEntity.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BankId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ref.Bank.BankId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Lender bank where mapped.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LenderName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Lender name, retained even if BankId is available.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LoanReference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AK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Loan reference/description such as MAI #1.</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LoanTypeCode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SHORT_TERM or LONG_TERM.</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FacilityTypeId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smallint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ref.FacilityType.FacilityTypeId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Borrowing/facility type.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CurrencyId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smallint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ref.Currency.CurrencyId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Loan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OriginalLoanAmount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Original principal amount.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CurrentOutstanding</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Current outstanding amount.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StartDate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Loan start date.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MaturityDate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Loan maturity/end date.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InterestType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Fixed, Floating or other approved type.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InterestRatePct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decimal(9,6)</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Interest rate in percentage points.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BenchmarkRatePct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decimal(9,6)</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Benchmark rate in percentage points.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SpreadPct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decimal(9,6)</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Spread in percentage points.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RepaymentFrequency</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Monthly, Quarterly, HalfYearly etc.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SecurityText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nvarchar(1000)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Security/collateral description.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CovenantText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nvarchar(2000)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Covenant details.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LoanStatus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Active, Matured, Closed, Draft etc.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Most recent update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last modified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SQL Server optimistic concurrency token.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10.10 treasury.LoanRepayment</w:t>
      </w:r>
    </w:p>
    <w:p>
      <w:pPr>
        <w:spacing w:after="100" w:line="252" w:lineRule="auto"/>
      </w:pPr>
      <w:r>
        <w:rPr>
          <w:rFonts w:ascii="Liberation Sans" w:hAnsi="Liberation Sans"/>
          <w:b w:val="0"/>
          <w:color w:val="1F2937"/>
          <w:sz w:val="18"/>
        </w:rPr>
        <w:t>Dated principal/interest repayment schedule and actual payment tracking.</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LoanRepaymentId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Repayment row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LoanId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treasury.Loan.LoanId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Loan.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ReportingPeriodId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rpt.ReportingPeriod.ReportingPeriodId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Reporting period when repayment is reported/actualized.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ReportVersionId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rpt.ReportVersion.ReportVersionId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 version for reported values.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DueDate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Scheduled due date.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PrincipalAmount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Scheduled principal amount.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InterestAmount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Scheduled/forecast interest amount where maintained.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PaidAmount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Actual amount paid.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PaidDate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Actual payment date.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RepaymentStatus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Scheduled, PartPaid, Paid, Deferred, Cancelled.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SourceReference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Loan schedule/payment source reference.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Most recent update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last modified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SQL Server optimistic concurrency token.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10.11 treasury.CashFlowForecast</w:t>
      </w:r>
    </w:p>
    <w:p>
      <w:pPr>
        <w:spacing w:after="100" w:line="252" w:lineRule="auto"/>
      </w:pPr>
      <w:r>
        <w:rPr>
          <w:rFonts w:ascii="Liberation Sans" w:hAnsi="Liberation Sans"/>
          <w:b w:val="0"/>
          <w:color w:val="1F2937"/>
          <w:sz w:val="18"/>
        </w:rPr>
        <w:t>BU cash flow forecast by category and weekly/monthly bucket.</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CashFlowForecastId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Forecast row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ReportingPeriodId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rpt.ReportingPeriod.ReportingPeriodId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Reporting period.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ReportVersionId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rpt.ReportVersion.ReportVersionId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 version.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BusinessUnitId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org.BusinessUnit.BusinessUnitId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Business Unit.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CashFlowCategoryId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treasury.CashFlowCategory.CashFlowCategoryId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Cash flow category.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BucketStartDate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Forecast bucket start.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BucketEndDate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Forecast bucket end.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BucketType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varchar(10)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WEEK or MONTH. Phase 1 target is weekly; current workbook is monthly.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Source/TBD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Amount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decimal(19,4)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Forecast amount in source/reporting currency as configured.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CurrencyId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smallint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ref.Currency.CurrencyId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Forecast currency.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SourceType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Manual, ExcelUpload or Migration.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UploadBatchId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ingest.UploadBatch.UploadBatchId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Upload lineage.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Most recent update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ModifiedByUserId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last modified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rowversion</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SQL Server optimistic concurrency token.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10.12 workflow.WorkflowAction</w:t>
      </w:r>
    </w:p>
    <w:p>
      <w:pPr>
        <w:spacing w:after="100" w:line="252" w:lineRule="auto"/>
      </w:pPr>
      <w:r>
        <w:rPr>
          <w:rFonts w:ascii="Liberation Sans" w:hAnsi="Liberation Sans"/>
          <w:b w:val="0"/>
          <w:color w:val="1F2937"/>
          <w:sz w:val="18"/>
        </w:rPr>
        <w:t>Immutable approval, return, submit, reopen and publish action history.</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WorkflowActionId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Workflow action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WorkflowInstanceId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workflow.WorkflowInstance.WorkflowInstanceId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Workflow instance.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StageCode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varchar(40)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Approval stage at action time.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AppUserId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Acting user.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SecurityRoleId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sec.SecurityRole.SecurityRoleId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Acting role.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ActionCode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SUBMIT, APPROVE, RETURN, REOPEN, OVERRIDE, PUBLISH etc.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CommentText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nvarchar(2000)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Action comment.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ReasonText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nvarchar(2000)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Mandatory reason for returns/reopening/override where applicable.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FromStatus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varchar(40)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Previous status.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ToStatus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varchar(40)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New status.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ActionAtUtc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Action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CorrelationId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uniqueidentifier</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Correlation identifier shared with audit log.</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10.13 workflow.WorkflowComment</w:t>
      </w:r>
    </w:p>
    <w:p>
      <w:pPr>
        <w:spacing w:after="100" w:line="252" w:lineRule="auto"/>
      </w:pPr>
      <w:r>
        <w:rPr>
          <w:rFonts w:ascii="Liberation Sans" w:hAnsi="Liberation Sans"/>
          <w:b w:val="0"/>
          <w:color w:val="1F2937"/>
          <w:sz w:val="18"/>
        </w:rPr>
        <w:t>Threaded business/reviewer comments tied to period, BU, module and data record.</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WorkflowCommentId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Comment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ReportingPeriodId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rpt.ReportingPeriod.ReportingPeriodId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Reporting period.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ReportVersionId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rpt.ReportVersion.ReportVersionId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 version.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BusinessUnitId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org.BusinessUnit.BusinessUnitId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Business Unit context; null for Group comment.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ModuleCode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Treasury module.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RecordType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Referenced record/entity type.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RecordId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Referenced record identifier.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ParentCommentId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workflow.WorkflowComment.WorkflowCommentId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Parent for threaded replies.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CommentedByUserId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Commenting user.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CommentedByRoleId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sec.SecurityRole.SecurityRoleId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Role used when commenting.</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CommentText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nvarchar(4000)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Comment/reply text.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CommentStatus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Open, Resolved, Closed; row is never hard-deleted.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IsExecutiveVisible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Marks commentary for CFO/CEO/Board snapshot presentation.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Comment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bl>
    <w:p>
      <w:pPr>
        <w:pStyle w:val="Heading2"/>
        <w:spacing w:before="140" w:after="100"/>
      </w:pPr>
      <w:r>
        <w:rPr>
          <w:rFonts w:ascii="Liberation Sans" w:hAnsi="Liberation Sans"/>
          <w:b/>
          <w:color w:val="17365D"/>
          <w:sz w:val="24"/>
        </w:rPr>
        <w:t>10.14 workflow.TreasuryException</w:t>
      </w:r>
    </w:p>
    <w:p>
      <w:pPr>
        <w:spacing w:after="100" w:line="252" w:lineRule="auto"/>
      </w:pPr>
      <w:r>
        <w:rPr>
          <w:rFonts w:ascii="Liberation Sans" w:hAnsi="Liberation Sans"/>
          <w:b w:val="0"/>
          <w:color w:val="1F2937"/>
          <w:sz w:val="18"/>
        </w:rPr>
        <w:t>Validation/business exception register with severity and override controls.</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TreasuryExceptionId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Exception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ReportingPeriodId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rpt.ReportingPeriod.ReportingPeriodId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Reporting period.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ReportVersionId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rpt.ReportVersion.ReportVersionId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 version.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BusinessUnitId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org.BusinessUnit.BusinessUnitId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BU context; null for Group exception.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ModuleCode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Module where exception was raised.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RecordType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Affected entity type.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RecordId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Affected record id.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RuleCode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Validation/exception rule identifier.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SeverityCode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Critical, High, Medium, Informational.</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Description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nvarchar(2000)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Exception detail.</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ExceptionStatus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Open, Resolved, Overridden, Closed.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IsBlocking</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Whether unresolved item blocks workflow stage.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OwnerUserId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Assigned resolver.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OverrideByUserId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Authorized overriding user.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OverrideAtUtc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Override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OverrideReason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nvarchar(2000)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Mandatory override reason.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ResolvedAtUtc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Resolution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Record creation timestamp in UTC.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CreatedByUserId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user that created the record.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10.15 ingest.UploadBatch</w:t>
      </w:r>
    </w:p>
    <w:p>
      <w:pPr>
        <w:spacing w:after="100" w:line="252" w:lineRule="auto"/>
      </w:pPr>
      <w:r>
        <w:rPr>
          <w:rFonts w:ascii="Liberation Sans" w:hAnsi="Liberation Sans"/>
          <w:b w:val="0"/>
          <w:color w:val="1F2937"/>
          <w:sz w:val="18"/>
        </w:rPr>
        <w:t>Uploaded file header, lineage and validation summary.</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UploadBatchId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Upload batch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ReportingPeriodId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rpt.ReportingPeriod.ReportingPeriodId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Reporting period.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ReportVersionId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rpt.ReportVersion.ReportVersionId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 version.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BusinessUnitId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org.BusinessUnit.BusinessUnitId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BU context.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ModuleCode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Target module.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UploadTemplateId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ingest.UploadTemplate.UploadTemplateId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Matched approved template.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TemplateVersion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Template version supplied.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OriginalFileName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nvarchar(260)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Uploaded file name.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FileHash</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varchar(64)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SHA-256 content hash for traceability and duplicate detection.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FileSizeBytes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File size.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UploadedByUserId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Uploader.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UploadedAtUtc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Upload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BatchStatus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Uploaded, Validating, Invalid, ReadyToImport, Imported, Rejected.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TotalRows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Rows processed.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ValidRows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Rows passing validation.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InvalidRows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Rows failing validation.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ImportedRows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Rows committed to production.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10.16 rpt.TreasurySnapshot</w:t>
      </w:r>
    </w:p>
    <w:p>
      <w:pPr>
        <w:spacing w:after="100" w:line="252" w:lineRule="auto"/>
      </w:pPr>
      <w:r>
        <w:rPr>
          <w:rFonts w:ascii="Liberation Sans" w:hAnsi="Liberation Sans"/>
          <w:b w:val="0"/>
          <w:color w:val="1F2937"/>
          <w:sz w:val="18"/>
        </w:rPr>
        <w:t>Immutable manifest for a CFO-approved report version.</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TreasurySnapshotId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Snapshot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ReportingPeriodId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rpt.ReportingPeriod.ReportingPeriodId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Reporting period.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ReportVersionId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FK/AK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rpt.ReportVersion.ReportVersionId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Approved report version.</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SnapshotStatus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Approved, Published or Superseded.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ApprovedByUserId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CFO approver.</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ApprovedAtUtc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Approval/snapshot creation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PublishedByUserId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Authorized publisher. Exact role is TBD.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TBD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PublishedAtUtc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Publication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AudienceScope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CFO_ONLY, CEO, BOARD or configured combined scope.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DataHash</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varchar(64)</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SHA-256 hash/manifest checksum for snapshot integrity.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SourceCutoffAtUtc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Timestamp identifying source data cutoff used to generate snapshot.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10.17 rpt.SnapshotKPI</w:t>
      </w:r>
    </w:p>
    <w:p>
      <w:pPr>
        <w:spacing w:after="100" w:line="252" w:lineRule="auto"/>
      </w:pPr>
      <w:r>
        <w:rPr>
          <w:rFonts w:ascii="Liberation Sans" w:hAnsi="Liberation Sans"/>
          <w:b w:val="0"/>
          <w:color w:val="1F2937"/>
          <w:sz w:val="18"/>
        </w:rPr>
        <w:t>Immutable KPI values captured from approved source data.</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SnapshotKPIId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Snapshot KPI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TreasurySnapshotId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rpt.TreasurySnapshot.TreasurySnapshotId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Snapshot manifest.</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KPIKey</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varchar(60)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Stable KPI identifier, e.g. TOTAL_CASH.</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DimensionType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Optional dimension such as BU, BANK, CURRENCY, FACILITY_TYPE.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DimensionKey</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Denormalized key/code valid at snapshot time.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DimensionLabel</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Denormalized label valid at snapshot time.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CurrencyCode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char(3)</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Denormalized currency code.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NumericValue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decimal(28,8)</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Raw KPI value in atomic units/ratio.</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DisplayValue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Optional formatted text when KPI is not purely numeric.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DisplayUnit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varchar(30)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QAR, QAR_MN, PCT, RATIO, COUNT etc.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SortOrder</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Dashboard ordering.</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2"/>
        <w:spacing w:before="140" w:after="100"/>
      </w:pPr>
      <w:r>
        <w:rPr>
          <w:rFonts w:ascii="Liberation Sans" w:hAnsi="Liberation Sans"/>
          <w:b/>
          <w:color w:val="17365D"/>
          <w:sz w:val="24"/>
        </w:rPr>
        <w:t>10.18 audit.AuditLog</w:t>
      </w:r>
    </w:p>
    <w:p>
      <w:pPr>
        <w:spacing w:after="100" w:line="252" w:lineRule="auto"/>
      </w:pPr>
      <w:r>
        <w:rPr>
          <w:rFonts w:ascii="Liberation Sans" w:hAnsi="Liberation Sans"/>
          <w:b w:val="0"/>
          <w:color w:val="1F2937"/>
          <w:sz w:val="18"/>
        </w:rPr>
        <w:t>Append-only application audit log for data and workflow actions.</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3"/>
              </w:rPr>
              <w:t>Column</w:t>
            </w:r>
          </w:p>
        </w:tc>
        <w:tc>
          <w:tcPr>
            <w:tcW w:type="dxa" w:w="1800"/>
            <w:tcMar>
              <w:top w:w="70" w:type="dxa"/>
              <w:start w:w="80" w:type="dxa"/>
              <w:bottom w:w="70" w:type="dxa"/>
              <w:end w:w="80" w:type="dxa"/>
            </w:tcMar>
            <w:vAlign w:val="center"/>
            <w:shd w:fill="1F4E78"/>
          </w:tcPr>
          <w:p>
            <w:pPr>
              <w:spacing w:after="0" w:before="0"/>
            </w:pPr>
            <w:r>
              <w:rPr>
                <w:rFonts w:ascii="Liberation Sans" w:hAnsi="Liberation Sans"/>
                <w:b/>
                <w:color w:val="FFFFFF"/>
                <w:sz w:val="13"/>
              </w:rPr>
              <w:t>SQL Type</w:t>
            </w:r>
          </w:p>
        </w:tc>
        <w:tc>
          <w:tcPr>
            <w:tcW w:type="dxa" w:w="648"/>
            <w:tcMar>
              <w:top w:w="70" w:type="dxa"/>
              <w:start w:w="80" w:type="dxa"/>
              <w:bottom w:w="70" w:type="dxa"/>
              <w:end w:w="80" w:type="dxa"/>
            </w:tcMar>
            <w:vAlign w:val="center"/>
            <w:shd w:fill="1F4E78"/>
          </w:tcPr>
          <w:p>
            <w:pPr>
              <w:spacing w:after="0" w:before="0"/>
            </w:pPr>
            <w:r>
              <w:rPr>
                <w:rFonts w:ascii="Liberation Sans" w:hAnsi="Liberation Sans"/>
                <w:b/>
                <w:color w:val="FFFFFF"/>
                <w:sz w:val="13"/>
              </w:rPr>
              <w:t>Null</w:t>
            </w:r>
          </w:p>
        </w:tc>
        <w:tc>
          <w:tcPr>
            <w:tcW w:type="dxa" w:w="864"/>
            <w:tcMar>
              <w:top w:w="70" w:type="dxa"/>
              <w:start w:w="80" w:type="dxa"/>
              <w:bottom w:w="70" w:type="dxa"/>
              <w:end w:w="80" w:type="dxa"/>
            </w:tcMar>
            <w:vAlign w:val="center"/>
            <w:shd w:fill="1F4E78"/>
          </w:tcPr>
          <w:p>
            <w:pPr>
              <w:spacing w:after="0" w:before="0"/>
            </w:pPr>
            <w:r>
              <w:rPr>
                <w:rFonts w:ascii="Liberation Sans" w:hAnsi="Liberation Sans"/>
                <w:b/>
                <w:color w:val="FFFFFF"/>
                <w:sz w:val="13"/>
              </w:rPr>
              <w:t>Key</w:t>
            </w:r>
          </w:p>
        </w:tc>
        <w:tc>
          <w:tcPr>
            <w:tcW w:type="dxa" w:w="2088"/>
            <w:tcMar>
              <w:top w:w="70" w:type="dxa"/>
              <w:start w:w="80" w:type="dxa"/>
              <w:bottom w:w="70" w:type="dxa"/>
              <w:end w:w="80" w:type="dxa"/>
            </w:tcMar>
            <w:vAlign w:val="center"/>
            <w:shd w:fill="1F4E78"/>
          </w:tcPr>
          <w:p>
            <w:pPr>
              <w:spacing w:after="0" w:before="0"/>
            </w:pPr>
            <w:r>
              <w:rPr>
                <w:rFonts w:ascii="Liberation Sans" w:hAnsi="Liberation Sans"/>
                <w:b/>
                <w:color w:val="FFFFFF"/>
                <w:sz w:val="13"/>
              </w:rPr>
              <w:t>FK Target</w:t>
            </w:r>
          </w:p>
        </w:tc>
        <w:tc>
          <w:tcPr>
            <w:tcW w:type="dxa" w:w="3816"/>
            <w:tcMar>
              <w:top w:w="70" w:type="dxa"/>
              <w:start w:w="80" w:type="dxa"/>
              <w:bottom w:w="70" w:type="dxa"/>
              <w:end w:w="80" w:type="dxa"/>
            </w:tcMar>
            <w:vAlign w:val="center"/>
            <w:shd w:fill="1F4E78"/>
          </w:tcPr>
          <w:p>
            <w:pPr>
              <w:spacing w:after="0" w:before="0"/>
            </w:pPr>
            <w:r>
              <w:rPr>
                <w:rFonts w:ascii="Liberation Sans" w:hAnsi="Liberation Sans"/>
                <w:b/>
                <w:color w:val="FFFFFF"/>
                <w:sz w:val="13"/>
              </w:rPr>
              <w:t>Description</w:t>
            </w:r>
          </w:p>
        </w:tc>
        <w:tc>
          <w:tcPr>
            <w:tcW w:type="dxa" w:w="1152"/>
            <w:tcMar>
              <w:top w:w="70" w:type="dxa"/>
              <w:start w:w="80" w:type="dxa"/>
              <w:bottom w:w="70" w:type="dxa"/>
              <w:end w:w="80" w:type="dxa"/>
            </w:tcMar>
            <w:vAlign w:val="center"/>
            <w:shd w:fill="1F4E78"/>
          </w:tcPr>
          <w:p>
            <w:pPr>
              <w:spacing w:after="0" w:before="0"/>
            </w:pPr>
            <w:r>
              <w:rPr>
                <w:rFonts w:ascii="Liberation Sans" w:hAnsi="Liberation Sans"/>
                <w:b/>
                <w:color w:val="FFFFFF"/>
                <w:sz w:val="13"/>
              </w:rPr>
              <w:t>Basis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AuditLogId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 IDENTITY(1,1)</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PK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Audit event key.</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EventAtUtc</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datetime2(0)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Event timestamp.</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AppUserId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bigint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sec.AppUser.AppUserId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Acting user, null for system process.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SecurityRoleId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int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t>FK</w:t>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t>sec.SecurityRole.SecurityRoleId</w:t>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Role context at action time.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ActionCode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LOGIN, CREATE, UPDATE, DEACTIVATE, UPLOAD, SUBMIT, APPROVE, RETURN, COMMENT, REOPEN, OVERRIDE, PUBLISH, EXPORT etc.</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ModuleCode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Application module.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RecordType</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varchar(50)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Affected entity type.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RecordId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nvarchar(100)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Affected record identifier as text to support composite/non-numeric keys.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OldValueJson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nvarchar(max)</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Old values for changed fields.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NewValueJson</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nvarchar(max)</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New values for changed fields.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ReasonText</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nvarchar(2000)</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Reason where applicable.</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Source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CorrelationId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uniqueidentifier</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Groups related UI/workflow/upload changes.</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SourceIpAddress</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varchar(45)</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Yes</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Optional client IP; retention requirement remains TBD.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TBD</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3"/>
              </w:rPr>
              <w:t>Succeeded</w:t>
            </w:r>
          </w:p>
        </w:tc>
        <w:tc>
          <w:tcPr>
            <w:tcW w:type="dxa" w:w="1800"/>
            <w:tcMar>
              <w:top w:w="70" w:type="dxa"/>
              <w:start w:w="80" w:type="dxa"/>
              <w:bottom w:w="70" w:type="dxa"/>
              <w:end w:w="80" w:type="dxa"/>
            </w:tcMar>
            <w:vAlign w:val="center"/>
          </w:tcPr>
          <w:p>
            <w:pPr>
              <w:spacing w:after="0" w:before="0"/>
            </w:pPr>
            <w:r>
              <w:rPr>
                <w:rFonts w:ascii="Liberation Sans" w:hAnsi="Liberation Sans"/>
                <w:b w:val="0"/>
                <w:color w:val="1F2937"/>
                <w:sz w:val="13"/>
              </w:rPr>
              <w:t>bit</w:t>
            </w:r>
          </w:p>
        </w:tc>
        <w:tc>
          <w:tcPr>
            <w:tcW w:type="dxa" w:w="648"/>
            <w:tcMar>
              <w:top w:w="70" w:type="dxa"/>
              <w:start w:w="80" w:type="dxa"/>
              <w:bottom w:w="70" w:type="dxa"/>
              <w:end w:w="80" w:type="dxa"/>
            </w:tcMar>
            <w:vAlign w:val="center"/>
          </w:tcPr>
          <w:p>
            <w:pPr>
              <w:spacing w:after="0" w:before="0"/>
            </w:pPr>
            <w:r>
              <w:rPr>
                <w:rFonts w:ascii="Liberation Sans" w:hAnsi="Liberation Sans"/>
                <w:b w:val="0"/>
                <w:color w:val="1F2937"/>
                <w:sz w:val="13"/>
              </w:rPr>
              <w:t>No</w:t>
            </w:r>
          </w:p>
        </w:tc>
        <w:tc>
          <w:tcPr>
            <w:tcW w:type="dxa" w:w="864"/>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2088"/>
            <w:tcMar>
              <w:top w:w="70" w:type="dxa"/>
              <w:start w:w="80" w:type="dxa"/>
              <w:bottom w:w="70" w:type="dxa"/>
              <w:end w:w="80" w:type="dxa"/>
            </w:tcMar>
            <w:vAlign w:val="center"/>
          </w:tcPr>
          <w:p>
            <w:pPr>
              <w:spacing w:after="0" w:before="0"/>
            </w:pPr>
            <w:r>
              <w:rPr>
                <w:rFonts w:ascii="Liberation Sans" w:hAnsi="Liberation Sans"/>
                <w:b w:val="0"/>
                <w:color w:val="1F2937"/>
                <w:sz w:val="13"/>
              </w:rPr>
            </w:r>
          </w:p>
        </w:tc>
        <w:tc>
          <w:tcPr>
            <w:tcW w:type="dxa" w:w="3816"/>
            <w:tcMar>
              <w:top w:w="70" w:type="dxa"/>
              <w:start w:w="80" w:type="dxa"/>
              <w:bottom w:w="70" w:type="dxa"/>
              <w:end w:w="80" w:type="dxa"/>
            </w:tcMar>
            <w:vAlign w:val="center"/>
          </w:tcPr>
          <w:p>
            <w:pPr>
              <w:spacing w:after="0" w:before="0"/>
            </w:pPr>
            <w:r>
              <w:rPr>
                <w:rFonts w:ascii="Liberation Sans" w:hAnsi="Liberation Sans"/>
                <w:b w:val="0"/>
                <w:color w:val="1F2937"/>
                <w:sz w:val="13"/>
              </w:rPr>
              <w:t>Whether attempted action succeeded.</w:t>
            </w:r>
          </w:p>
        </w:tc>
        <w:tc>
          <w:tcPr>
            <w:tcW w:type="dxa" w:w="1152"/>
            <w:tcMar>
              <w:top w:w="70" w:type="dxa"/>
              <w:start w:w="80" w:type="dxa"/>
              <w:bottom w:w="70" w:type="dxa"/>
              <w:end w:w="80" w:type="dxa"/>
            </w:tcMar>
            <w:vAlign w:val="center"/>
          </w:tcPr>
          <w:p>
            <w:pPr>
              <w:spacing w:after="0" w:before="0"/>
            </w:pPr>
            <w:r>
              <w:rPr>
                <w:rFonts w:ascii="Liberation Sans" w:hAnsi="Liberation Sans"/>
                <w:b w:val="0"/>
                <w:color w:val="1F2937"/>
                <w:sz w:val="13"/>
              </w:rPr>
              <w:t>Derived</w:t>
            </w:r>
          </w:p>
        </w:tc>
      </w:tr>
    </w:tbl>
    <w:p>
      <w:pPr>
        <w:pStyle w:val="Heading1"/>
        <w:spacing w:before="200" w:after="100"/>
      </w:pPr>
      <w:r>
        <w:rPr>
          <w:rFonts w:ascii="Liberation Sans" w:hAnsi="Liberation Sans"/>
          <w:b/>
          <w:color w:val="17365D"/>
          <w:sz w:val="30"/>
        </w:rPr>
        <w:t>11. Relationship and Referential Integrity Rules</w:t>
      </w:r>
    </w:p>
    <w:p>
      <w:pPr>
        <w:pStyle w:val="ListBullet"/>
        <w:spacing w:after="40"/>
        <w:ind w:left="360"/>
      </w:pPr>
      <w:r>
        <w:rPr>
          <w:rFonts w:ascii="Liberation Sans" w:hAnsi="Liberation Sans"/>
          <w:b w:val="0"/>
          <w:color w:val="1F2937"/>
          <w:sz w:val="18"/>
        </w:rPr>
        <w:t>A ReportVersion belongs to exactly one ReportingPeriod. A ReportingPeriod can have multiple versions, but a version number is unique within its period.</w:t>
      </w:r>
    </w:p>
    <w:p>
      <w:pPr>
        <w:pStyle w:val="ListBullet"/>
        <w:spacing w:after="40"/>
        <w:ind w:left="360"/>
      </w:pPr>
      <w:r>
        <w:rPr>
          <w:rFonts w:ascii="Liberation Sans" w:hAnsi="Liberation Sans"/>
          <w:b w:val="0"/>
          <w:color w:val="1F2937"/>
          <w:sz w:val="18"/>
        </w:rPr>
        <w:t>A TreasurySubmission is unique by ReportVersionId + BusinessUnitId. This is the BU-level workflow package for the version.</w:t>
      </w:r>
    </w:p>
    <w:p>
      <w:pPr>
        <w:pStyle w:val="ListBullet"/>
        <w:spacing w:after="40"/>
        <w:ind w:left="360"/>
      </w:pPr>
      <w:r>
        <w:rPr>
          <w:rFonts w:ascii="Liberation Sans" w:hAnsi="Liberation Sans"/>
          <w:b w:val="0"/>
          <w:color w:val="1F2937"/>
          <w:sz w:val="18"/>
        </w:rPr>
        <w:t>BankBalance, FacilityUtilization, CashFlowForecast, LoanMovementForecast, InvestmentValuation and LiquidityAdjustment are version-aware facts and must not be updated after the owning ReportVersion is financially locked.</w:t>
      </w:r>
    </w:p>
    <w:p>
      <w:pPr>
        <w:pStyle w:val="ListBullet"/>
        <w:spacing w:after="40"/>
        <w:ind w:left="360"/>
      </w:pPr>
      <w:r>
        <w:rPr>
          <w:rFonts w:ascii="Liberation Sans" w:hAnsi="Liberation Sans"/>
          <w:b w:val="0"/>
          <w:color w:val="1F2937"/>
          <w:sz w:val="18"/>
        </w:rPr>
        <w:t>BankAccount belongs to one BU, bank and currency. Account numbers are text fields to preserve leading zeros and are unique within a bank for active records, subject to migration confirmation for placeholder account labels in the workbook.</w:t>
      </w:r>
    </w:p>
    <w:p>
      <w:pPr>
        <w:pStyle w:val="ListBullet"/>
        <w:spacing w:after="40"/>
        <w:ind w:left="360"/>
      </w:pPr>
      <w:r>
        <w:rPr>
          <w:rFonts w:ascii="Liberation Sans" w:hAnsi="Liberation Sans"/>
          <w:b w:val="0"/>
          <w:color w:val="1F2937"/>
          <w:sz w:val="18"/>
        </w:rPr>
        <w:t>WorkingCapitalFacility may reference ParentFacilityId. If IsSharedLimit = 1, parent/umbrella limit rules take precedence over additive sub-limit totals.</w:t>
      </w:r>
    </w:p>
    <w:p>
      <w:pPr>
        <w:pStyle w:val="ListBullet"/>
        <w:spacing w:after="40"/>
        <w:ind w:left="360"/>
      </w:pPr>
      <w:r>
        <w:rPr>
          <w:rFonts w:ascii="Liberation Sans" w:hAnsi="Liberation Sans"/>
          <w:b w:val="0"/>
          <w:color w:val="1F2937"/>
          <w:sz w:val="18"/>
        </w:rPr>
        <w:t>A TreasurySnapshot is one-to-one with an approved ReportVersion. SnapshotKPI, SnapshotDetail and SnapshotComment are append-only children.</w:t>
      </w:r>
    </w:p>
    <w:p>
      <w:pPr>
        <w:pStyle w:val="ListBullet"/>
        <w:spacing w:after="40"/>
        <w:ind w:left="360"/>
      </w:pPr>
      <w:r>
        <w:rPr>
          <w:rFonts w:ascii="Liberation Sans" w:hAnsi="Liberation Sans"/>
          <w:b w:val="0"/>
          <w:color w:val="1F2937"/>
          <w:sz w:val="18"/>
        </w:rPr>
        <w:t>All finance/workflow relationships use NO CASCADE DELETE. Historical rows are retained; masters are closed/deactivated rather than removed.</w:t>
      </w:r>
    </w:p>
    <w:p>
      <w:pPr>
        <w:pStyle w:val="Heading1"/>
        <w:spacing w:before="200" w:after="100"/>
      </w:pPr>
      <w:r>
        <w:rPr>
          <w:rFonts w:ascii="Liberation Sans" w:hAnsi="Liberation Sans"/>
          <w:b/>
          <w:color w:val="17365D"/>
          <w:sz w:val="30"/>
        </w:rPr>
        <w:t>12. Validation and Database Constraint Strategy</w:t>
      </w:r>
    </w:p>
    <w:p>
      <w:pPr>
        <w:spacing w:after="100" w:line="252" w:lineRule="auto"/>
      </w:pPr>
      <w:r>
        <w:rPr>
          <w:rFonts w:ascii="Liberation Sans" w:hAnsi="Liberation Sans"/>
          <w:b w:val="0"/>
          <w:color w:val="1F2937"/>
          <w:sz w:val="18"/>
        </w:rPr>
        <w:t>Static rules that depend only on values in one row are suitable for SQL CHECK constraints. Rules depending on reporting dates, related master data, workflow state, tolerances or approvals belong in the application validation engine/stored procedure layer because they require cross-table context.</w:t>
      </w:r>
    </w:p>
    <w:tbl>
      <w:tblPr>
        <w:tblStyle w:val="TableGrid"/>
        <w:tblW w:type="auto" w:w="0"/>
        <w:jc w:val="center"/>
        <w:tblLook w:firstColumn="1" w:firstRow="1" w:lastColumn="0" w:lastRow="0" w:noHBand="0" w:noVBand="1" w:val="04A0"/>
      </w:tblPr>
      <w:tblGrid>
        <w:gridCol w:w="3298"/>
        <w:gridCol w:w="3298"/>
        <w:gridCol w:w="3298"/>
      </w:tblGrid>
      <w:tr>
        <w:trPr>
          <w:cantSplit w:val="true"/>
          <w:tblHeader w:val="true"/>
        </w:trPr>
        <w:tc>
          <w:tcPr>
            <w:tcW w:type="dxa" w:w="1944"/>
            <w:tcMar>
              <w:top w:w="70" w:type="dxa"/>
              <w:start w:w="80" w:type="dxa"/>
              <w:bottom w:w="70" w:type="dxa"/>
              <w:end w:w="80" w:type="dxa"/>
            </w:tcMar>
            <w:vAlign w:val="center"/>
            <w:shd w:fill="1F4E78"/>
          </w:tcPr>
          <w:p>
            <w:pPr>
              <w:spacing w:after="0" w:before="0"/>
            </w:pPr>
            <w:r>
              <w:rPr>
                <w:rFonts w:ascii="Liberation Sans" w:hAnsi="Liberation Sans"/>
                <w:b/>
                <w:color w:val="FFFFFF"/>
                <w:sz w:val="15"/>
              </w:rPr>
              <w:t>Rule Type</w:t>
            </w:r>
          </w:p>
        </w:tc>
        <w:tc>
          <w:tcPr>
            <w:tcW w:type="dxa" w:w="5040"/>
            <w:tcMar>
              <w:top w:w="70" w:type="dxa"/>
              <w:start w:w="80" w:type="dxa"/>
              <w:bottom w:w="70" w:type="dxa"/>
              <w:end w:w="80" w:type="dxa"/>
            </w:tcMar>
            <w:vAlign w:val="center"/>
            <w:shd w:fill="1F4E78"/>
          </w:tcPr>
          <w:p>
            <w:pPr>
              <w:spacing w:after="0" w:before="0"/>
            </w:pPr>
            <w:r>
              <w:rPr>
                <w:rFonts w:ascii="Liberation Sans" w:hAnsi="Liberation Sans"/>
                <w:b/>
                <w:color w:val="FFFFFF"/>
                <w:sz w:val="15"/>
              </w:rPr>
              <w:t>Examples</w:t>
            </w:r>
          </w:p>
        </w:tc>
        <w:tc>
          <w:tcPr>
            <w:tcW w:type="dxa" w:w="3672"/>
            <w:tcMar>
              <w:top w:w="70" w:type="dxa"/>
              <w:start w:w="80" w:type="dxa"/>
              <w:bottom w:w="70" w:type="dxa"/>
              <w:end w:w="80" w:type="dxa"/>
            </w:tcMar>
            <w:vAlign w:val="center"/>
            <w:shd w:fill="1F4E78"/>
          </w:tcPr>
          <w:p>
            <w:pPr>
              <w:spacing w:after="0" w:before="0"/>
            </w:pPr>
            <w:r>
              <w:rPr>
                <w:rFonts w:ascii="Liberation Sans" w:hAnsi="Liberation Sans"/>
                <w:b/>
                <w:color w:val="FFFFFF"/>
                <w:sz w:val="15"/>
              </w:rPr>
              <w:t>Primary Enforcement</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5"/>
              </w:rPr>
              <w:t>Static row checks</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Positive FX rate; loan maturity on/after start date; non-negative utilization and repayment amounts; bucket end on/after start.</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5"/>
              </w:rPr>
              <w:t>SQL CHECK + application.</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5"/>
              </w:rPr>
              <w:t>Uniqueness</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One period code/date; one BU submission per version; one balance per version/account/date; one forecast category/bucket row.</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5"/>
              </w:rPr>
              <w:t>UNIQUE indexes.</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5"/>
              </w:rPr>
              <w:t>Master mapping</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Valid BU, legal entity, bank, currency, account, facility, loan, category.</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5"/>
              </w:rPr>
              <w:t>Foreign keys + staging validation.</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5"/>
              </w:rPr>
              <w:t>Period-aware date rules</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Actual data cannot exceed ReportingDate; valuation/statement freshness.</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5"/>
              </w:rPr>
              <w:t>Validation engine.</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5"/>
              </w:rPr>
              <w:t>Financial calculation rules</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Closing = opening + credits − debits; available facility; utilization %; forecast roll-forward.</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5"/>
              </w:rPr>
              <w:t>Service/stored procedure + exception result.</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5"/>
              </w:rPr>
              <w:t>Workflow rules</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Maker-checker, mandatory return/reopen reason, blocking exception gate, financial lock.</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5"/>
              </w:rPr>
              <w:t>Transactional workflow procedures/application.</w:t>
            </w:r>
          </w:p>
        </w:tc>
      </w:tr>
      <w:tr>
        <w:trPr>
          <w:cantSplit w:val="true"/>
        </w:trPr>
        <w:tc>
          <w:tcPr>
            <w:tcW w:type="dxa" w:w="1944"/>
            <w:tcMar>
              <w:top w:w="70" w:type="dxa"/>
              <w:start w:w="80" w:type="dxa"/>
              <w:bottom w:w="70" w:type="dxa"/>
              <w:end w:w="80" w:type="dxa"/>
            </w:tcMar>
            <w:vAlign w:val="center"/>
          </w:tcPr>
          <w:p>
            <w:pPr>
              <w:spacing w:after="0" w:before="0"/>
            </w:pPr>
            <w:r>
              <w:rPr>
                <w:rFonts w:ascii="Liberation Sans" w:hAnsi="Liberation Sans"/>
                <w:b w:val="0"/>
                <w:color w:val="1F2937"/>
                <w:sz w:val="15"/>
              </w:rPr>
              <w:t>Snapshot rule</w:t>
            </w:r>
          </w:p>
        </w:tc>
        <w:tc>
          <w:tcPr>
            <w:tcW w:type="dxa" w:w="5040"/>
            <w:tcMar>
              <w:top w:w="70" w:type="dxa"/>
              <w:start w:w="80" w:type="dxa"/>
              <w:bottom w:w="70" w:type="dxa"/>
              <w:end w:w="80" w:type="dxa"/>
            </w:tcMar>
            <w:vAlign w:val="center"/>
          </w:tcPr>
          <w:p>
            <w:pPr>
              <w:spacing w:after="0" w:before="0"/>
            </w:pPr>
            <w:r>
              <w:rPr>
                <w:rFonts w:ascii="Liberation Sans" w:hAnsi="Liberation Sans"/>
                <w:b w:val="0"/>
                <w:color w:val="1F2937"/>
                <w:sz w:val="15"/>
              </w:rPr>
              <w:t>CEO/Board data must originate from approved/published snapshot.</w:t>
            </w:r>
          </w:p>
        </w:tc>
        <w:tc>
          <w:tcPr>
            <w:tcW w:type="dxa" w:w="3672"/>
            <w:tcMar>
              <w:top w:w="70" w:type="dxa"/>
              <w:start w:w="80" w:type="dxa"/>
              <w:bottom w:w="70" w:type="dxa"/>
              <w:end w:w="80" w:type="dxa"/>
            </w:tcMar>
            <w:vAlign w:val="center"/>
          </w:tcPr>
          <w:p>
            <w:pPr>
              <w:spacing w:after="0" w:before="0"/>
            </w:pPr>
            <w:r>
              <w:rPr>
                <w:rFonts w:ascii="Liberation Sans" w:hAnsi="Liberation Sans"/>
                <w:b w:val="0"/>
                <w:color w:val="1F2937"/>
                <w:sz w:val="15"/>
              </w:rPr>
              <w:t>View/API query boundary + permission.</w:t>
            </w:r>
          </w:p>
        </w:tc>
      </w:tr>
    </w:tbl>
    <w:p>
      <w:pPr>
        <w:pStyle w:val="Heading1"/>
        <w:spacing w:before="200" w:after="100"/>
      </w:pPr>
      <w:r>
        <w:rPr>
          <w:rFonts w:ascii="Liberation Sans" w:hAnsi="Liberation Sans"/>
          <w:b/>
          <w:color w:val="17365D"/>
          <w:sz w:val="30"/>
        </w:rPr>
        <w:t>13. Indexing and Query Performance Strategy</w:t>
      </w:r>
    </w:p>
    <w:p>
      <w:pPr>
        <w:spacing w:after="100" w:line="252" w:lineRule="auto"/>
      </w:pPr>
      <w:r>
        <w:rPr>
          <w:rFonts w:ascii="Liberation Sans" w:hAnsi="Liberation Sans"/>
          <w:b w:val="0"/>
          <w:color w:val="1F2937"/>
          <w:sz w:val="18"/>
        </w:rPr>
        <w:t>The design defines 68 initial indexes. These are intentionally focused on user-facing search dimensions and workflow queues rather than indexing every foreign key mechanically. Final tuning should use actual execution plans after representative data volumes are loaded.</w:t>
      </w:r>
    </w:p>
    <w:tbl>
      <w:tblPr>
        <w:tblStyle w:val="TableGrid"/>
        <w:tblW w:type="auto" w:w="0"/>
        <w:jc w:val="center"/>
        <w:tblLook w:firstColumn="1" w:firstRow="1" w:lastColumn="0" w:lastRow="0" w:noHBand="0" w:noVBand="1" w:val="04A0"/>
      </w:tblPr>
      <w:tblGrid>
        <w:gridCol w:w="4946"/>
        <w:gridCol w:w="4946"/>
      </w:tblGrid>
      <w:tr>
        <w:trPr>
          <w:cantSplit w:val="true"/>
          <w:tblHeader w:val="true"/>
        </w:trPr>
        <w:tc>
          <w:tcPr>
            <w:tcW w:type="dxa" w:w="2880"/>
            <w:tcMar>
              <w:top w:w="70" w:type="dxa"/>
              <w:start w:w="80" w:type="dxa"/>
              <w:bottom w:w="70" w:type="dxa"/>
              <w:end w:w="80" w:type="dxa"/>
            </w:tcMar>
            <w:vAlign w:val="center"/>
            <w:shd w:fill="1F4E78"/>
          </w:tcPr>
          <w:p>
            <w:pPr>
              <w:spacing w:after="0" w:before="0"/>
            </w:pPr>
            <w:r>
              <w:rPr>
                <w:rFonts w:ascii="Liberation Sans" w:hAnsi="Liberation Sans"/>
                <w:b/>
                <w:color w:val="FFFFFF"/>
                <w:sz w:val="16"/>
              </w:rPr>
              <w:t>Query Pattern</w:t>
            </w:r>
          </w:p>
        </w:tc>
        <w:tc>
          <w:tcPr>
            <w:tcW w:type="dxa" w:w="7776"/>
            <w:tcMar>
              <w:top w:w="70" w:type="dxa"/>
              <w:start w:w="80" w:type="dxa"/>
              <w:bottom w:w="70" w:type="dxa"/>
              <w:end w:w="80" w:type="dxa"/>
            </w:tcMar>
            <w:vAlign w:val="center"/>
            <w:shd w:fill="1F4E78"/>
          </w:tcPr>
          <w:p>
            <w:pPr>
              <w:spacing w:after="0" w:before="0"/>
            </w:pPr>
            <w:r>
              <w:rPr>
                <w:rFonts w:ascii="Liberation Sans" w:hAnsi="Liberation Sans"/>
                <w:b/>
                <w:color w:val="FFFFFF"/>
                <w:sz w:val="16"/>
              </w:rPr>
              <w:t>Recommended Index Pattern</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6"/>
              </w:rPr>
              <w:t>Current funds position</w:t>
            </w:r>
          </w:p>
        </w:tc>
        <w:tc>
          <w:tcPr>
            <w:tcW w:type="dxa" w:w="7776"/>
            <w:tcMar>
              <w:top w:w="70" w:type="dxa"/>
              <w:start w:w="80" w:type="dxa"/>
              <w:bottom w:w="70" w:type="dxa"/>
              <w:end w:w="80" w:type="dxa"/>
            </w:tcMar>
            <w:vAlign w:val="center"/>
          </w:tcPr>
          <w:p>
            <w:pPr>
              <w:spacing w:after="0" w:before="0"/>
            </w:pPr>
            <w:r>
              <w:rPr>
                <w:rFonts w:ascii="Liberation Sans" w:hAnsi="Liberation Sans"/>
                <w:b w:val="0"/>
                <w:color w:val="1F2937"/>
                <w:sz w:val="16"/>
              </w:rPr>
              <w:t>BankBalance by ReportingPeriodId + ReportVersionId + BalanceDate, including account, closing and reporting-currency amounts.</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6"/>
              </w:rPr>
              <w:t>BU access</w:t>
            </w:r>
          </w:p>
        </w:tc>
        <w:tc>
          <w:tcPr>
            <w:tcW w:type="dxa" w:w="7776"/>
            <w:tcMar>
              <w:top w:w="70" w:type="dxa"/>
              <w:start w:w="80" w:type="dxa"/>
              <w:bottom w:w="70" w:type="dxa"/>
              <w:end w:w="80" w:type="dxa"/>
            </w:tcMar>
            <w:vAlign w:val="center"/>
          </w:tcPr>
          <w:p>
            <w:pPr>
              <w:spacing w:after="0" w:before="0"/>
            </w:pPr>
            <w:r>
              <w:rPr>
                <w:rFonts w:ascii="Liberation Sans" w:hAnsi="Liberation Sans"/>
                <w:b w:val="0"/>
                <w:color w:val="1F2937"/>
                <w:sz w:val="16"/>
              </w:rPr>
              <w:t>BankAccount by BusinessUnitId + IsActive; UserBusinessUnit by BusinessUnitId + AppUserId.</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6"/>
              </w:rPr>
              <w:t>Working capital dashboard</w:t>
            </w:r>
          </w:p>
        </w:tc>
        <w:tc>
          <w:tcPr>
            <w:tcW w:type="dxa" w:w="7776"/>
            <w:tcMar>
              <w:top w:w="70" w:type="dxa"/>
              <w:start w:w="80" w:type="dxa"/>
              <w:bottom w:w="70" w:type="dxa"/>
              <w:end w:w="80" w:type="dxa"/>
            </w:tcMar>
            <w:vAlign w:val="center"/>
          </w:tcPr>
          <w:p>
            <w:pPr>
              <w:spacing w:after="0" w:before="0"/>
            </w:pPr>
            <w:r>
              <w:rPr>
                <w:rFonts w:ascii="Liberation Sans" w:hAnsi="Liberation Sans"/>
                <w:b w:val="0"/>
                <w:color w:val="1F2937"/>
                <w:sz w:val="16"/>
              </w:rPr>
              <w:t>FacilityUtilization by period/version with facility and utilized/available values included.</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6"/>
              </w:rPr>
              <w:t>Debt maturity</w:t>
            </w:r>
          </w:p>
        </w:tc>
        <w:tc>
          <w:tcPr>
            <w:tcW w:type="dxa" w:w="7776"/>
            <w:tcMar>
              <w:top w:w="70" w:type="dxa"/>
              <w:start w:w="80" w:type="dxa"/>
              <w:bottom w:w="70" w:type="dxa"/>
              <w:end w:w="80" w:type="dxa"/>
            </w:tcMar>
            <w:vAlign w:val="center"/>
          </w:tcPr>
          <w:p>
            <w:pPr>
              <w:spacing w:after="0" w:before="0"/>
            </w:pPr>
            <w:r>
              <w:rPr>
                <w:rFonts w:ascii="Liberation Sans" w:hAnsi="Liberation Sans"/>
                <w:b w:val="0"/>
                <w:color w:val="1F2937"/>
                <w:sz w:val="16"/>
              </w:rPr>
              <w:t>Loan by status/maturity and LoanRepayment by due date/status.</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6"/>
              </w:rPr>
              <w:t>Cash flow dashboard</w:t>
            </w:r>
          </w:p>
        </w:tc>
        <w:tc>
          <w:tcPr>
            <w:tcW w:type="dxa" w:w="7776"/>
            <w:tcMar>
              <w:top w:w="70" w:type="dxa"/>
              <w:start w:w="80" w:type="dxa"/>
              <w:bottom w:w="70" w:type="dxa"/>
              <w:end w:w="80" w:type="dxa"/>
            </w:tcMar>
            <w:vAlign w:val="center"/>
          </w:tcPr>
          <w:p>
            <w:pPr>
              <w:spacing w:after="0" w:before="0"/>
            </w:pPr>
            <w:r>
              <w:rPr>
                <w:rFonts w:ascii="Liberation Sans" w:hAnsi="Liberation Sans"/>
                <w:b w:val="0"/>
                <w:color w:val="1F2937"/>
                <w:sz w:val="16"/>
              </w:rPr>
              <w:t>CashFlowForecast by period/version/bucket/BU including category and amount.</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6"/>
              </w:rPr>
              <w:t>Reviewer work queue</w:t>
            </w:r>
          </w:p>
        </w:tc>
        <w:tc>
          <w:tcPr>
            <w:tcW w:type="dxa" w:w="7776"/>
            <w:tcMar>
              <w:top w:w="70" w:type="dxa"/>
              <w:start w:w="80" w:type="dxa"/>
              <w:bottom w:w="70" w:type="dxa"/>
              <w:end w:w="80" w:type="dxa"/>
            </w:tcMar>
            <w:vAlign w:val="center"/>
          </w:tcPr>
          <w:p>
            <w:pPr>
              <w:spacing w:after="0" w:before="0"/>
            </w:pPr>
            <w:r>
              <w:rPr>
                <w:rFonts w:ascii="Liberation Sans" w:hAnsi="Liberation Sans"/>
                <w:b w:val="0"/>
                <w:color w:val="1F2937"/>
                <w:sz w:val="16"/>
              </w:rPr>
              <w:t>TreasurySubmission by period/status/stage; WorkflowInstance by current stage/status.</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6"/>
              </w:rPr>
              <w:t>Exception management</w:t>
            </w:r>
          </w:p>
        </w:tc>
        <w:tc>
          <w:tcPr>
            <w:tcW w:type="dxa" w:w="7776"/>
            <w:tcMar>
              <w:top w:w="70" w:type="dxa"/>
              <w:start w:w="80" w:type="dxa"/>
              <w:bottom w:w="70" w:type="dxa"/>
              <w:end w:w="80" w:type="dxa"/>
            </w:tcMar>
            <w:vAlign w:val="center"/>
          </w:tcPr>
          <w:p>
            <w:pPr>
              <w:spacing w:after="0" w:before="0"/>
            </w:pPr>
            <w:r>
              <w:rPr>
                <w:rFonts w:ascii="Liberation Sans" w:hAnsi="Liberation Sans"/>
                <w:b w:val="0"/>
                <w:color w:val="1F2937"/>
                <w:sz w:val="16"/>
              </w:rPr>
              <w:t>TreasuryException by version/status/severity/BU.</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6"/>
              </w:rPr>
              <w:t>Audit search</w:t>
            </w:r>
          </w:p>
        </w:tc>
        <w:tc>
          <w:tcPr>
            <w:tcW w:type="dxa" w:w="7776"/>
            <w:tcMar>
              <w:top w:w="70" w:type="dxa"/>
              <w:start w:w="80" w:type="dxa"/>
              <w:bottom w:w="70" w:type="dxa"/>
              <w:end w:w="80" w:type="dxa"/>
            </w:tcMar>
            <w:vAlign w:val="center"/>
          </w:tcPr>
          <w:p>
            <w:pPr>
              <w:spacing w:after="0" w:before="0"/>
            </w:pPr>
            <w:r>
              <w:rPr>
                <w:rFonts w:ascii="Liberation Sans" w:hAnsi="Liberation Sans"/>
                <w:b w:val="0"/>
                <w:color w:val="1F2937"/>
                <w:sz w:val="16"/>
              </w:rPr>
              <w:t>AuditLog by time, by record identity, and by CorrelationId.</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6"/>
              </w:rPr>
              <w:t>Executive dashboard</w:t>
            </w:r>
          </w:p>
        </w:tc>
        <w:tc>
          <w:tcPr>
            <w:tcW w:type="dxa" w:w="7776"/>
            <w:tcMar>
              <w:top w:w="70" w:type="dxa"/>
              <w:start w:w="80" w:type="dxa"/>
              <w:bottom w:w="70" w:type="dxa"/>
              <w:end w:w="80" w:type="dxa"/>
            </w:tcMar>
            <w:vAlign w:val="center"/>
          </w:tcPr>
          <w:p>
            <w:pPr>
              <w:spacing w:after="0" w:before="0"/>
            </w:pPr>
            <w:r>
              <w:rPr>
                <w:rFonts w:ascii="Liberation Sans" w:hAnsi="Liberation Sans"/>
                <w:b w:val="0"/>
                <w:color w:val="1F2937"/>
                <w:sz w:val="16"/>
              </w:rPr>
              <w:t>SnapshotKPI by SnapshotId/KPI/dimension and SnapshotDetail by SnapshotId/module/BU.</w:t>
            </w:r>
          </w:p>
        </w:tc>
      </w:tr>
    </w:tbl>
    <w:p>
      <w:pPr>
        <w:spacing w:after="100" w:line="252" w:lineRule="auto"/>
      </w:pPr>
      <w:r>
        <w:rPr>
          <w:rFonts w:ascii="Liberation Sans" w:hAnsi="Liberation Sans"/>
          <w:b w:val="0"/>
          <w:color w:val="1F2937"/>
          <w:sz w:val="18"/>
        </w:rPr>
        <w:t>Table partitioning is not proposed for Phase 1 because source volumes are not defined. If historical detail and audit data grow materially, AuditLog and selected large fact tables can be evaluated for date/period partitioning without changing the logical model.</w:t>
      </w:r>
    </w:p>
    <w:p>
      <w:pPr>
        <w:pStyle w:val="Heading1"/>
        <w:spacing w:before="200" w:after="100"/>
      </w:pPr>
      <w:r>
        <w:rPr>
          <w:rFonts w:ascii="Liberation Sans" w:hAnsi="Liberation Sans"/>
          <w:b/>
          <w:color w:val="17365D"/>
          <w:sz w:val="30"/>
        </w:rPr>
        <w:t>14. Proposed Views and Stored Procedures</w:t>
      </w:r>
    </w:p>
    <w:tbl>
      <w:tblPr>
        <w:tblStyle w:val="TableGrid"/>
        <w:tblW w:type="auto" w:w="0"/>
        <w:jc w:val="center"/>
        <w:tblLook w:firstColumn="1" w:firstRow="1" w:lastColumn="0" w:lastRow="0" w:noHBand="0" w:noVBand="1" w:val="04A0"/>
      </w:tblPr>
      <w:tblGrid>
        <w:gridCol w:w="3298"/>
        <w:gridCol w:w="3298"/>
        <w:gridCol w:w="3298"/>
      </w:tblGrid>
      <w:tr>
        <w:trPr>
          <w:cantSplit w:val="true"/>
          <w:tblHeader w:val="true"/>
        </w:trPr>
        <w:tc>
          <w:tcPr>
            <w:tcW w:type="dxa" w:w="3240"/>
            <w:tcMar>
              <w:top w:w="70" w:type="dxa"/>
              <w:start w:w="80" w:type="dxa"/>
              <w:bottom w:w="70" w:type="dxa"/>
              <w:end w:w="80" w:type="dxa"/>
            </w:tcMar>
            <w:vAlign w:val="center"/>
            <w:shd w:fill="1F4E78"/>
          </w:tcPr>
          <w:p>
            <w:pPr>
              <w:spacing w:after="0" w:before="0"/>
            </w:pPr>
            <w:r>
              <w:rPr>
                <w:rFonts w:ascii="Liberation Sans" w:hAnsi="Liberation Sans"/>
                <w:b/>
                <w:color w:val="FFFFFF"/>
                <w:sz w:val="15"/>
              </w:rPr>
              <w:t>Object</w:t>
            </w:r>
          </w:p>
        </w:tc>
        <w:tc>
          <w:tcPr>
            <w:tcW w:type="dxa" w:w="5976"/>
            <w:tcMar>
              <w:top w:w="70" w:type="dxa"/>
              <w:start w:w="80" w:type="dxa"/>
              <w:bottom w:w="70" w:type="dxa"/>
              <w:end w:w="80" w:type="dxa"/>
            </w:tcMar>
            <w:vAlign w:val="center"/>
            <w:shd w:fill="1F4E78"/>
          </w:tcPr>
          <w:p>
            <w:pPr>
              <w:spacing w:after="0" w:before="0"/>
            </w:pPr>
            <w:r>
              <w:rPr>
                <w:rFonts w:ascii="Liberation Sans" w:hAnsi="Liberation Sans"/>
                <w:b/>
                <w:color w:val="FFFFFF"/>
                <w:sz w:val="15"/>
              </w:rPr>
              <w:t>Purpose</w:t>
            </w:r>
          </w:p>
        </w:tc>
        <w:tc>
          <w:tcPr>
            <w:tcW w:type="dxa" w:w="1440"/>
            <w:tcMar>
              <w:top w:w="70" w:type="dxa"/>
              <w:start w:w="80" w:type="dxa"/>
              <w:bottom w:w="70" w:type="dxa"/>
              <w:end w:w="80" w:type="dxa"/>
            </w:tcMar>
            <w:vAlign w:val="center"/>
            <w:shd w:fill="1F4E78"/>
          </w:tcPr>
          <w:p>
            <w:pPr>
              <w:spacing w:after="0" w:before="0"/>
            </w:pPr>
            <w:r>
              <w:rPr>
                <w:rFonts w:ascii="Liberation Sans" w:hAnsi="Liberation Sans"/>
                <w:b/>
                <w:color w:val="FFFFFF"/>
                <w:sz w:val="15"/>
              </w:rPr>
              <w:t>Classification</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vw_CurrentFundsPosition</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Current approved or in-review cash position with BU/entity/bank/account/currency drill-down.</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vw_WorkingCapitalPosition</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Facility limit, utilization, availability and shared-limit hierarchy.</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vw_DebtPosition</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STL/LTL outstanding, next repayment and maturity profile.</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vw_CashFlowFourWeek</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Normalized four-week cash flow by BU/category.</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vw_PublishedSnapshotKPI</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Only published snapshot KPI values for CEO/Board.</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vw_PendingApprovals</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Role/BU-scoped pending workflow actions.</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vw_OpenExceptions</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Open validation/business exceptions by severity and owner.</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vw_AuditTrail</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Search-friendly audit projection.</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usp_ImportUploadBatch</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Validate/move approved staging rows into versioned production facts in a transaction.</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usp_SubmitTreasurySubmission</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Run blocking validation, freeze maker edits and route to BU Finance Head.</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usp_ApproveWorkflowStage</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Apply maker-checker and status-transition rules.</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usp_ReturnSubmission</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Require reason, move to previous responsible stage and create notification/audit.</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usp_CFOApproveAndSnapshot</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Lock version and atomically generate approved snapshot.</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usp_ReopenReportingPeriod</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Create a new version referencing prior approved version and mandatory reason.</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3240"/>
            <w:tcMar>
              <w:top w:w="70" w:type="dxa"/>
              <w:start w:w="80" w:type="dxa"/>
              <w:bottom w:w="70" w:type="dxa"/>
              <w:end w:w="80" w:type="dxa"/>
            </w:tcMar>
            <w:vAlign w:val="center"/>
          </w:tcPr>
          <w:p>
            <w:pPr>
              <w:spacing w:after="0" w:before="0"/>
            </w:pPr>
            <w:r>
              <w:rPr>
                <w:rFonts w:ascii="Liberation Sans" w:hAnsi="Liberation Sans"/>
                <w:b w:val="0"/>
                <w:color w:val="1F2937"/>
                <w:sz w:val="15"/>
              </w:rPr>
              <w:t>usp_PublishSnapshot</w:t>
            </w:r>
          </w:p>
        </w:tc>
        <w:tc>
          <w:tcPr>
            <w:tcW w:type="dxa" w:w="5976"/>
            <w:tcMar>
              <w:top w:w="70" w:type="dxa"/>
              <w:start w:w="80" w:type="dxa"/>
              <w:bottom w:w="70" w:type="dxa"/>
              <w:end w:w="80" w:type="dxa"/>
            </w:tcMar>
            <w:vAlign w:val="center"/>
          </w:tcPr>
          <w:p>
            <w:pPr>
              <w:spacing w:after="0" w:before="0"/>
            </w:pPr>
            <w:r>
              <w:rPr>
                <w:rFonts w:ascii="Liberation Sans" w:hAnsi="Liberation Sans"/>
                <w:b w:val="0"/>
                <w:color w:val="1F2937"/>
                <w:sz w:val="15"/>
              </w:rPr>
              <w:t>Publish only an approved snapshot to configured executive audience.</w:t>
            </w:r>
          </w:p>
        </w:tc>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bl>
    <w:p>
      <w:pPr>
        <w:pStyle w:val="Heading1"/>
        <w:spacing w:before="200" w:after="100"/>
      </w:pPr>
      <w:r>
        <w:rPr>
          <w:rFonts w:ascii="Liberation Sans" w:hAnsi="Liberation Sans"/>
          <w:b/>
          <w:color w:val="17365D"/>
          <w:sz w:val="30"/>
        </w:rPr>
        <w:t>15. Excel-to-Database Normalization and Migration Rules</w:t>
      </w:r>
    </w:p>
    <w:tbl>
      <w:tblPr>
        <w:tblStyle w:val="TableGrid"/>
        <w:tblW w:type="auto" w:w="0"/>
        <w:jc w:val="center"/>
        <w:tblLook w:firstColumn="1" w:firstRow="1" w:lastColumn="0" w:lastRow="0" w:noHBand="0" w:noVBand="1" w:val="04A0"/>
      </w:tblPr>
      <w:tblGrid>
        <w:gridCol w:w="3298"/>
        <w:gridCol w:w="3298"/>
        <w:gridCol w:w="3298"/>
      </w:tblGrid>
      <w:tr>
        <w:trPr>
          <w:cantSplit w:val="true"/>
          <w:tblHeader w:val="true"/>
        </w:trPr>
        <w:tc>
          <w:tcPr>
            <w:tcW w:type="dxa" w:w="2448"/>
            <w:tcMar>
              <w:top w:w="70" w:type="dxa"/>
              <w:start w:w="80" w:type="dxa"/>
              <w:bottom w:w="70" w:type="dxa"/>
              <w:end w:w="80" w:type="dxa"/>
            </w:tcMar>
            <w:vAlign w:val="center"/>
            <w:shd w:fill="1F4E78"/>
          </w:tcPr>
          <w:p>
            <w:pPr>
              <w:spacing w:after="0" w:before="0"/>
            </w:pPr>
            <w:r>
              <w:rPr>
                <w:rFonts w:ascii="Liberation Sans" w:hAnsi="Liberation Sans"/>
                <w:b/>
                <w:color w:val="FFFFFF"/>
                <w:sz w:val="15"/>
              </w:rPr>
              <w:t>Excel Source</w:t>
            </w:r>
          </w:p>
        </w:tc>
        <w:tc>
          <w:tcPr>
            <w:tcW w:type="dxa" w:w="3600"/>
            <w:tcMar>
              <w:top w:w="70" w:type="dxa"/>
              <w:start w:w="80" w:type="dxa"/>
              <w:bottom w:w="70" w:type="dxa"/>
              <w:end w:w="80" w:type="dxa"/>
            </w:tcMar>
            <w:vAlign w:val="center"/>
            <w:shd w:fill="1F4E78"/>
          </w:tcPr>
          <w:p>
            <w:pPr>
              <w:spacing w:after="0" w:before="0"/>
            </w:pPr>
            <w:r>
              <w:rPr>
                <w:rFonts w:ascii="Liberation Sans" w:hAnsi="Liberation Sans"/>
                <w:b/>
                <w:color w:val="FFFFFF"/>
                <w:sz w:val="15"/>
              </w:rPr>
              <w:t>Target Model</w:t>
            </w:r>
          </w:p>
        </w:tc>
        <w:tc>
          <w:tcPr>
            <w:tcW w:type="dxa" w:w="4680"/>
            <w:tcMar>
              <w:top w:w="70" w:type="dxa"/>
              <w:start w:w="80" w:type="dxa"/>
              <w:bottom w:w="70" w:type="dxa"/>
              <w:end w:w="80" w:type="dxa"/>
            </w:tcMar>
            <w:vAlign w:val="center"/>
            <w:shd w:fill="1F4E78"/>
          </w:tcPr>
          <w:p>
            <w:pPr>
              <w:spacing w:after="0" w:before="0"/>
            </w:pPr>
            <w:r>
              <w:rPr>
                <w:rFonts w:ascii="Liberation Sans" w:hAnsi="Liberation Sans"/>
                <w:b/>
                <w:color w:val="FFFFFF"/>
                <w:sz w:val="15"/>
              </w:rPr>
              <w:t>Migration / Reconciliation Rule</w:t>
            </w:r>
          </w:p>
        </w:tc>
      </w:tr>
      <w:tr>
        <w:trPr>
          <w:cantSplit w:val="true"/>
        </w:trPr>
        <w:tc>
          <w:tcPr>
            <w:tcW w:type="dxa" w:w="2448"/>
            <w:tcMar>
              <w:top w:w="70" w:type="dxa"/>
              <w:start w:w="80" w:type="dxa"/>
              <w:bottom w:w="70" w:type="dxa"/>
              <w:end w:w="80" w:type="dxa"/>
            </w:tcMar>
            <w:vAlign w:val="center"/>
          </w:tcPr>
          <w:p>
            <w:pPr>
              <w:spacing w:after="0" w:before="0"/>
            </w:pPr>
            <w:r>
              <w:rPr>
                <w:rFonts w:ascii="Liberation Sans" w:hAnsi="Liberation Sans"/>
                <w:b w:val="0"/>
                <w:color w:val="1F2937"/>
                <w:sz w:val="15"/>
              </w:rPr>
              <w:t>40 bank/account worksheets</w:t>
            </w:r>
          </w:p>
        </w:tc>
        <w:tc>
          <w:tcPr>
            <w:tcW w:type="dxa" w:w="3600"/>
            <w:tcMar>
              <w:top w:w="70" w:type="dxa"/>
              <w:start w:w="80" w:type="dxa"/>
              <w:bottom w:w="70" w:type="dxa"/>
              <w:end w:w="80" w:type="dxa"/>
            </w:tcMar>
            <w:vAlign w:val="center"/>
          </w:tcPr>
          <w:p>
            <w:pPr>
              <w:spacing w:after="0" w:before="0"/>
            </w:pPr>
            <w:r>
              <w:rPr>
                <w:rFonts w:ascii="Liberation Sans" w:hAnsi="Liberation Sans"/>
                <w:b w:val="0"/>
                <w:color w:val="1F2937"/>
                <w:sz w:val="15"/>
              </w:rPr>
              <w:t>banking.BankAccount + banking.BankBalance</w:t>
            </w:r>
          </w:p>
        </w:tc>
        <w:tc>
          <w:tcPr>
            <w:tcW w:type="dxa" w:w="4680"/>
            <w:tcMar>
              <w:top w:w="70" w:type="dxa"/>
              <w:start w:w="80" w:type="dxa"/>
              <w:bottom w:w="70" w:type="dxa"/>
              <w:end w:w="80" w:type="dxa"/>
            </w:tcMar>
            <w:vAlign w:val="center"/>
          </w:tcPr>
          <w:p>
            <w:pPr>
              <w:spacing w:after="0" w:before="0"/>
            </w:pPr>
            <w:r>
              <w:rPr>
                <w:rFonts w:ascii="Liberation Sans" w:hAnsi="Liberation Sans"/>
                <w:b w:val="0"/>
                <w:color w:val="1F2937"/>
                <w:sz w:val="15"/>
              </w:rPr>
              <w:t>Create one account master per real account. Load dated closing balance; retain original file/sheet reference in upload lineage. Do not create one SQL table per worksheet.</w:t>
            </w:r>
          </w:p>
        </w:tc>
      </w:tr>
      <w:tr>
        <w:trPr>
          <w:cantSplit w:val="true"/>
        </w:trPr>
        <w:tc>
          <w:tcPr>
            <w:tcW w:type="dxa" w:w="2448"/>
            <w:tcMar>
              <w:top w:w="70" w:type="dxa"/>
              <w:start w:w="80" w:type="dxa"/>
              <w:bottom w:w="70" w:type="dxa"/>
              <w:end w:w="80" w:type="dxa"/>
            </w:tcMar>
            <w:vAlign w:val="center"/>
          </w:tcPr>
          <w:p>
            <w:pPr>
              <w:spacing w:after="0" w:before="0"/>
            </w:pPr>
            <w:r>
              <w:rPr>
                <w:rFonts w:ascii="Liberation Sans" w:hAnsi="Liberation Sans"/>
                <w:b w:val="0"/>
                <w:color w:val="1F2937"/>
                <w:sz w:val="15"/>
              </w:rPr>
              <w:t>1. Funds position</w:t>
            </w:r>
          </w:p>
        </w:tc>
        <w:tc>
          <w:tcPr>
            <w:tcW w:type="dxa" w:w="3600"/>
            <w:tcMar>
              <w:top w:w="70" w:type="dxa"/>
              <w:start w:w="80" w:type="dxa"/>
              <w:bottom w:w="70" w:type="dxa"/>
              <w:end w:w="80" w:type="dxa"/>
            </w:tcMar>
            <w:vAlign w:val="center"/>
          </w:tcPr>
          <w:p>
            <w:pPr>
              <w:spacing w:after="0" w:before="0"/>
            </w:pPr>
            <w:r>
              <w:rPr>
                <w:rFonts w:ascii="Liberation Sans" w:hAnsi="Liberation Sans"/>
                <w:b w:val="0"/>
                <w:color w:val="1F2937"/>
                <w:sz w:val="15"/>
              </w:rPr>
              <w:t>BankBalance + FXRate + LiquidityAdjustment</w:t>
            </w:r>
          </w:p>
        </w:tc>
        <w:tc>
          <w:tcPr>
            <w:tcW w:type="dxa" w:w="4680"/>
            <w:tcMar>
              <w:top w:w="70" w:type="dxa"/>
              <w:start w:w="80" w:type="dxa"/>
              <w:bottom w:w="70" w:type="dxa"/>
              <w:end w:w="80" w:type="dxa"/>
            </w:tcMar>
            <w:vAlign w:val="center"/>
          </w:tcPr>
          <w:p>
            <w:pPr>
              <w:spacing w:after="0" w:before="0"/>
            </w:pPr>
            <w:r>
              <w:rPr>
                <w:rFonts w:ascii="Liberation Sans" w:hAnsi="Liberation Sans"/>
                <w:b w:val="0"/>
                <w:color w:val="1F2937"/>
                <w:sz w:val="15"/>
              </w:rPr>
              <w:t>Preserve account balances in source currency. Replace embedded 3.65/4.10/2.75/2.35 rates with approved FXRate records. Manual reserve/adjustment values become explicit adjustment rows.</w:t>
            </w:r>
          </w:p>
        </w:tc>
      </w:tr>
      <w:tr>
        <w:trPr>
          <w:cantSplit w:val="true"/>
        </w:trPr>
        <w:tc>
          <w:tcPr>
            <w:tcW w:type="dxa" w:w="2448"/>
            <w:tcMar>
              <w:top w:w="70" w:type="dxa"/>
              <w:start w:w="80" w:type="dxa"/>
              <w:bottom w:w="70" w:type="dxa"/>
              <w:end w:w="80" w:type="dxa"/>
            </w:tcMar>
            <w:vAlign w:val="center"/>
          </w:tcPr>
          <w:p>
            <w:pPr>
              <w:spacing w:after="0" w:before="0"/>
            </w:pPr>
            <w:r>
              <w:rPr>
                <w:rFonts w:ascii="Liberation Sans" w:hAnsi="Liberation Sans"/>
                <w:b w:val="0"/>
                <w:color w:val="1F2937"/>
                <w:sz w:val="15"/>
              </w:rPr>
              <w:t>2. Cash flow</w:t>
            </w:r>
          </w:p>
        </w:tc>
        <w:tc>
          <w:tcPr>
            <w:tcW w:type="dxa" w:w="3600"/>
            <w:tcMar>
              <w:top w:w="70" w:type="dxa"/>
              <w:start w:w="80" w:type="dxa"/>
              <w:bottom w:w="70" w:type="dxa"/>
              <w:end w:w="80" w:type="dxa"/>
            </w:tcMar>
            <w:vAlign w:val="center"/>
          </w:tcPr>
          <w:p>
            <w:pPr>
              <w:spacing w:after="0" w:before="0"/>
            </w:pPr>
            <w:r>
              <w:rPr>
                <w:rFonts w:ascii="Liberation Sans" w:hAnsi="Liberation Sans"/>
                <w:b w:val="0"/>
                <w:color w:val="1F2937"/>
                <w:sz w:val="15"/>
              </w:rPr>
              <w:t>CashFlowForecast</w:t>
            </w:r>
          </w:p>
        </w:tc>
        <w:tc>
          <w:tcPr>
            <w:tcW w:type="dxa" w:w="4680"/>
            <w:tcMar>
              <w:top w:w="70" w:type="dxa"/>
              <w:start w:w="80" w:type="dxa"/>
              <w:bottom w:w="70" w:type="dxa"/>
              <w:end w:w="80" w:type="dxa"/>
            </w:tcMar>
            <w:vAlign w:val="center"/>
          </w:tcPr>
          <w:p>
            <w:pPr>
              <w:spacing w:after="0" w:before="0"/>
            </w:pPr>
            <w:r>
              <w:rPr>
                <w:rFonts w:ascii="Liberation Sans" w:hAnsi="Liberation Sans"/>
                <w:b w:val="0"/>
                <w:color w:val="1F2937"/>
                <w:sz w:val="15"/>
              </w:rPr>
              <w:t>Current monthly Aug-Oct summary is not the Phase 1 target. Load as monthly legacy records only if Finance wants historical reconciliation; Phase 1 entry is weekly.</w:t>
            </w:r>
          </w:p>
        </w:tc>
      </w:tr>
      <w:tr>
        <w:trPr>
          <w:cantSplit w:val="true"/>
        </w:trPr>
        <w:tc>
          <w:tcPr>
            <w:tcW w:type="dxa" w:w="2448"/>
            <w:tcMar>
              <w:top w:w="70" w:type="dxa"/>
              <w:start w:w="80" w:type="dxa"/>
              <w:bottom w:w="70" w:type="dxa"/>
              <w:end w:w="80" w:type="dxa"/>
            </w:tcMar>
            <w:vAlign w:val="center"/>
          </w:tcPr>
          <w:p>
            <w:pPr>
              <w:spacing w:after="0" w:before="0"/>
            </w:pPr>
            <w:r>
              <w:rPr>
                <w:rFonts w:ascii="Liberation Sans" w:hAnsi="Liberation Sans"/>
                <w:b w:val="0"/>
                <w:color w:val="1F2937"/>
                <w:sz w:val="15"/>
              </w:rPr>
              <w:t>3. Working capital</w:t>
            </w:r>
          </w:p>
        </w:tc>
        <w:tc>
          <w:tcPr>
            <w:tcW w:type="dxa" w:w="3600"/>
            <w:tcMar>
              <w:top w:w="70" w:type="dxa"/>
              <w:start w:w="80" w:type="dxa"/>
              <w:bottom w:w="70" w:type="dxa"/>
              <w:end w:w="80" w:type="dxa"/>
            </w:tcMar>
            <w:vAlign w:val="center"/>
          </w:tcPr>
          <w:p>
            <w:pPr>
              <w:spacing w:after="0" w:before="0"/>
            </w:pPr>
            <w:r>
              <w:rPr>
                <w:rFonts w:ascii="Liberation Sans" w:hAnsi="Liberation Sans"/>
                <w:b w:val="0"/>
                <w:color w:val="1F2937"/>
                <w:sz w:val="15"/>
              </w:rPr>
              <w:t>WorkingCapitalFacility + FacilityUtilization</w:t>
            </w:r>
          </w:p>
        </w:tc>
        <w:tc>
          <w:tcPr>
            <w:tcW w:type="dxa" w:w="4680"/>
            <w:tcMar>
              <w:top w:w="70" w:type="dxa"/>
              <w:start w:w="80" w:type="dxa"/>
              <w:bottom w:w="70" w:type="dxa"/>
              <w:end w:w="80" w:type="dxa"/>
            </w:tcMar>
            <w:vAlign w:val="center"/>
          </w:tcPr>
          <w:p>
            <w:pPr>
              <w:spacing w:after="0" w:before="0"/>
            </w:pPr>
            <w:r>
              <w:rPr>
                <w:rFonts w:ascii="Liberation Sans" w:hAnsi="Liberation Sans"/>
                <w:b w:val="0"/>
                <w:color w:val="1F2937"/>
                <w:sz w:val="15"/>
              </w:rPr>
              <w:t>Store sanctioned limits and utilizations in atomic units. Configure shared parent limits before reconciliation; do not sum LC/Murabaha sub-limits blindly.</w:t>
            </w:r>
          </w:p>
        </w:tc>
      </w:tr>
      <w:tr>
        <w:trPr>
          <w:cantSplit w:val="true"/>
        </w:trPr>
        <w:tc>
          <w:tcPr>
            <w:tcW w:type="dxa" w:w="2448"/>
            <w:tcMar>
              <w:top w:w="70" w:type="dxa"/>
              <w:start w:w="80" w:type="dxa"/>
              <w:bottom w:w="70" w:type="dxa"/>
              <w:end w:w="80" w:type="dxa"/>
            </w:tcMar>
            <w:vAlign w:val="center"/>
          </w:tcPr>
          <w:p>
            <w:pPr>
              <w:spacing w:after="0" w:before="0"/>
            </w:pPr>
            <w:r>
              <w:rPr>
                <w:rFonts w:ascii="Liberation Sans" w:hAnsi="Liberation Sans"/>
                <w:b w:val="0"/>
                <w:color w:val="1F2937"/>
                <w:sz w:val="15"/>
              </w:rPr>
              <w:t>4. Loan</w:t>
            </w:r>
          </w:p>
        </w:tc>
        <w:tc>
          <w:tcPr>
            <w:tcW w:type="dxa" w:w="3600"/>
            <w:tcMar>
              <w:top w:w="70" w:type="dxa"/>
              <w:start w:w="80" w:type="dxa"/>
              <w:bottom w:w="70" w:type="dxa"/>
              <w:end w:w="80" w:type="dxa"/>
            </w:tcMar>
            <w:vAlign w:val="center"/>
          </w:tcPr>
          <w:p>
            <w:pPr>
              <w:spacing w:after="0" w:before="0"/>
            </w:pPr>
            <w:r>
              <w:rPr>
                <w:rFonts w:ascii="Liberation Sans" w:hAnsi="Liberation Sans"/>
                <w:b w:val="0"/>
                <w:color w:val="1F2937"/>
                <w:sz w:val="15"/>
              </w:rPr>
              <w:t>Loan + LoanRepayment</w:t>
            </w:r>
          </w:p>
        </w:tc>
        <w:tc>
          <w:tcPr>
            <w:tcW w:type="dxa" w:w="4680"/>
            <w:tcMar>
              <w:top w:w="70" w:type="dxa"/>
              <w:start w:w="80" w:type="dxa"/>
              <w:bottom w:w="70" w:type="dxa"/>
              <w:end w:w="80" w:type="dxa"/>
            </w:tcMar>
            <w:vAlign w:val="center"/>
          </w:tcPr>
          <w:p>
            <w:pPr>
              <w:spacing w:after="0" w:before="0"/>
            </w:pPr>
            <w:r>
              <w:rPr>
                <w:rFonts w:ascii="Liberation Sans" w:hAnsi="Liberation Sans"/>
                <w:b w:val="0"/>
                <w:color w:val="1F2937"/>
                <w:sz w:val="15"/>
              </w:rPr>
              <w:t>Normalize date/year columns into repayment rows. Correct invalid MAI #2 maturity date before migration.</w:t>
            </w:r>
          </w:p>
        </w:tc>
      </w:tr>
      <w:tr>
        <w:trPr>
          <w:cantSplit w:val="true"/>
        </w:trPr>
        <w:tc>
          <w:tcPr>
            <w:tcW w:type="dxa" w:w="2448"/>
            <w:tcMar>
              <w:top w:w="70" w:type="dxa"/>
              <w:start w:w="80" w:type="dxa"/>
              <w:bottom w:w="70" w:type="dxa"/>
              <w:end w:w="80" w:type="dxa"/>
            </w:tcMar>
            <w:vAlign w:val="center"/>
          </w:tcPr>
          <w:p>
            <w:pPr>
              <w:spacing w:after="0" w:before="0"/>
            </w:pPr>
            <w:r>
              <w:rPr>
                <w:rFonts w:ascii="Liberation Sans" w:hAnsi="Liberation Sans"/>
                <w:b w:val="0"/>
                <w:color w:val="1F2937"/>
                <w:sz w:val="15"/>
              </w:rPr>
              <w:t>5. Debt &amp; Equity</w:t>
            </w:r>
          </w:p>
        </w:tc>
        <w:tc>
          <w:tcPr>
            <w:tcW w:type="dxa" w:w="3600"/>
            <w:tcMar>
              <w:top w:w="70" w:type="dxa"/>
              <w:start w:w="80" w:type="dxa"/>
              <w:bottom w:w="70" w:type="dxa"/>
              <w:end w:w="80" w:type="dxa"/>
            </w:tcMar>
            <w:vAlign w:val="center"/>
          </w:tcPr>
          <w:p>
            <w:pPr>
              <w:spacing w:after="0" w:before="0"/>
            </w:pPr>
            <w:r>
              <w:rPr>
                <w:rFonts w:ascii="Liberation Sans" w:hAnsi="Liberation Sans"/>
                <w:b w:val="0"/>
                <w:color w:val="1F2937"/>
                <w:sz w:val="15"/>
              </w:rPr>
              <w:t>Investment/Valuation + EquityValuation + KPI calculation</w:t>
            </w:r>
          </w:p>
        </w:tc>
        <w:tc>
          <w:tcPr>
            <w:tcW w:type="dxa" w:w="4680"/>
            <w:tcMar>
              <w:top w:w="70" w:type="dxa"/>
              <w:start w:w="80" w:type="dxa"/>
              <w:bottom w:w="70" w:type="dxa"/>
              <w:end w:w="80" w:type="dxa"/>
            </w:tcMar>
            <w:vAlign w:val="center"/>
          </w:tcPr>
          <w:p>
            <w:pPr>
              <w:spacing w:after="0" w:before="0"/>
            </w:pPr>
            <w:r>
              <w:rPr>
                <w:rFonts w:ascii="Liberation Sans" w:hAnsi="Liberation Sans"/>
                <w:b w:val="0"/>
                <w:color w:val="1F2937"/>
                <w:sz w:val="15"/>
              </w:rPr>
              <w:t>Resolve broken #REF! lineage before accepting 15-Aug-2026 KPI baseline. Confirm Avg. EBDA and liquidity reserve definitions.</w:t>
            </w:r>
          </w:p>
        </w:tc>
      </w:tr>
      <w:tr>
        <w:trPr>
          <w:cantSplit w:val="true"/>
        </w:trPr>
        <w:tc>
          <w:tcPr>
            <w:tcW w:type="dxa" w:w="2448"/>
            <w:tcMar>
              <w:top w:w="70" w:type="dxa"/>
              <w:start w:w="80" w:type="dxa"/>
              <w:bottom w:w="70" w:type="dxa"/>
              <w:end w:w="80" w:type="dxa"/>
            </w:tcMar>
            <w:vAlign w:val="center"/>
          </w:tcPr>
          <w:p>
            <w:pPr>
              <w:spacing w:after="0" w:before="0"/>
            </w:pPr>
            <w:r>
              <w:rPr>
                <w:rFonts w:ascii="Liberation Sans" w:hAnsi="Liberation Sans"/>
                <w:b w:val="0"/>
                <w:color w:val="1F2937"/>
                <w:sz w:val="15"/>
              </w:rPr>
              <w:t>6. Loan movement</w:t>
            </w:r>
          </w:p>
        </w:tc>
        <w:tc>
          <w:tcPr>
            <w:tcW w:type="dxa" w:w="3600"/>
            <w:tcMar>
              <w:top w:w="70" w:type="dxa"/>
              <w:start w:w="80" w:type="dxa"/>
              <w:bottom w:w="70" w:type="dxa"/>
              <w:end w:w="80" w:type="dxa"/>
            </w:tcMar>
            <w:vAlign w:val="center"/>
          </w:tcPr>
          <w:p>
            <w:pPr>
              <w:spacing w:after="0" w:before="0"/>
            </w:pPr>
            <w:r>
              <w:rPr>
                <w:rFonts w:ascii="Liberation Sans" w:hAnsi="Liberation Sans"/>
                <w:b w:val="0"/>
                <w:color w:val="1F2937"/>
                <w:sz w:val="15"/>
              </w:rPr>
              <w:t>LoanMovementForecast + FacilityApplication + LiquidityAdjustment</w:t>
            </w:r>
          </w:p>
        </w:tc>
        <w:tc>
          <w:tcPr>
            <w:tcW w:type="dxa" w:w="4680"/>
            <w:tcMar>
              <w:top w:w="70" w:type="dxa"/>
              <w:start w:w="80" w:type="dxa"/>
              <w:bottom w:w="70" w:type="dxa"/>
              <w:end w:w="80" w:type="dxa"/>
            </w:tcMar>
            <w:vAlign w:val="center"/>
          </w:tcPr>
          <w:p>
            <w:pPr>
              <w:spacing w:after="0" w:before="0"/>
            </w:pPr>
            <w:r>
              <w:rPr>
                <w:rFonts w:ascii="Liberation Sans" w:hAnsi="Liberation Sans"/>
                <w:b w:val="0"/>
                <w:color w:val="1F2937"/>
                <w:sz w:val="15"/>
              </w:rPr>
              <w:t>Store payment as positive amount with explicit direction; current workbook negative sign convention is presentation/calculation logic.</w:t>
            </w:r>
          </w:p>
        </w:tc>
      </w:tr>
      <w:tr>
        <w:trPr>
          <w:cantSplit w:val="true"/>
        </w:trPr>
        <w:tc>
          <w:tcPr>
            <w:tcW w:type="dxa" w:w="2448"/>
            <w:tcMar>
              <w:top w:w="70" w:type="dxa"/>
              <w:start w:w="80" w:type="dxa"/>
              <w:bottom w:w="70" w:type="dxa"/>
              <w:end w:w="80" w:type="dxa"/>
            </w:tcMar>
            <w:vAlign w:val="center"/>
          </w:tcPr>
          <w:p>
            <w:pPr>
              <w:spacing w:after="0" w:before="0"/>
            </w:pPr>
            <w:r>
              <w:rPr>
                <w:rFonts w:ascii="Liberation Sans" w:hAnsi="Liberation Sans"/>
                <w:b w:val="0"/>
                <w:color w:val="1F2937"/>
                <w:sz w:val="15"/>
              </w:rPr>
              <w:t>Treasury Dashboard FNL</w:t>
            </w:r>
          </w:p>
        </w:tc>
        <w:tc>
          <w:tcPr>
            <w:tcW w:type="dxa" w:w="3600"/>
            <w:tcMar>
              <w:top w:w="70" w:type="dxa"/>
              <w:start w:w="80" w:type="dxa"/>
              <w:bottom w:w="70" w:type="dxa"/>
              <w:end w:w="80" w:type="dxa"/>
            </w:tcMar>
            <w:vAlign w:val="center"/>
          </w:tcPr>
          <w:p>
            <w:pPr>
              <w:spacing w:after="0" w:before="0"/>
            </w:pPr>
            <w:r>
              <w:rPr>
                <w:rFonts w:ascii="Liberation Sans" w:hAnsi="Liberation Sans"/>
                <w:b w:val="0"/>
                <w:color w:val="1F2937"/>
                <w:sz w:val="15"/>
              </w:rPr>
              <w:t>TreasurySnapshot + SnapshotKPI/Detail/Comment</w:t>
            </w:r>
          </w:p>
        </w:tc>
        <w:tc>
          <w:tcPr>
            <w:tcW w:type="dxa" w:w="4680"/>
            <w:tcMar>
              <w:top w:w="70" w:type="dxa"/>
              <w:start w:w="80" w:type="dxa"/>
              <w:bottom w:w="70" w:type="dxa"/>
              <w:end w:w="80" w:type="dxa"/>
            </w:tcMar>
            <w:vAlign w:val="center"/>
          </w:tcPr>
          <w:p>
            <w:pPr>
              <w:spacing w:after="0" w:before="0"/>
            </w:pPr>
            <w:r>
              <w:rPr>
                <w:rFonts w:ascii="Liberation Sans" w:hAnsi="Liberation Sans"/>
                <w:b w:val="0"/>
                <w:color w:val="1F2937"/>
                <w:sz w:val="15"/>
              </w:rPr>
              <w:t>Dashboard values are calculated from approved structured data and frozen at CFO approval, not migrated as editable cells.</w:t>
            </w:r>
          </w:p>
        </w:tc>
      </w:tr>
    </w:tbl>
    <w:p>
      <w:pPr>
        <w:spacing w:after="100" w:line="252" w:lineRule="auto"/>
      </w:pPr>
      <w:r>
        <w:rPr>
          <w:rFonts w:ascii="Liberation Sans" w:hAnsi="Liberation Sans"/>
          <w:b w:val="0"/>
          <w:color w:val="1F2937"/>
          <w:sz w:val="18"/>
        </w:rPr>
        <w:t>Where a workbook section is explicitly expressed in QAR millions, migration must convert the numeric value to atomic QAR by multiplying by 1,000,000 before storage. Funds Position account balances, which are shown as actual account-currency values in the detailed rows, must not be multiplied. Migration scripts therefore need a sheet/range-specific unit map rather than a workbook-wide multiplier.</w:t>
      </w:r>
    </w:p>
    <w:p>
      <w:pPr>
        <w:pStyle w:val="Heading1"/>
        <w:spacing w:before="200" w:after="100"/>
      </w:pPr>
      <w:r>
        <w:rPr>
          <w:rFonts w:ascii="Liberation Sans" w:hAnsi="Liberation Sans"/>
          <w:b/>
          <w:color w:val="17365D"/>
          <w:sz w:val="30"/>
        </w:rPr>
        <w:t>16. Audit, Retention and Immutability</w:t>
      </w:r>
    </w:p>
    <w:p>
      <w:pPr>
        <w:spacing w:after="100" w:line="252" w:lineRule="auto"/>
      </w:pPr>
      <w:r>
        <w:rPr>
          <w:rFonts w:ascii="Liberation Sans" w:hAnsi="Liberation Sans"/>
          <w:b w:val="0"/>
          <w:color w:val="1F2937"/>
          <w:sz w:val="18"/>
        </w:rPr>
        <w:t>AuditLog is append-only from the application perspective and records user, role, action, module, record, old/new JSON values, reason, timestamp and CorrelationId. WorkflowAction, WorkflowComment, snapshot tables and upload staging/history are also retained as evidence and are not overwritten after approval. SQL permissions for normal application roles should not include direct DELETE or UPDATE rights on audit/snapshot history.</w:t>
      </w:r>
    </w:p>
    <w:p>
      <w:pPr>
        <w:spacing w:after="100" w:line="252" w:lineRule="auto"/>
      </w:pPr>
      <w:r>
        <w:rPr>
          <w:rFonts w:ascii="Liberation Sans" w:hAnsi="Liberation Sans"/>
          <w:b w:val="0"/>
          <w:color w:val="1F2937"/>
          <w:sz w:val="18"/>
        </w:rPr>
        <w:t>The BRD does not specify audit retention duration, IP/device retention, database archival periods or attachment retention. Those values remain IT/Internal Audit decisions. The logical schema includes SourceIpAddress as nullable/TBD and keeps storage references abstract so policy can be applied later.</w:t>
      </w:r>
    </w:p>
    <w:p>
      <w:pPr>
        <w:pStyle w:val="Heading1"/>
        <w:spacing w:before="200" w:after="100"/>
      </w:pPr>
      <w:r>
        <w:rPr>
          <w:rFonts w:ascii="Liberation Sans" w:hAnsi="Liberation Sans"/>
          <w:b/>
          <w:color w:val="17365D"/>
          <w:sz w:val="30"/>
        </w:rPr>
        <w:t>17. Backup, Security and Operational Database Controls</w:t>
      </w:r>
    </w:p>
    <w:tbl>
      <w:tblPr>
        <w:tblStyle w:val="TableGrid"/>
        <w:tblW w:type="auto" w:w="0"/>
        <w:jc w:val="center"/>
        <w:tblLook w:firstColumn="1" w:firstRow="1" w:lastColumn="0" w:lastRow="0" w:noHBand="0" w:noVBand="1" w:val="04A0"/>
      </w:tblPr>
      <w:tblGrid>
        <w:gridCol w:w="3298"/>
        <w:gridCol w:w="3298"/>
        <w:gridCol w:w="3298"/>
      </w:tblGrid>
      <w:tr>
        <w:trPr>
          <w:cantSplit w:val="true"/>
          <w:tblHeader w:val="true"/>
        </w:trPr>
        <w:tc>
          <w:tcPr>
            <w:tcW w:type="dxa" w:w="2232"/>
            <w:tcMar>
              <w:top w:w="70" w:type="dxa"/>
              <w:start w:w="80" w:type="dxa"/>
              <w:bottom w:w="70" w:type="dxa"/>
              <w:end w:w="80" w:type="dxa"/>
            </w:tcMar>
            <w:vAlign w:val="center"/>
            <w:shd w:fill="1F4E78"/>
          </w:tcPr>
          <w:p>
            <w:pPr>
              <w:spacing w:after="0" w:before="0"/>
            </w:pPr>
            <w:r>
              <w:rPr>
                <w:rFonts w:ascii="Liberation Sans" w:hAnsi="Liberation Sans"/>
                <w:b/>
                <w:color w:val="FFFFFF"/>
                <w:sz w:val="15"/>
              </w:rPr>
              <w:t>Control</w:t>
            </w:r>
          </w:p>
        </w:tc>
        <w:tc>
          <w:tcPr>
            <w:tcW w:type="dxa" w:w="6624"/>
            <w:tcMar>
              <w:top w:w="70" w:type="dxa"/>
              <w:start w:w="80" w:type="dxa"/>
              <w:bottom w:w="70" w:type="dxa"/>
              <w:end w:w="80" w:type="dxa"/>
            </w:tcMar>
            <w:vAlign w:val="center"/>
            <w:shd w:fill="1F4E78"/>
          </w:tcPr>
          <w:p>
            <w:pPr>
              <w:spacing w:after="0" w:before="0"/>
            </w:pPr>
            <w:r>
              <w:rPr>
                <w:rFonts w:ascii="Liberation Sans" w:hAnsi="Liberation Sans"/>
                <w:b/>
                <w:color w:val="FFFFFF"/>
                <w:sz w:val="15"/>
              </w:rPr>
              <w:t>Design Direction</w:t>
            </w:r>
          </w:p>
        </w:tc>
        <w:tc>
          <w:tcPr>
            <w:tcW w:type="dxa" w:w="1872"/>
            <w:tcMar>
              <w:top w:w="70" w:type="dxa"/>
              <w:start w:w="80" w:type="dxa"/>
              <w:bottom w:w="70" w:type="dxa"/>
              <w:end w:w="80" w:type="dxa"/>
            </w:tcMar>
            <w:vAlign w:val="center"/>
            <w:shd w:fill="1F4E78"/>
          </w:tcPr>
          <w:p>
            <w:pPr>
              <w:spacing w:after="0" w:before="0"/>
            </w:pPr>
            <w:r>
              <w:rPr>
                <w:rFonts w:ascii="Liberation Sans" w:hAnsi="Liberation Sans"/>
                <w:b/>
                <w:color w:val="FFFFFF"/>
                <w:sz w:val="15"/>
              </w:rPr>
              <w:t>Status</w:t>
            </w:r>
          </w:p>
        </w:tc>
      </w:tr>
      <w:tr>
        <w:trPr>
          <w:cantSplit w:val="true"/>
        </w:trPr>
        <w:tc>
          <w:tcPr>
            <w:tcW w:type="dxa" w:w="2232"/>
            <w:tcMar>
              <w:top w:w="70" w:type="dxa"/>
              <w:start w:w="80" w:type="dxa"/>
              <w:bottom w:w="70" w:type="dxa"/>
              <w:end w:w="80" w:type="dxa"/>
            </w:tcMar>
            <w:vAlign w:val="center"/>
          </w:tcPr>
          <w:p>
            <w:pPr>
              <w:spacing w:after="0" w:before="0"/>
            </w:pPr>
            <w:r>
              <w:rPr>
                <w:rFonts w:ascii="Liberation Sans" w:hAnsi="Liberation Sans"/>
                <w:b w:val="0"/>
                <w:color w:val="1F2937"/>
                <w:sz w:val="15"/>
              </w:rPr>
              <w:t>Database identity</w:t>
            </w:r>
          </w:p>
        </w:tc>
        <w:tc>
          <w:tcPr>
            <w:tcW w:type="dxa" w:w="6624"/>
            <w:tcMar>
              <w:top w:w="70" w:type="dxa"/>
              <w:start w:w="80" w:type="dxa"/>
              <w:bottom w:w="70" w:type="dxa"/>
              <w:end w:w="80" w:type="dxa"/>
            </w:tcMar>
            <w:vAlign w:val="center"/>
          </w:tcPr>
          <w:p>
            <w:pPr>
              <w:spacing w:after="0" w:before="0"/>
            </w:pPr>
            <w:r>
              <w:rPr>
                <w:rFonts w:ascii="Liberation Sans" w:hAnsi="Liberation Sans"/>
                <w:b w:val="0"/>
                <w:color w:val="1F2937"/>
                <w:sz w:val="15"/>
              </w:rPr>
              <w:t>ASP.NET Core application uses a least-privilege SQL service identity; end users do not connect directly to SQL Server.</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5"/>
              </w:rPr>
              <w:t>Proposed</w:t>
            </w:r>
          </w:p>
        </w:tc>
      </w:tr>
      <w:tr>
        <w:trPr>
          <w:cantSplit w:val="true"/>
        </w:trPr>
        <w:tc>
          <w:tcPr>
            <w:tcW w:type="dxa" w:w="2232"/>
            <w:tcMar>
              <w:top w:w="70" w:type="dxa"/>
              <w:start w:w="80" w:type="dxa"/>
              <w:bottom w:w="70" w:type="dxa"/>
              <w:end w:w="80" w:type="dxa"/>
            </w:tcMar>
            <w:vAlign w:val="center"/>
          </w:tcPr>
          <w:p>
            <w:pPr>
              <w:spacing w:after="0" w:before="0"/>
            </w:pPr>
            <w:r>
              <w:rPr>
                <w:rFonts w:ascii="Liberation Sans" w:hAnsi="Liberation Sans"/>
                <w:b w:val="0"/>
                <w:color w:val="1F2937"/>
                <w:sz w:val="15"/>
              </w:rPr>
              <w:t>Credentials</w:t>
            </w:r>
          </w:p>
        </w:tc>
        <w:tc>
          <w:tcPr>
            <w:tcW w:type="dxa" w:w="6624"/>
            <w:tcMar>
              <w:top w:w="70" w:type="dxa"/>
              <w:start w:w="80" w:type="dxa"/>
              <w:bottom w:w="70" w:type="dxa"/>
              <w:end w:w="80" w:type="dxa"/>
            </w:tcMar>
            <w:vAlign w:val="center"/>
          </w:tcPr>
          <w:p>
            <w:pPr>
              <w:spacing w:after="0" w:before="0"/>
            </w:pPr>
            <w:r>
              <w:rPr>
                <w:rFonts w:ascii="Liberation Sans" w:hAnsi="Liberation Sans"/>
                <w:b w:val="0"/>
                <w:color w:val="1F2937"/>
                <w:sz w:val="15"/>
              </w:rPr>
              <w:t>Application login passwords stored as one-way salted hashes; password policy/lockout parameters configured by IT Security.</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5"/>
              </w:rPr>
              <w:t>Source + Proposed implementation</w:t>
            </w:r>
          </w:p>
        </w:tc>
      </w:tr>
      <w:tr>
        <w:trPr>
          <w:cantSplit w:val="true"/>
        </w:trPr>
        <w:tc>
          <w:tcPr>
            <w:tcW w:type="dxa" w:w="2232"/>
            <w:tcMar>
              <w:top w:w="70" w:type="dxa"/>
              <w:start w:w="80" w:type="dxa"/>
              <w:bottom w:w="70" w:type="dxa"/>
              <w:end w:w="80" w:type="dxa"/>
            </w:tcMar>
            <w:vAlign w:val="center"/>
          </w:tcPr>
          <w:p>
            <w:pPr>
              <w:spacing w:after="0" w:before="0"/>
            </w:pPr>
            <w:r>
              <w:rPr>
                <w:rFonts w:ascii="Liberation Sans" w:hAnsi="Liberation Sans"/>
                <w:b w:val="0"/>
                <w:color w:val="1F2937"/>
                <w:sz w:val="15"/>
              </w:rPr>
              <w:t>Sensitive account numbers</w:t>
            </w:r>
          </w:p>
        </w:tc>
        <w:tc>
          <w:tcPr>
            <w:tcW w:type="dxa" w:w="6624"/>
            <w:tcMar>
              <w:top w:w="70" w:type="dxa"/>
              <w:start w:w="80" w:type="dxa"/>
              <w:bottom w:w="70" w:type="dxa"/>
              <w:end w:w="80" w:type="dxa"/>
            </w:tcMar>
            <w:vAlign w:val="center"/>
          </w:tcPr>
          <w:p>
            <w:pPr>
              <w:spacing w:after="0" w:before="0"/>
            </w:pPr>
            <w:r>
              <w:rPr>
                <w:rFonts w:ascii="Liberation Sans" w:hAnsi="Liberation Sans"/>
                <w:b w:val="0"/>
                <w:color w:val="1F2937"/>
                <w:sz w:val="15"/>
              </w:rPr>
              <w:t>Full value retained only where business needs it; UI/export masks by role. Consider encryption-at-rest controls per IT policy.</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5"/>
              </w:rPr>
              <w:t>Source / IT policy</w:t>
            </w:r>
          </w:p>
        </w:tc>
      </w:tr>
      <w:tr>
        <w:trPr>
          <w:cantSplit w:val="true"/>
        </w:trPr>
        <w:tc>
          <w:tcPr>
            <w:tcW w:type="dxa" w:w="2232"/>
            <w:tcMar>
              <w:top w:w="70" w:type="dxa"/>
              <w:start w:w="80" w:type="dxa"/>
              <w:bottom w:w="70" w:type="dxa"/>
              <w:end w:w="80" w:type="dxa"/>
            </w:tcMar>
            <w:vAlign w:val="center"/>
          </w:tcPr>
          <w:p>
            <w:pPr>
              <w:spacing w:after="0" w:before="0"/>
            </w:pPr>
            <w:r>
              <w:rPr>
                <w:rFonts w:ascii="Liberation Sans" w:hAnsi="Liberation Sans"/>
                <w:b w:val="0"/>
                <w:color w:val="1F2937"/>
                <w:sz w:val="15"/>
              </w:rPr>
              <w:t>SQL injection</w:t>
            </w:r>
          </w:p>
        </w:tc>
        <w:tc>
          <w:tcPr>
            <w:tcW w:type="dxa" w:w="6624"/>
            <w:tcMar>
              <w:top w:w="70" w:type="dxa"/>
              <w:start w:w="80" w:type="dxa"/>
              <w:bottom w:w="70" w:type="dxa"/>
              <w:end w:w="80" w:type="dxa"/>
            </w:tcMar>
            <w:vAlign w:val="center"/>
          </w:tcPr>
          <w:p>
            <w:pPr>
              <w:spacing w:after="0" w:before="0"/>
            </w:pPr>
            <w:r>
              <w:rPr>
                <w:rFonts w:ascii="Liberation Sans" w:hAnsi="Liberation Sans"/>
                <w:b w:val="0"/>
                <w:color w:val="1F2937"/>
                <w:sz w:val="15"/>
              </w:rPr>
              <w:t>All database access parameterized through application/data layer or stored procedures.</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5"/>
              </w:rPr>
              <w:t>Source security requirement</w:t>
            </w:r>
          </w:p>
        </w:tc>
      </w:tr>
      <w:tr>
        <w:trPr>
          <w:cantSplit w:val="true"/>
        </w:trPr>
        <w:tc>
          <w:tcPr>
            <w:tcW w:type="dxa" w:w="2232"/>
            <w:tcMar>
              <w:top w:w="70" w:type="dxa"/>
              <w:start w:w="80" w:type="dxa"/>
              <w:bottom w:w="70" w:type="dxa"/>
              <w:end w:w="80" w:type="dxa"/>
            </w:tcMar>
            <w:vAlign w:val="center"/>
          </w:tcPr>
          <w:p>
            <w:pPr>
              <w:spacing w:after="0" w:before="0"/>
            </w:pPr>
            <w:r>
              <w:rPr>
                <w:rFonts w:ascii="Liberation Sans" w:hAnsi="Liberation Sans"/>
                <w:b w:val="0"/>
                <w:color w:val="1F2937"/>
                <w:sz w:val="15"/>
              </w:rPr>
              <w:t>Backups/DR</w:t>
            </w:r>
          </w:p>
        </w:tc>
        <w:tc>
          <w:tcPr>
            <w:tcW w:type="dxa" w:w="6624"/>
            <w:tcMar>
              <w:top w:w="70" w:type="dxa"/>
              <w:start w:w="80" w:type="dxa"/>
              <w:bottom w:w="70" w:type="dxa"/>
              <w:end w:w="80" w:type="dxa"/>
            </w:tcMar>
            <w:vAlign w:val="center"/>
          </w:tcPr>
          <w:p>
            <w:pPr>
              <w:spacing w:after="0" w:before="0"/>
            </w:pPr>
            <w:r>
              <w:rPr>
                <w:rFonts w:ascii="Liberation Sans" w:hAnsi="Liberation Sans"/>
                <w:b w:val="0"/>
                <w:color w:val="1F2937"/>
                <w:sz w:val="15"/>
              </w:rPr>
              <w:t>SQL Server backup and disaster recovery follow organizational policy; exact RPO/RTO not supplied.</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5"/>
              </w:rPr>
              <w:t>Source / TBD</w:t>
            </w:r>
          </w:p>
        </w:tc>
      </w:tr>
      <w:tr>
        <w:trPr>
          <w:cantSplit w:val="true"/>
        </w:trPr>
        <w:tc>
          <w:tcPr>
            <w:tcW w:type="dxa" w:w="2232"/>
            <w:tcMar>
              <w:top w:w="70" w:type="dxa"/>
              <w:start w:w="80" w:type="dxa"/>
              <w:bottom w:w="70" w:type="dxa"/>
              <w:end w:w="80" w:type="dxa"/>
            </w:tcMar>
            <w:vAlign w:val="center"/>
          </w:tcPr>
          <w:p>
            <w:pPr>
              <w:spacing w:after="0" w:before="0"/>
            </w:pPr>
            <w:r>
              <w:rPr>
                <w:rFonts w:ascii="Liberation Sans" w:hAnsi="Liberation Sans"/>
                <w:b w:val="0"/>
                <w:color w:val="1F2937"/>
                <w:sz w:val="15"/>
              </w:rPr>
              <w:t>Production access</w:t>
            </w:r>
          </w:p>
        </w:tc>
        <w:tc>
          <w:tcPr>
            <w:tcW w:type="dxa" w:w="6624"/>
            <w:tcMar>
              <w:top w:w="70" w:type="dxa"/>
              <w:start w:w="80" w:type="dxa"/>
              <w:bottom w:w="70" w:type="dxa"/>
              <w:end w:w="80" w:type="dxa"/>
            </w:tcMar>
            <w:vAlign w:val="center"/>
          </w:tcPr>
          <w:p>
            <w:pPr>
              <w:spacing w:after="0" w:before="0"/>
            </w:pPr>
            <w:r>
              <w:rPr>
                <w:rFonts w:ascii="Liberation Sans" w:hAnsi="Liberation Sans"/>
                <w:b w:val="0"/>
                <w:color w:val="1F2937"/>
                <w:sz w:val="15"/>
              </w:rPr>
              <w:t>Restrict direct production database access and audit privileged administrative actions.</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5"/>
              </w:rPr>
              <w:t>Source</w:t>
            </w:r>
          </w:p>
        </w:tc>
      </w:tr>
      <w:tr>
        <w:trPr>
          <w:cantSplit w:val="true"/>
        </w:trPr>
        <w:tc>
          <w:tcPr>
            <w:tcW w:type="dxa" w:w="2232"/>
            <w:tcMar>
              <w:top w:w="70" w:type="dxa"/>
              <w:start w:w="80" w:type="dxa"/>
              <w:bottom w:w="70" w:type="dxa"/>
              <w:end w:w="80" w:type="dxa"/>
            </w:tcMar>
            <w:vAlign w:val="center"/>
          </w:tcPr>
          <w:p>
            <w:pPr>
              <w:spacing w:after="0" w:before="0"/>
            </w:pPr>
            <w:r>
              <w:rPr>
                <w:rFonts w:ascii="Liberation Sans" w:hAnsi="Liberation Sans"/>
                <w:b w:val="0"/>
                <w:color w:val="1F2937"/>
                <w:sz w:val="15"/>
              </w:rPr>
              <w:t>Row-level security</w:t>
            </w:r>
          </w:p>
        </w:tc>
        <w:tc>
          <w:tcPr>
            <w:tcW w:type="dxa" w:w="6624"/>
            <w:tcMar>
              <w:top w:w="70" w:type="dxa"/>
              <w:start w:w="80" w:type="dxa"/>
              <w:bottom w:w="70" w:type="dxa"/>
              <w:end w:w="80" w:type="dxa"/>
            </w:tcMar>
            <w:vAlign w:val="center"/>
          </w:tcPr>
          <w:p>
            <w:pPr>
              <w:spacing w:after="0" w:before="0"/>
            </w:pPr>
            <w:r>
              <w:rPr>
                <w:rFonts w:ascii="Liberation Sans" w:hAnsi="Liberation Sans"/>
                <w:b w:val="0"/>
                <w:color w:val="1F2937"/>
                <w:sz w:val="15"/>
              </w:rPr>
              <w:t>Application authorization is mandatory; SQL Server RLS may be added after final BU hierarchy/access matrix is signed off.</w:t>
            </w:r>
          </w:p>
        </w:tc>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5"/>
              </w:rPr>
              <w:t>Optional defense in depth</w:t>
            </w:r>
          </w:p>
        </w:tc>
      </w:tr>
    </w:tbl>
    <w:p>
      <w:pPr>
        <w:pStyle w:val="Heading1"/>
        <w:spacing w:before="200" w:after="100"/>
      </w:pPr>
      <w:r>
        <w:rPr>
          <w:rFonts w:ascii="Liberation Sans" w:hAnsi="Liberation Sans"/>
          <w:b/>
          <w:color w:val="17365D"/>
          <w:sz w:val="30"/>
        </w:rPr>
        <w:t>18. Phase 1 versus Later Database Scope</w:t>
      </w:r>
    </w:p>
    <w:p>
      <w:pPr>
        <w:spacing w:after="100" w:line="252" w:lineRule="auto"/>
      </w:pPr>
      <w:r>
        <w:rPr>
          <w:rFonts w:ascii="Liberation Sans" w:hAnsi="Liberation Sans"/>
          <w:b w:val="0"/>
          <w:color w:val="1F2937"/>
          <w:sz w:val="18"/>
        </w:rPr>
        <w:t>The logical design contains 53 tables. 52 support Phase 1 or Phase 1 items subject to confirmation. The only explicitly later/optional physical table in this draft is banking.BankTransaction, because the FSD states bank-specific transaction parsing is not required for the initial phase.</w:t>
      </w:r>
    </w:p>
    <w:tbl>
      <w:tblPr>
        <w:tblStyle w:val="TableGrid"/>
        <w:tblW w:type="auto" w:w="0"/>
        <w:jc w:val="center"/>
        <w:tblLook w:firstColumn="1" w:firstRow="1" w:lastColumn="0" w:lastRow="0" w:noHBand="0" w:noVBand="1" w:val="04A0"/>
      </w:tblPr>
      <w:tblGrid>
        <w:gridCol w:w="4946"/>
        <w:gridCol w:w="4946"/>
      </w:tblGrid>
      <w:tr>
        <w:trPr>
          <w:cantSplit w:val="true"/>
          <w:tblHeader w:val="true"/>
        </w:trPr>
        <w:tc>
          <w:tcPr>
            <w:tcW w:type="dxa" w:w="1872"/>
            <w:tcMar>
              <w:top w:w="70" w:type="dxa"/>
              <w:start w:w="80" w:type="dxa"/>
              <w:bottom w:w="70" w:type="dxa"/>
              <w:end w:w="80" w:type="dxa"/>
            </w:tcMar>
            <w:vAlign w:val="center"/>
            <w:shd w:fill="1F4E78"/>
          </w:tcPr>
          <w:p>
            <w:pPr>
              <w:spacing w:after="0" w:before="0"/>
            </w:pPr>
            <w:r>
              <w:rPr>
                <w:rFonts w:ascii="Liberation Sans" w:hAnsi="Liberation Sans"/>
                <w:b/>
                <w:color w:val="FFFFFF"/>
                <w:sz w:val="16"/>
              </w:rPr>
              <w:t>Scope</w:t>
            </w:r>
          </w:p>
        </w:tc>
        <w:tc>
          <w:tcPr>
            <w:tcW w:type="dxa" w:w="8784"/>
            <w:tcMar>
              <w:top w:w="70" w:type="dxa"/>
              <w:start w:w="80" w:type="dxa"/>
              <w:bottom w:w="70" w:type="dxa"/>
              <w:end w:w="80" w:type="dxa"/>
            </w:tcMar>
            <w:vAlign w:val="center"/>
            <w:shd w:fill="1F4E78"/>
          </w:tcPr>
          <w:p>
            <w:pPr>
              <w:spacing w:after="0" w:before="0"/>
            </w:pPr>
            <w:r>
              <w:rPr>
                <w:rFonts w:ascii="Liberation Sans" w:hAnsi="Liberation Sans"/>
                <w:b/>
                <w:color w:val="FFFFFF"/>
                <w:sz w:val="16"/>
              </w:rPr>
              <w:t>Tables / Capability</w:t>
            </w:r>
          </w:p>
        </w:tc>
      </w:tr>
      <w:tr>
        <w:trPr>
          <w:cantSplit w:val="true"/>
        </w:trPr>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6"/>
              </w:rPr>
              <w:t>Phase 1</w:t>
            </w:r>
          </w:p>
        </w:tc>
        <w:tc>
          <w:tcPr>
            <w:tcW w:type="dxa" w:w="8784"/>
            <w:tcMar>
              <w:top w:w="70" w:type="dxa"/>
              <w:start w:w="80" w:type="dxa"/>
              <w:bottom w:w="70" w:type="dxa"/>
              <w:end w:w="80" w:type="dxa"/>
            </w:tcMar>
            <w:vAlign w:val="center"/>
          </w:tcPr>
          <w:p>
            <w:pPr>
              <w:spacing w:after="0" w:before="0"/>
            </w:pPr>
            <w:r>
              <w:rPr>
                <w:rFonts w:ascii="Liberation Sans" w:hAnsi="Liberation Sans"/>
                <w:b w:val="0"/>
                <w:color w:val="1F2937"/>
                <w:sz w:val="16"/>
              </w:rPr>
              <w:t>Security, organization/reference, reporting/versioning, bank accounts/balances, FX, working capital, loans/repayments/movement, investments, cash flow, upload/staging, workflow/comments/exceptions, snapshots, notification, audit and configuration.</w:t>
            </w:r>
          </w:p>
        </w:tc>
      </w:tr>
      <w:tr>
        <w:trPr>
          <w:cantSplit w:val="true"/>
        </w:trPr>
        <w:tc>
          <w:tcPr>
            <w:tcW w:type="dxa" w:w="1872"/>
            <w:tcMar>
              <w:top w:w="70" w:type="dxa"/>
              <w:start w:w="80" w:type="dxa"/>
              <w:bottom w:w="70" w:type="dxa"/>
              <w:end w:w="80" w:type="dxa"/>
            </w:tcMar>
            <w:vAlign w:val="center"/>
          </w:tcPr>
          <w:p>
            <w:pPr>
              <w:spacing w:after="0" w:before="0"/>
            </w:pPr>
            <w:r>
              <w:rPr>
                <w:rFonts w:ascii="Liberation Sans" w:hAnsi="Liberation Sans"/>
                <w:b w:val="0"/>
                <w:color w:val="1F2937"/>
                <w:sz w:val="16"/>
              </w:rPr>
              <w:t>Later / optional</w:t>
            </w:r>
          </w:p>
        </w:tc>
        <w:tc>
          <w:tcPr>
            <w:tcW w:type="dxa" w:w="8784"/>
            <w:tcMar>
              <w:top w:w="70" w:type="dxa"/>
              <w:start w:w="80" w:type="dxa"/>
              <w:bottom w:w="70" w:type="dxa"/>
              <w:end w:w="80" w:type="dxa"/>
            </w:tcMar>
            <w:vAlign w:val="center"/>
          </w:tcPr>
          <w:p>
            <w:pPr>
              <w:spacing w:after="0" w:before="0"/>
            </w:pPr>
            <w:r>
              <w:rPr>
                <w:rFonts w:ascii="Liberation Sans" w:hAnsi="Liberation Sans"/>
                <w:b w:val="0"/>
                <w:color w:val="1F2937"/>
                <w:sz w:val="16"/>
              </w:rPr>
              <w:t>banking.BankTransaction for normalized transaction-level statement parsing. 13-week forecasting reuses CashFlowForecast with weekly buckets and does not require a new core table.</w:t>
            </w:r>
          </w:p>
        </w:tc>
      </w:tr>
    </w:tbl>
    <w:p>
      <w:pPr>
        <w:pStyle w:val="Heading1"/>
        <w:spacing w:before="200" w:after="100"/>
      </w:pPr>
      <w:r>
        <w:rPr>
          <w:rFonts w:ascii="Liberation Sans" w:hAnsi="Liberation Sans"/>
          <w:b/>
          <w:color w:val="17365D"/>
          <w:sz w:val="30"/>
        </w:rPr>
        <w:t>19. Open Design Items / Decisions Required</w:t>
      </w:r>
    </w:p>
    <w:tbl>
      <w:tblPr>
        <w:tblStyle w:val="TableGrid"/>
        <w:tblW w:type="auto" w:w="0"/>
        <w:jc w:val="center"/>
        <w:tblLook w:firstColumn="1" w:firstRow="1" w:lastColumn="0" w:lastRow="0" w:noHBand="0" w:noVBand="1" w:val="04A0"/>
      </w:tblPr>
      <w:tblGrid>
        <w:gridCol w:w="2473"/>
        <w:gridCol w:w="2473"/>
        <w:gridCol w:w="2473"/>
        <w:gridCol w:w="2473"/>
      </w:tblGrid>
      <w:tr>
        <w:trPr>
          <w:cantSplit w:val="true"/>
          <w:tblHeader w:val="true"/>
        </w:trPr>
        <w:tc>
          <w:tcPr>
            <w:tcW w:type="dxa" w:w="1440"/>
            <w:tcMar>
              <w:top w:w="70" w:type="dxa"/>
              <w:start w:w="80" w:type="dxa"/>
              <w:bottom w:w="70" w:type="dxa"/>
              <w:end w:w="80" w:type="dxa"/>
            </w:tcMar>
            <w:vAlign w:val="center"/>
            <w:shd w:fill="1F4E78"/>
          </w:tcPr>
          <w:p>
            <w:pPr>
              <w:spacing w:after="0" w:before="0"/>
            </w:pPr>
            <w:r>
              <w:rPr>
                <w:rFonts w:ascii="Liberation Sans" w:hAnsi="Liberation Sans"/>
                <w:b/>
                <w:color w:val="FFFFFF"/>
                <w:sz w:val="14"/>
              </w:rPr>
              <w:t>ID</w:t>
            </w:r>
          </w:p>
        </w:tc>
        <w:tc>
          <w:tcPr>
            <w:tcW w:type="dxa" w:w="2376"/>
            <w:tcMar>
              <w:top w:w="70" w:type="dxa"/>
              <w:start w:w="80" w:type="dxa"/>
              <w:bottom w:w="70" w:type="dxa"/>
              <w:end w:w="80" w:type="dxa"/>
            </w:tcMar>
            <w:vAlign w:val="center"/>
            <w:shd w:fill="1F4E78"/>
          </w:tcPr>
          <w:p>
            <w:pPr>
              <w:spacing w:after="0" w:before="0"/>
            </w:pPr>
            <w:r>
              <w:rPr>
                <w:rFonts w:ascii="Liberation Sans" w:hAnsi="Liberation Sans"/>
                <w:b/>
                <w:color w:val="FFFFFF"/>
                <w:sz w:val="14"/>
              </w:rPr>
              <w:t>Topic</w:t>
            </w:r>
          </w:p>
        </w:tc>
        <w:tc>
          <w:tcPr>
            <w:tcW w:type="dxa" w:w="4320"/>
            <w:tcMar>
              <w:top w:w="70" w:type="dxa"/>
              <w:start w:w="80" w:type="dxa"/>
              <w:bottom w:w="70" w:type="dxa"/>
              <w:end w:w="80" w:type="dxa"/>
            </w:tcMar>
            <w:vAlign w:val="center"/>
            <w:shd w:fill="1F4E78"/>
          </w:tcPr>
          <w:p>
            <w:pPr>
              <w:spacing w:after="0" w:before="0"/>
            </w:pPr>
            <w:r>
              <w:rPr>
                <w:rFonts w:ascii="Liberation Sans" w:hAnsi="Liberation Sans"/>
                <w:b/>
                <w:color w:val="FFFFFF"/>
                <w:sz w:val="14"/>
              </w:rPr>
              <w:t>Source Gap / Observation</w:t>
            </w:r>
          </w:p>
        </w:tc>
        <w:tc>
          <w:tcPr>
            <w:tcW w:type="dxa" w:w="2880"/>
            <w:tcMar>
              <w:top w:w="70" w:type="dxa"/>
              <w:start w:w="80" w:type="dxa"/>
              <w:bottom w:w="70" w:type="dxa"/>
              <w:end w:w="80" w:type="dxa"/>
            </w:tcMar>
            <w:vAlign w:val="center"/>
            <w:shd w:fill="1F4E78"/>
          </w:tcPr>
          <w:p>
            <w:pPr>
              <w:spacing w:after="0" w:before="0"/>
            </w:pPr>
            <w:r>
              <w:rPr>
                <w:rFonts w:ascii="Liberation Sans" w:hAnsi="Liberation Sans"/>
                <w:b/>
                <w:color w:val="FFFFFF"/>
                <w:sz w:val="14"/>
              </w:rPr>
              <w:t>Required Decision</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OD-DB-01</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Cash flow bucket frequency</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BRD Phase 1 says weekly four-week forecast; current Excel summary is monthly Aug-Oct.</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Confirm migration and display treatment.</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OD-DB-02</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Total Available Liquidity formula</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Source names KPI but does not define exact component formula.</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Finance to approve formula and adjustment inclusion.</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OD-DB-03</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Net Debt / Net Loans</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BRD and workbook use different concepts.</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Finance to approve definition.</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OD-DB-04</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Average Cost of Borrowing</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KPI is required but weighting/inclusion rule is not defined.</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Finance to approve formula.</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OD-DB-05</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Liquidity reserve / reserved WC / GUC adjustment</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Workbook contains manual values and +0.8 Mn adjustment.</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Confirm authoritative source and approval ownership.</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OD-DB-06</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Shared working capital limits</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Workbook states LC and Murabaha can be sub-limits and bank total is not additive.</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Confirm parent/shared-limit configuration by bank.</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OD-DB-07</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Loan MAI #2 maturity date</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Workbook contains invalid date serial 12067.</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Correct authoritative maturity date before migration.</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OD-DB-08</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Broken workbook references</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Debt &amp; Equity and dashboard contain #REF! dependencies.</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Resolve source lineage before UAT KPI reconciliation.</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OD-DB-09</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Equity / Avg. EBDA definition</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Workbook uses Avg. EBDA in equity bridge without definition in BRD.</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Confirm field meaning/calculation.</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OD-DB-10</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Publication authority</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BRD distinguishes CFO Approved and Published but exact publisher is not specified.</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Confirm Corporate Finance vs CFO publication right.</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OD-DB-11</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Attachment storage</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BRD requires supporting documents but does not define filesystem/blob/database storage.</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IT to select storage pattern and retention.</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OD-DB-12</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Audit retention and IP/device capture</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Retention period and login IP/device requirements are not specified.</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IT/Internal Audit to confirm.</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OD-DB-13</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Loan reference uniqueness</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Design proposes globally unique LoanReference.</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Confirm whether lender/BU-scoped uniqueness is required instead.</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OD-DB-14</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Historical migration range</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BRD defers range to implementation planning.</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Confirm periods/years and conversion rules.</w:t>
            </w:r>
          </w:p>
        </w:tc>
      </w:tr>
      <w:tr>
        <w:trPr>
          <w:cantSplit w:val="true"/>
        </w:trPr>
        <w:tc>
          <w:tcPr>
            <w:tcW w:type="dxa" w:w="1440"/>
            <w:tcMar>
              <w:top w:w="70" w:type="dxa"/>
              <w:start w:w="80" w:type="dxa"/>
              <w:bottom w:w="70" w:type="dxa"/>
              <w:end w:w="80" w:type="dxa"/>
            </w:tcMar>
            <w:vAlign w:val="center"/>
          </w:tcPr>
          <w:p>
            <w:pPr>
              <w:spacing w:after="0" w:before="0"/>
            </w:pPr>
            <w:r>
              <w:rPr>
                <w:rFonts w:ascii="Liberation Sans" w:hAnsi="Liberation Sans"/>
                <w:b w:val="0"/>
                <w:color w:val="1F2937"/>
                <w:sz w:val="14"/>
              </w:rPr>
              <w:t>OD-DB-15</w:t>
            </w:r>
          </w:p>
        </w:tc>
        <w:tc>
          <w:tcPr>
            <w:tcW w:type="dxa" w:w="2376"/>
            <w:tcMar>
              <w:top w:w="70" w:type="dxa"/>
              <w:start w:w="80" w:type="dxa"/>
              <w:bottom w:w="70" w:type="dxa"/>
              <w:end w:w="80" w:type="dxa"/>
            </w:tcMar>
            <w:vAlign w:val="center"/>
          </w:tcPr>
          <w:p>
            <w:pPr>
              <w:spacing w:after="0" w:before="0"/>
            </w:pPr>
            <w:r>
              <w:rPr>
                <w:rFonts w:ascii="Liberation Sans" w:hAnsi="Liberation Sans"/>
                <w:b w:val="0"/>
                <w:color w:val="1F2937"/>
                <w:sz w:val="14"/>
              </w:rPr>
              <w:t>Password policy specifics</w:t>
            </w:r>
          </w:p>
        </w:tc>
        <w:tc>
          <w:tcPr>
            <w:tcW w:type="dxa" w:w="4320"/>
            <w:tcMar>
              <w:top w:w="70" w:type="dxa"/>
              <w:start w:w="80" w:type="dxa"/>
              <w:bottom w:w="70" w:type="dxa"/>
              <w:end w:w="80" w:type="dxa"/>
            </w:tcMar>
            <w:vAlign w:val="center"/>
          </w:tcPr>
          <w:p>
            <w:pPr>
              <w:spacing w:after="0" w:before="0"/>
            </w:pPr>
            <w:r>
              <w:rPr>
                <w:rFonts w:ascii="Liberation Sans" w:hAnsi="Liberation Sans"/>
                <w:b w:val="0"/>
                <w:color w:val="1F2937"/>
                <w:sz w:val="14"/>
              </w:rPr>
              <w:t>BRD requires password policy but not length/rotation/lockout parameters.</w:t>
            </w:r>
          </w:p>
        </w:tc>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4"/>
              </w:rPr>
              <w:t>IT Security to approve parameters.</w:t>
            </w:r>
          </w:p>
        </w:tc>
      </w:tr>
    </w:tbl>
    <w:p>
      <w:pPr>
        <w:pStyle w:val="Heading1"/>
        <w:spacing w:before="200" w:after="100"/>
      </w:pPr>
      <w:r>
        <w:rPr>
          <w:rFonts w:ascii="Liberation Sans" w:hAnsi="Liberation Sans"/>
          <w:b/>
          <w:color w:val="17365D"/>
          <w:sz w:val="30"/>
        </w:rPr>
        <w:t>20. Companion Data Dictionary and DDL Deliverables</w:t>
      </w:r>
    </w:p>
    <w:p>
      <w:pPr>
        <w:spacing w:after="100" w:line="252" w:lineRule="auto"/>
      </w:pPr>
      <w:r>
        <w:rPr>
          <w:rFonts w:ascii="Liberation Sans" w:hAnsi="Liberation Sans"/>
          <w:b w:val="0"/>
          <w:color w:val="1F2937"/>
          <w:sz w:val="18"/>
        </w:rPr>
        <w:t>Treasury_SQL_Data_Dictionary_v0.1.xlsx contains 53 table definitions, 723 column definitions, 126 foreign-key relationships, 68 proposed indexes, 11 initial SQL CHECK constraints and the open design items in filterable worksheets.</w:t>
      </w:r>
    </w:p>
    <w:p>
      <w:pPr>
        <w:spacing w:after="100" w:line="252" w:lineRule="auto"/>
      </w:pPr>
      <w:r>
        <w:rPr>
          <w:rFonts w:ascii="Liberation Sans" w:hAnsi="Liberation Sans"/>
          <w:b w:val="0"/>
          <w:color w:val="1F2937"/>
          <w:sz w:val="18"/>
        </w:rPr>
        <w:t>Treasury_SQL_Server_DDL_v0.1.sql is a starter SQL Server schema generated from the same dictionary. It creates schemas and tables first, then adds foreign keys, check constraints and indexes. It is intended for technical review and should be converted into the project’s controlled migration mechanism after open items, naming standards and security policies are approved.</w:t>
      </w:r>
    </w:p>
    <w:p>
      <w:pPr>
        <w:pStyle w:val="Heading1"/>
        <w:spacing w:before="200" w:after="100"/>
      </w:pPr>
      <w:r>
        <w:rPr>
          <w:rFonts w:ascii="Liberation Sans" w:hAnsi="Liberation Sans"/>
          <w:b/>
          <w:color w:val="17365D"/>
          <w:sz w:val="30"/>
        </w:rPr>
        <w:t>Appendix A. Key KPI Data Lineage</w:t>
      </w:r>
    </w:p>
    <w:tbl>
      <w:tblPr>
        <w:tblStyle w:val="TableGrid"/>
        <w:tblW w:type="auto" w:w="0"/>
        <w:jc w:val="center"/>
        <w:tblLook w:firstColumn="1" w:firstRow="1" w:lastColumn="0" w:lastRow="0" w:noHBand="0" w:noVBand="1" w:val="04A0"/>
      </w:tblPr>
      <w:tblGrid>
        <w:gridCol w:w="3298"/>
        <w:gridCol w:w="3298"/>
        <w:gridCol w:w="3298"/>
      </w:tblGrid>
      <w:tr>
        <w:trPr>
          <w:cantSplit w:val="true"/>
          <w:tblHeader w:val="true"/>
        </w:trPr>
        <w:tc>
          <w:tcPr>
            <w:tcW w:type="dxa" w:w="2880"/>
            <w:tcMar>
              <w:top w:w="70" w:type="dxa"/>
              <w:start w:w="80" w:type="dxa"/>
              <w:bottom w:w="70" w:type="dxa"/>
              <w:end w:w="80" w:type="dxa"/>
            </w:tcMar>
            <w:vAlign w:val="center"/>
            <w:shd w:fill="1F4E78"/>
          </w:tcPr>
          <w:p>
            <w:pPr>
              <w:spacing w:after="0" w:before="0"/>
            </w:pPr>
            <w:r>
              <w:rPr>
                <w:rFonts w:ascii="Liberation Sans" w:hAnsi="Liberation Sans"/>
                <w:b/>
                <w:color w:val="FFFFFF"/>
                <w:sz w:val="15"/>
              </w:rPr>
              <w:t>KPI / Output</w:t>
            </w:r>
          </w:p>
        </w:tc>
        <w:tc>
          <w:tcPr>
            <w:tcW w:type="dxa" w:w="3888"/>
            <w:tcMar>
              <w:top w:w="70" w:type="dxa"/>
              <w:start w:w="80" w:type="dxa"/>
              <w:bottom w:w="70" w:type="dxa"/>
              <w:end w:w="80" w:type="dxa"/>
            </w:tcMar>
            <w:vAlign w:val="center"/>
            <w:shd w:fill="1F4E78"/>
          </w:tcPr>
          <w:p>
            <w:pPr>
              <w:spacing w:after="0" w:before="0"/>
            </w:pPr>
            <w:r>
              <w:rPr>
                <w:rFonts w:ascii="Liberation Sans" w:hAnsi="Liberation Sans"/>
                <w:b/>
                <w:color w:val="FFFFFF"/>
                <w:sz w:val="15"/>
              </w:rPr>
              <w:t>Primary SQL Source</w:t>
            </w:r>
          </w:p>
        </w:tc>
        <w:tc>
          <w:tcPr>
            <w:tcW w:type="dxa" w:w="3888"/>
            <w:tcMar>
              <w:top w:w="70" w:type="dxa"/>
              <w:start w:w="80" w:type="dxa"/>
              <w:bottom w:w="70" w:type="dxa"/>
              <w:end w:w="80" w:type="dxa"/>
            </w:tcMar>
            <w:vAlign w:val="center"/>
            <w:shd w:fill="1F4E78"/>
          </w:tcPr>
          <w:p>
            <w:pPr>
              <w:spacing w:after="0" w:before="0"/>
            </w:pPr>
            <w:r>
              <w:rPr>
                <w:rFonts w:ascii="Liberation Sans" w:hAnsi="Liberation Sans"/>
                <w:b/>
                <w:color w:val="FFFFFF"/>
                <w:sz w:val="15"/>
              </w:rPr>
              <w:t>Important Rule / Open Item</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5"/>
              </w:rPr>
              <w:t>Total Cash</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banking.BankBalance + treasury.FXRate</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Sum approved reporting-currency amounts as at ReportingDate.</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5"/>
              </w:rPr>
              <w:t>Cash by BU / Bank / Currency</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BankBalance joined to BankAccount / Bank / Currency</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Drill-down security is BU/role dependent.</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5"/>
              </w:rPr>
              <w:t>Available Working Capital</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WorkingCapitalFacility + FacilityUtilization</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Apply parent/shared limit rules; formula is not simple sum of all sub-limits.</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5"/>
              </w:rPr>
              <w:t>Total Borrowings / STL / LTL</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treasury.Loan</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Classification by LoanTypeCode and current outstanding.</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5"/>
              </w:rPr>
              <w:t>Debt Maturity / Upcoming Repayments</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treasury.LoanRepayment</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Dated principal/interest schedule.</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5"/>
              </w:rPr>
              <w:t>4-Week Cash Flow</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treasury.CashFlowForecast + CashFlowCategory</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Weekly Phase 1 design; existing monthly workbook treatment TBD.</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5"/>
              </w:rPr>
              <w:t>Investment Market Value / Gain-Loss</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Investment + InvestmentValuation</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Valuation date cannot exceed reporting date for actual position.</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5"/>
              </w:rPr>
              <w:t>Debt to Equity</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Loan + EquityValuation</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Avg. EBDA and exact equity bridge require confirmation.</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5"/>
              </w:rPr>
              <w:t>Total Available Liquidity / Liquidity Gap</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Cash + facilities + approved adjustments + configured thresholds</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Exact formulas remain TBD.</w:t>
            </w:r>
          </w:p>
        </w:tc>
      </w:tr>
      <w:tr>
        <w:trPr>
          <w:cantSplit w:val="true"/>
        </w:trPr>
        <w:tc>
          <w:tcPr>
            <w:tcW w:type="dxa" w:w="2880"/>
            <w:tcMar>
              <w:top w:w="70" w:type="dxa"/>
              <w:start w:w="80" w:type="dxa"/>
              <w:bottom w:w="70" w:type="dxa"/>
              <w:end w:w="80" w:type="dxa"/>
            </w:tcMar>
            <w:vAlign w:val="center"/>
          </w:tcPr>
          <w:p>
            <w:pPr>
              <w:spacing w:after="0" w:before="0"/>
            </w:pPr>
            <w:r>
              <w:rPr>
                <w:rFonts w:ascii="Liberation Sans" w:hAnsi="Liberation Sans"/>
                <w:b w:val="0"/>
                <w:color w:val="1F2937"/>
                <w:sz w:val="15"/>
              </w:rPr>
              <w:t>Open Exceptions / Submission Status</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workflow.TreasuryException + rpt.TreasurySubmission</w:t>
            </w:r>
          </w:p>
        </w:tc>
        <w:tc>
          <w:tcPr>
            <w:tcW w:type="dxa" w:w="3888"/>
            <w:tcMar>
              <w:top w:w="70" w:type="dxa"/>
              <w:start w:w="80" w:type="dxa"/>
              <w:bottom w:w="70" w:type="dxa"/>
              <w:end w:w="80" w:type="dxa"/>
            </w:tcMar>
            <w:vAlign w:val="center"/>
          </w:tcPr>
          <w:p>
            <w:pPr>
              <w:spacing w:after="0" w:before="0"/>
            </w:pPr>
            <w:r>
              <w:rPr>
                <w:rFonts w:ascii="Liberation Sans" w:hAnsi="Liberation Sans"/>
                <w:b w:val="0"/>
                <w:color w:val="1F2937"/>
                <w:sz w:val="15"/>
              </w:rPr>
              <w:t>Blocking Critical exceptions prevent CFO approval unless formally overridden.</w:t>
            </w:r>
          </w:p>
        </w:tc>
      </w:tr>
    </w:tbl>
    <w:sectPr w:rsidR="00FC693F" w:rsidRPr="0006063C" w:rsidSect="00034616">
      <w:headerReference w:type="default" r:id="rId14"/>
      <w:footerReference w:type="default" r:id="rId15"/>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3264"/>
      <w:gridCol w:w="3264"/>
      <w:gridCol w:w="3264"/>
    </w:tblGrid>
    <w:tr>
      <w:tc>
        <w:tcPr>
          <w:tcW w:type="dxa" w:w="3264"/>
        </w:tcPr>
        <w:p>
          <w:pPr>
            <w:jc w:val="left"/>
          </w:pPr>
          <w:r>
            <w:rPr>
              <w:rFonts w:ascii="Liberation Sans" w:hAnsi="Liberation Sans"/>
              <w:b w:val="0"/>
              <w:color w:val="666666"/>
              <w:sz w:val="16"/>
            </w:rPr>
            <w:t>DB Design v0.1</w:t>
          </w:r>
        </w:p>
      </w:tc>
      <w:tc>
        <w:tcPr>
          <w:tcW w:type="dxa" w:w="3264"/>
        </w:tcPr>
        <w:p>
          <w:pPr>
            <w:jc w:val="center"/>
          </w:pPr>
          <w:r>
            <w:rPr>
              <w:rFonts w:ascii="Liberation Sans" w:hAnsi="Liberation Sans"/>
              <w:b w:val="0"/>
              <w:color w:val="666666"/>
              <w:sz w:val="16"/>
            </w:rPr>
            <w:t>Draft for review  |  01 Sep 2026</w:t>
          </w:r>
        </w:p>
      </w:tc>
      <w:tc>
        <w:tcPr>
          <w:tcW w:type="dxa" w:w="3264"/>
        </w:tcPr>
        <w:p>
          <w:pPr>
            <w:jc w:val="right"/>
          </w:pPr>
          <w:r>
            <w:rPr>
              <w:rFonts w:ascii="Liberation Sans" w:hAnsi="Liberation Sans"/>
              <w:b w:val="0"/>
              <w:color w:val="666666"/>
              <w:sz w:val="16"/>
            </w:rPr>
            <w:t xml:space="preserve">Page </w:t>
          </w:r>
          <w:r>
            <w:rPr>
              <w:rFonts w:ascii="Liberation Sans" w:hAnsi="Liberation Sans"/>
              <w:color w:val="666666"/>
              <w:sz w:val="16"/>
            </w:rPr>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560"/>
      <w:gridCol w:w="4560"/>
      <w:gridCol w:w="4560"/>
    </w:tblGrid>
    <w:tr>
      <w:tc>
        <w:tcPr>
          <w:tcW w:type="dxa" w:w="4560"/>
        </w:tcPr>
        <w:p>
          <w:pPr>
            <w:jc w:val="left"/>
          </w:pPr>
          <w:r>
            <w:rPr>
              <w:rFonts w:ascii="Liberation Sans" w:hAnsi="Liberation Sans"/>
              <w:b w:val="0"/>
              <w:color w:val="666666"/>
              <w:sz w:val="16"/>
            </w:rPr>
            <w:t>DB Design v0.1</w:t>
          </w:r>
        </w:p>
      </w:tc>
      <w:tc>
        <w:tcPr>
          <w:tcW w:type="dxa" w:w="4560"/>
        </w:tcPr>
        <w:p>
          <w:pPr>
            <w:jc w:val="center"/>
          </w:pPr>
          <w:r>
            <w:rPr>
              <w:rFonts w:ascii="Liberation Sans" w:hAnsi="Liberation Sans"/>
              <w:b w:val="0"/>
              <w:color w:val="666666"/>
              <w:sz w:val="16"/>
            </w:rPr>
            <w:t>Draft for review  |  01 Sep 2026</w:t>
          </w:r>
        </w:p>
      </w:tc>
      <w:tc>
        <w:tcPr>
          <w:tcW w:type="dxa" w:w="4560"/>
        </w:tcPr>
        <w:p>
          <w:pPr>
            <w:jc w:val="right"/>
          </w:pPr>
          <w:r>
            <w:rPr>
              <w:rFonts w:ascii="Liberation Sans" w:hAnsi="Liberation Sans"/>
              <w:b w:val="0"/>
              <w:color w:val="666666"/>
              <w:sz w:val="16"/>
            </w:rPr>
            <w:t xml:space="preserve">Page </w:t>
          </w:r>
          <w:r>
            <w:rPr>
              <w:rFonts w:ascii="Liberation Sans" w:hAnsi="Liberation Sans"/>
              <w:color w:val="666666"/>
              <w:sz w:val="16"/>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3264"/>
      <w:gridCol w:w="3264"/>
      <w:gridCol w:w="3264"/>
    </w:tblGrid>
    <w:tr>
      <w:tc>
        <w:tcPr>
          <w:tcW w:type="dxa" w:w="3264"/>
        </w:tcPr>
        <w:p>
          <w:pPr>
            <w:jc w:val="left"/>
          </w:pPr>
          <w:r>
            <w:rPr>
              <w:rFonts w:ascii="Liberation Sans" w:hAnsi="Liberation Sans"/>
              <w:b w:val="0"/>
              <w:color w:val="666666"/>
              <w:sz w:val="16"/>
            </w:rPr>
            <w:t>DB Design v0.1</w:t>
          </w:r>
        </w:p>
      </w:tc>
      <w:tc>
        <w:tcPr>
          <w:tcW w:type="dxa" w:w="3264"/>
        </w:tcPr>
        <w:p>
          <w:pPr>
            <w:jc w:val="center"/>
          </w:pPr>
          <w:r>
            <w:rPr>
              <w:rFonts w:ascii="Liberation Sans" w:hAnsi="Liberation Sans"/>
              <w:b w:val="0"/>
              <w:color w:val="666666"/>
              <w:sz w:val="16"/>
            </w:rPr>
            <w:t>Draft for review  |  01 Sep 2026</w:t>
          </w:r>
        </w:p>
      </w:tc>
      <w:tc>
        <w:tcPr>
          <w:tcW w:type="dxa" w:w="3264"/>
        </w:tcPr>
        <w:p>
          <w:pPr>
            <w:jc w:val="right"/>
          </w:pPr>
          <w:r>
            <w:rPr>
              <w:rFonts w:ascii="Liberation Sans" w:hAnsi="Liberation Sans"/>
              <w:b w:val="0"/>
              <w:color w:val="666666"/>
              <w:sz w:val="16"/>
            </w:rPr>
            <w:t xml:space="preserve">Page </w:t>
          </w:r>
          <w:r>
            <w:rPr>
              <w:rFonts w:ascii="Liberation Sans" w:hAnsi="Liberation Sans"/>
              <w:color w:val="666666"/>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b w:val="0"/>
        <w:color w:val="666666"/>
        <w:sz w:val="16"/>
      </w:rPr>
      <w:t>Treasury Reporting &amp; Dashboard Automation  |  SQL Database Design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b w:val="0"/>
        <w:color w:val="666666"/>
        <w:sz w:val="16"/>
      </w:rPr>
      <w:t>Treasury Reporting &amp; Dashboard Automation  |  SQL Database Design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b w:val="0"/>
        <w:color w:val="666666"/>
        <w:sz w:val="16"/>
      </w:rPr>
      <w:t>Treasury Reporting &amp; Dashboard Automation  |  SQL Database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Treasury SQL Database Design v0.1</dc:title>
  <dc:subject>Treasury Reporting &amp; Dashboard Automation</dc:subject>
  <dc:creator>python-docx</dc:creator>
  <cp:keywords>Treasury, SQL Server, Database Design, Data Dictionary, Workflow, Snapshot</cp:keywords>
  <dc:description>Draft for review. Source-based design with derived/TBD items explicitly identified.</dc:description>
  <cp:lastModifiedBy/>
  <cp:revision>1</cp:revision>
  <dcterms:created xsi:type="dcterms:W3CDTF">2013-12-23T23:15:00Z</dcterms:created>
  <dcterms:modified xsi:type="dcterms:W3CDTF">2013-12-23T23:15:00Z</dcterms:modified>
  <cp:category/>
</cp:coreProperties>
</file>