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6EFA0" w14:textId="26936EF2" w:rsidR="00990269" w:rsidRDefault="00990269">
      <w:pPr>
        <w:rPr>
          <w:b/>
          <w:bCs/>
        </w:rPr>
      </w:pPr>
      <w:r>
        <w:rPr>
          <w:b/>
          <w:bCs/>
        </w:rPr>
        <w:t>GDP Table</w:t>
      </w:r>
    </w:p>
    <w:p w14:paraId="3B543397" w14:textId="09146943" w:rsidR="00990269" w:rsidRDefault="00990269">
      <w:r w:rsidRPr="00990269">
        <w:rPr>
          <w:b/>
          <w:bCs/>
        </w:rPr>
        <w:t>Current-dollar GDP (millions of current dollars)</w:t>
      </w:r>
      <w:r w:rsidRPr="00990269">
        <w:rPr>
          <w:b/>
          <w:bCs/>
        </w:rPr>
        <w:t>:</w:t>
      </w:r>
      <w:r>
        <w:t xml:space="preserve"> </w:t>
      </w:r>
      <w:r w:rsidRPr="00990269">
        <w:t xml:space="preserve"> </w:t>
      </w:r>
      <w:r>
        <w:t>Gross domestic product (GDP) by state is the measure of the market value of all final goods and services produced within a state in a particular period of time. In concept, an industry's GDP by state, referred to as its "value added", is equivalent to its gross output (sales or receipts and other operating income, commodity taxes, and inventory change) minus its intermediate inputs (consumption of goods and services purchased from other U.S. industries or imported).</w:t>
      </w:r>
    </w:p>
    <w:p w14:paraId="6E8457C7" w14:textId="3F5EBEC2" w:rsidR="00990269" w:rsidRDefault="00990269">
      <w:r w:rsidRPr="00990269">
        <w:rPr>
          <w:b/>
          <w:bCs/>
        </w:rPr>
        <w:t>Compensation</w:t>
      </w:r>
      <w:r>
        <w:t xml:space="preserve">: </w:t>
      </w:r>
      <w:r w:rsidRPr="00990269">
        <w:t>The total remuneration, both monetary and in kind, payable by employers to employees in return for their work during the period. It consists of wages and salaries and of supplements to wages and salaries. Compensation is presented on an accrual basis--that is, it reflects compensation liabilities incurred by the employer in a given period regardless of when the compensation is actually received by the employee.</w:t>
      </w:r>
    </w:p>
    <w:p w14:paraId="30C8DFBC" w14:textId="5D1AEDFF" w:rsidR="00990269" w:rsidRDefault="00990269">
      <w:r w:rsidRPr="00990269">
        <w:rPr>
          <w:b/>
          <w:bCs/>
        </w:rPr>
        <w:t>Gross operating surplus</w:t>
      </w:r>
      <w:r>
        <w:rPr>
          <w:b/>
          <w:bCs/>
        </w:rPr>
        <w:t>:</w:t>
      </w:r>
      <w:r>
        <w:t xml:space="preserve"> </w:t>
      </w:r>
      <w:r>
        <w:t>Gross operating surplus (GOS) is the business income of private domestic enterprises. It includes consumption of fixed capital (CFC), proprietors' income, corporate profits, and business current transfer payments (net)</w:t>
      </w:r>
    </w:p>
    <w:p w14:paraId="6D29444C" w14:textId="7EB6132C" w:rsidR="00990269" w:rsidRDefault="00990269">
      <w:r w:rsidRPr="00990269">
        <w:rPr>
          <w:b/>
          <w:bCs/>
        </w:rPr>
        <w:t>Subsidies</w:t>
      </w:r>
      <w:r>
        <w:rPr>
          <w:b/>
          <w:bCs/>
        </w:rPr>
        <w:t xml:space="preserve">: </w:t>
      </w:r>
      <w:r w:rsidRPr="00990269">
        <w:t xml:space="preserve"> The monetary grants paid by government agencies to private business or to government enterprises at another level of government.</w:t>
      </w:r>
    </w:p>
    <w:p w14:paraId="2A0A8DA6" w14:textId="01140F69" w:rsidR="00990269" w:rsidRDefault="00990269">
      <w:r w:rsidRPr="00990269">
        <w:rPr>
          <w:b/>
          <w:bCs/>
        </w:rPr>
        <w:t>Taxes on production and imports</w:t>
      </w:r>
      <w:r w:rsidRPr="00990269">
        <w:rPr>
          <w:b/>
          <w:bCs/>
        </w:rPr>
        <w:t>:</w:t>
      </w:r>
      <w:r>
        <w:t xml:space="preserve"> Taxes on production and imports (TOPI) consist of tax liabilities, such as general sales and property taxes, that are chargeable to business expense in the calculation of profit-type incomes. Also included are special assessments. TOPI is the sum of state and local taxes, primarily nonpersonal property taxes, licenses, and sales and gross receipts taxes, and Federal taxes, which is composed of excise taxes on goods and services.</w:t>
      </w:r>
    </w:p>
    <w:p w14:paraId="1B71FD8C" w14:textId="77777777" w:rsidR="00B26695" w:rsidRDefault="00B26695">
      <w:pPr>
        <w:rPr>
          <w:b/>
          <w:bCs/>
        </w:rPr>
      </w:pPr>
    </w:p>
    <w:p w14:paraId="7001F26D" w14:textId="77777777" w:rsidR="00B26695" w:rsidRDefault="00B26695">
      <w:pPr>
        <w:rPr>
          <w:b/>
          <w:bCs/>
        </w:rPr>
      </w:pPr>
    </w:p>
    <w:p w14:paraId="3BC28E54" w14:textId="77777777" w:rsidR="00B26695" w:rsidRDefault="00B26695">
      <w:pPr>
        <w:rPr>
          <w:b/>
          <w:bCs/>
        </w:rPr>
      </w:pPr>
    </w:p>
    <w:p w14:paraId="38A9D896" w14:textId="77777777" w:rsidR="00B26695" w:rsidRDefault="00B26695">
      <w:pPr>
        <w:rPr>
          <w:b/>
          <w:bCs/>
        </w:rPr>
      </w:pPr>
    </w:p>
    <w:p w14:paraId="400B811C" w14:textId="77777777" w:rsidR="00B26695" w:rsidRDefault="00B26695">
      <w:pPr>
        <w:rPr>
          <w:b/>
          <w:bCs/>
        </w:rPr>
      </w:pPr>
    </w:p>
    <w:p w14:paraId="7F23800F" w14:textId="77777777" w:rsidR="00B26695" w:rsidRDefault="00B26695">
      <w:pPr>
        <w:rPr>
          <w:b/>
          <w:bCs/>
        </w:rPr>
      </w:pPr>
    </w:p>
    <w:p w14:paraId="799FEC48" w14:textId="1464EEA2" w:rsidR="00990269" w:rsidRPr="00990269" w:rsidRDefault="00990269">
      <w:pPr>
        <w:rPr>
          <w:b/>
          <w:bCs/>
        </w:rPr>
      </w:pPr>
      <w:r w:rsidRPr="00990269">
        <w:rPr>
          <w:b/>
          <w:bCs/>
        </w:rPr>
        <w:lastRenderedPageBreak/>
        <w:t>PCE Table</w:t>
      </w:r>
    </w:p>
    <w:p w14:paraId="44D00BAD" w14:textId="0B21E7C9" w:rsidR="00990269" w:rsidRDefault="00990269">
      <w:r w:rsidRPr="00B26695">
        <w:rPr>
          <w:b/>
          <w:bCs/>
        </w:rPr>
        <w:t>Personal consumption expenditures</w:t>
      </w:r>
      <w:r w:rsidRPr="00B26695">
        <w:rPr>
          <w:b/>
          <w:bCs/>
        </w:rPr>
        <w:t>:</w:t>
      </w:r>
      <w:r>
        <w:t xml:space="preserve"> </w:t>
      </w:r>
      <w:r w:rsidRPr="00990269">
        <w:t>A measure of spending on goods and services</w:t>
      </w:r>
    </w:p>
    <w:p w14:paraId="7E07C986" w14:textId="77777777" w:rsidR="007532E5" w:rsidRDefault="007532E5"/>
    <w:p w14:paraId="0E18C29D" w14:textId="77777777" w:rsidR="00990269" w:rsidRDefault="00990269"/>
    <w:p w14:paraId="05C84414" w14:textId="6EE873C7" w:rsidR="00990269" w:rsidRDefault="00990269"/>
    <w:p w14:paraId="66AE8231" w14:textId="77777777" w:rsidR="00990269" w:rsidRDefault="00990269"/>
    <w:sectPr w:rsidR="00990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69"/>
    <w:rsid w:val="000B2ECD"/>
    <w:rsid w:val="004766A4"/>
    <w:rsid w:val="007532E5"/>
    <w:rsid w:val="00990269"/>
    <w:rsid w:val="00B26695"/>
    <w:rsid w:val="00DC1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C4334"/>
  <w15:chartTrackingRefBased/>
  <w15:docId w15:val="{42FBF3CD-7B3C-4A35-99B1-35B63DBE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7"/>
    <w:qFormat/>
    <w:rsid w:val="00DC1E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0">
    <w:name w:val="p0"/>
    <w:basedOn w:val="DefaultParagraphFont"/>
    <w:rsid w:val="00990269"/>
  </w:style>
  <w:style w:type="character" w:styleId="Hyperlink">
    <w:name w:val="Hyperlink"/>
    <w:basedOn w:val="DefaultParagraphFont"/>
    <w:uiPriority w:val="99"/>
    <w:semiHidden/>
    <w:unhideWhenUsed/>
    <w:rsid w:val="00990269"/>
    <w:rPr>
      <w:color w:val="0000FF"/>
      <w:u w:val="single"/>
    </w:rPr>
  </w:style>
  <w:style w:type="paragraph" w:styleId="ListParagraph">
    <w:name w:val="List Paragraph"/>
    <w:basedOn w:val="Normal"/>
    <w:uiPriority w:val="34"/>
    <w:qFormat/>
    <w:rsid w:val="00753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71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Frazier</dc:creator>
  <cp:keywords/>
  <dc:description/>
  <cp:lastModifiedBy>Andrew Frazier</cp:lastModifiedBy>
  <cp:revision>3</cp:revision>
  <dcterms:created xsi:type="dcterms:W3CDTF">2022-03-26T20:58:00Z</dcterms:created>
  <dcterms:modified xsi:type="dcterms:W3CDTF">2022-03-26T23:06:00Z</dcterms:modified>
</cp:coreProperties>
</file>