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设备能效分析工具（EquipEffi）采购报价单</w:t>
      </w:r>
    </w:p>
    <w:p>
      <w:r>
        <w:t>报价日期：2026年8月17日        报价有效期：90日（至2026年11月15日）</w:t>
      </w:r>
    </w:p>
    <w:p>
      <w:r>
        <w:t>致：节能主管部门（政府采购/磋商）</w:t>
      </w:r>
    </w:p>
    <w:p>
      <w:r>
        <w:t>宁夏青舟节能科技有限公司（以下简称“我方”）就《设备能效分析工具（EquipEffi）》独家买断及定期维护事宜报价如下。本报价含全部税费、软件许可、知识产权移交、实施培训及质保期内服务。</w:t>
      </w:r>
    </w:p>
    <w:p>
      <w:pPr>
        <w:pStyle w:val="Heading2"/>
      </w:pPr>
      <w:r>
        <w:t>一、产品与服务概述</w:t>
      </w:r>
    </w:p>
    <w:p>
      <w:pPr>
        <w:pStyle w:val="ListBullet"/>
      </w:pPr>
      <w:r>
        <w:t>产品定位：用能设备能效判定专家系统，覆盖变压器、电动机（低压/高压/永磁）、空压机、清水/化工离心泵、通风机、鼓风机、潜水电泵、工业锅炉、热处理设备共12类用能设备。</w:t>
      </w:r>
    </w:p>
    <w:p>
      <w:pPr>
        <w:pStyle w:val="ListBullet"/>
      </w:pPr>
      <w:r>
        <w:t>核心能力：企业台账Excel一键导入→自动清洗→按现行国家标准（GB 20052-2024、GB 18613-2020、GB 30254-2024、GB 30253-2024、GB 19153-2019、GB 19762-2025、GB 19761-2020、GB 28381-2012、GB 32030-2022、GB 24500-2020、GB/T 36561-2018）自动判定能效等级，输出判定结论、1/2/3级标准限值及过程指标（比转速ns、常数Ci、压力系数Ψ等），铭牌照片100%保留。</w:t>
      </w:r>
    </w:p>
    <w:p>
      <w:pPr>
        <w:pStyle w:val="ListBullet"/>
      </w:pPr>
      <w:r>
        <w:t>采购模式：独家买断（含源码及知识产权移交）+ 年度定期维护。</w:t>
      </w:r>
    </w:p>
    <w:p>
      <w:pPr>
        <w:pStyle w:val="ListBullet"/>
      </w:pPr>
      <w:r>
        <w:t>部署方式：政务环境本地化部署，支持内网使用，数据不出域。</w:t>
      </w:r>
    </w:p>
    <w:p>
      <w:pPr>
        <w:pStyle w:val="Heading2"/>
      </w:pPr>
      <w:r>
        <w:t>二、报价明细——首年建设费（一次性，含税）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90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1904"/>
          </w:tcPr>
          <w:p>
            <w:r>
              <w:rPr>
                <w:b/>
              </w:rPr>
              <w:t>低值（元）</w:t>
            </w:r>
          </w:p>
        </w:tc>
        <w:tc>
          <w:tcPr>
            <w:tcW w:type="dxa" w:w="1904"/>
          </w:tcPr>
          <w:p>
            <w:r>
              <w:rPr>
                <w:b/>
              </w:rPr>
              <w:t>高值（元）</w:t>
            </w:r>
          </w:p>
        </w:tc>
        <w:tc>
          <w:tcPr>
            <w:tcW w:type="dxa" w:w="190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904"/>
          </w:tcPr>
          <w:p>
            <w:r>
              <w:t>1</w:t>
            </w:r>
          </w:p>
        </w:tc>
        <w:tc>
          <w:tcPr>
            <w:tcW w:type="dxa" w:w="1904"/>
          </w:tcPr>
          <w:p>
            <w:r>
              <w:t>软件系统建设费（核心判定引擎：数据清洗/标准匹配/能效判定/汇总输出，含完整源码及知识产权移交）</w:t>
            </w:r>
          </w:p>
        </w:tc>
        <w:tc>
          <w:tcPr>
            <w:tcW w:type="dxa" w:w="1904"/>
          </w:tcPr>
          <w:p>
            <w:r>
              <w:t>140,000</w:t>
            </w:r>
          </w:p>
        </w:tc>
        <w:tc>
          <w:tcPr>
            <w:tcW w:type="dxa" w:w="1904"/>
          </w:tcPr>
          <w:p>
            <w:r>
              <w:t>210,000</w:t>
            </w:r>
          </w:p>
        </w:tc>
        <w:tc>
          <w:tcPr>
            <w:tcW w:type="dxa" w:w="1904"/>
          </w:tcPr>
          <w:p>
            <w:r>
              <w:t>含全部模块源码、架构文档、测试套件；低值=使用权+移交执行程序，高值=全资产移交</w:t>
            </w:r>
          </w:p>
        </w:tc>
      </w:tr>
      <w:tr>
        <w:tc>
          <w:tcPr>
            <w:tcW w:type="dxa" w:w="1904"/>
          </w:tcPr>
          <w:p>
            <w:r>
              <w:t>2</w:t>
            </w:r>
          </w:p>
        </w:tc>
        <w:tc>
          <w:tcPr>
            <w:tcW w:type="dxa" w:w="1904"/>
          </w:tcPr>
          <w:p>
            <w:r>
              <w:t>标准数据库建设费（12类设备现行标准数据+判定规则，含2年标准换版校准）</w:t>
            </w:r>
          </w:p>
        </w:tc>
        <w:tc>
          <w:tcPr>
            <w:tcW w:type="dxa" w:w="1904"/>
          </w:tcPr>
          <w:p>
            <w:r>
              <w:t>30,000</w:t>
            </w:r>
          </w:p>
        </w:tc>
        <w:tc>
          <w:tcPr>
            <w:tcW w:type="dxa" w:w="1904"/>
          </w:tcPr>
          <w:p>
            <w:r>
              <w:t>60,000</w:t>
            </w:r>
          </w:p>
        </w:tc>
        <w:tc>
          <w:tcPr>
            <w:tcW w:type="dxa" w:w="1904"/>
          </w:tcPr>
          <w:p>
            <w:r>
              <w:t>核心资产；含GB 20052-2024等现行标准数据及公式系数，标准更新时免费校准2年</w:t>
            </w:r>
          </w:p>
        </w:tc>
      </w:tr>
      <w:tr>
        <w:tc>
          <w:tcPr>
            <w:tcW w:type="dxa" w:w="1904"/>
          </w:tcPr>
          <w:p>
            <w:r>
              <w:t>3</w:t>
            </w:r>
          </w:p>
        </w:tc>
        <w:tc>
          <w:tcPr>
            <w:tcW w:type="dxa" w:w="1904"/>
          </w:tcPr>
          <w:p>
            <w:r>
              <w:t>部署实施费（政务环境安装部署、数据迁移、与现有能耗在线监测平台对接）</w:t>
            </w:r>
          </w:p>
        </w:tc>
        <w:tc>
          <w:tcPr>
            <w:tcW w:type="dxa" w:w="1904"/>
          </w:tcPr>
          <w:p>
            <w:r>
              <w:t>20,000</w:t>
            </w:r>
          </w:p>
        </w:tc>
        <w:tc>
          <w:tcPr>
            <w:tcW w:type="dxa" w:w="1904"/>
          </w:tcPr>
          <w:p>
            <w:r>
              <w:t>50,000</w:t>
            </w:r>
          </w:p>
        </w:tc>
        <w:tc>
          <w:tcPr>
            <w:tcW w:type="dxa" w:w="1904"/>
          </w:tcPr>
          <w:p>
            <w:r>
              <w:t>低值=单机部署；高值=多终端+平台接口对接开发</w:t>
            </w:r>
          </w:p>
        </w:tc>
      </w:tr>
      <w:tr>
        <w:tc>
          <w:tcPr>
            <w:tcW w:type="dxa" w:w="1904"/>
          </w:tcPr>
          <w:p>
            <w:r>
              <w:t>4</w:t>
            </w:r>
          </w:p>
        </w:tc>
        <w:tc>
          <w:tcPr>
            <w:tcW w:type="dxa" w:w="1904"/>
          </w:tcPr>
          <w:p>
            <w:r>
              <w:t>培训与验收费（操作培训、验收材料编制、试运行期支持）</w:t>
            </w:r>
          </w:p>
        </w:tc>
        <w:tc>
          <w:tcPr>
            <w:tcW w:type="dxa" w:w="1904"/>
          </w:tcPr>
          <w:p>
            <w:r>
              <w:t>10,000</w:t>
            </w:r>
          </w:p>
        </w:tc>
        <w:tc>
          <w:tcPr>
            <w:tcW w:type="dxa" w:w="1904"/>
          </w:tcPr>
          <w:p>
            <w:r>
              <w:t>25,000</w:t>
            </w:r>
          </w:p>
        </w:tc>
        <w:tc>
          <w:tcPr>
            <w:tcW w:type="dxa" w:w="1904"/>
          </w:tcPr>
          <w:p>
            <w:r>
              <w:t>低值=远程培训2场；高值=到场培训+试运行期驻场</w:t>
            </w:r>
          </w:p>
        </w:tc>
      </w:tr>
      <w:tr>
        <w:tc>
          <w:tcPr>
            <w:tcW w:type="dxa" w:w="1904"/>
          </w:tcPr>
          <w:p>
            <w:r>
              <w:t>5</w:t>
            </w:r>
          </w:p>
        </w:tc>
        <w:tc>
          <w:tcPr>
            <w:tcW w:type="dxa" w:w="1904"/>
          </w:tcPr>
          <w:p>
            <w:r>
              <w:t>质保期服务（验收合格后1年免费质保，含bug修复）</w:t>
            </w:r>
          </w:p>
        </w:tc>
        <w:tc>
          <w:tcPr>
            <w:tcW w:type="dxa" w:w="1904"/>
          </w:tcPr>
          <w:p>
            <w:r>
              <w:t>0</w:t>
            </w:r>
          </w:p>
        </w:tc>
        <w:tc>
          <w:tcPr>
            <w:tcW w:type="dxa" w:w="1904"/>
          </w:tcPr>
          <w:p>
            <w:r>
              <w:t>0</w:t>
            </w:r>
          </w:p>
        </w:tc>
        <w:tc>
          <w:tcPr>
            <w:tcW w:type="dxa" w:w="1904"/>
          </w:tcPr>
          <w:p>
            <w:r>
              <w:t>政府项目惯例，1年质保免费</w:t>
            </w:r>
          </w:p>
        </w:tc>
      </w:tr>
      <w:tr>
        <w:tc>
          <w:tcPr>
            <w:tcW w:type="dxa" w:w="1904"/>
          </w:tcPr>
          <w:p>
            <w:r>
              <w:t>合计</w:t>
            </w:r>
          </w:p>
        </w:tc>
        <w:tc>
          <w:tcPr>
            <w:tcW w:type="dxa" w:w="1904"/>
          </w:tcPr>
          <w:p>
            <w:r>
              <w:t>首年建设费</w:t>
            </w:r>
          </w:p>
        </w:tc>
        <w:tc>
          <w:tcPr>
            <w:tcW w:type="dxa" w:w="1904"/>
          </w:tcPr>
          <w:p>
            <w:r>
              <w:t>200,000</w:t>
            </w:r>
          </w:p>
        </w:tc>
        <w:tc>
          <w:tcPr>
            <w:tcW w:type="dxa" w:w="1904"/>
          </w:tcPr>
          <w:p>
            <w:r>
              <w:t>350,000</w:t>
            </w:r>
          </w:p>
        </w:tc>
        <w:tc>
          <w:tcPr>
            <w:tcW w:type="dxa" w:w="1904"/>
          </w:tcPr>
          <w:p>
            <w:r>
              <w:t>含税费及管理费；各项可按最终需求在区间内调整</w:t>
            </w:r>
          </w:p>
        </w:tc>
      </w:tr>
    </w:tbl>
    <w:p>
      <w:pPr>
        <w:pStyle w:val="Heading2"/>
      </w:pPr>
      <w:r>
        <w:t>三、报价明细——年度维护费（质保期满后，每年，含税）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90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1904"/>
          </w:tcPr>
          <w:p>
            <w:r>
              <w:rPr>
                <w:b/>
              </w:rPr>
              <w:t>低值（元/年）</w:t>
            </w:r>
          </w:p>
        </w:tc>
        <w:tc>
          <w:tcPr>
            <w:tcW w:type="dxa" w:w="1904"/>
          </w:tcPr>
          <w:p>
            <w:r>
              <w:rPr>
                <w:b/>
              </w:rPr>
              <w:t>高值（元/年）</w:t>
            </w:r>
          </w:p>
        </w:tc>
        <w:tc>
          <w:tcPr>
            <w:tcW w:type="dxa" w:w="190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904"/>
          </w:tcPr>
          <w:p>
            <w:r>
              <w:t>1</w:t>
            </w:r>
          </w:p>
        </w:tc>
        <w:tc>
          <w:tcPr>
            <w:tcW w:type="dxa" w:w="1904"/>
          </w:tcPr>
          <w:p>
            <w:r>
              <w:t>标准换版维护（新国标实施时更新数据并复核判定规则，每年不少于2次）</w:t>
            </w:r>
          </w:p>
        </w:tc>
        <w:tc>
          <w:tcPr>
            <w:tcW w:type="dxa" w:w="1904"/>
          </w:tcPr>
          <w:p>
            <w:r>
              <w:t>12,000</w:t>
            </w:r>
          </w:p>
        </w:tc>
        <w:tc>
          <w:tcPr>
            <w:tcW w:type="dxa" w:w="1904"/>
          </w:tcPr>
          <w:p>
            <w:r>
              <w:t>16,000</w:t>
            </w:r>
          </w:p>
        </w:tc>
        <w:tc>
          <w:tcPr>
            <w:tcW w:type="dxa" w:w="1904"/>
          </w:tcPr>
          <w:p>
            <w:r>
              <w:t>含判定规则复核与抽查验证</w:t>
            </w:r>
          </w:p>
        </w:tc>
      </w:tr>
      <w:tr>
        <w:tc>
          <w:tcPr>
            <w:tcW w:type="dxa" w:w="1904"/>
          </w:tcPr>
          <w:p>
            <w:r>
              <w:t>2</w:t>
            </w:r>
          </w:p>
        </w:tc>
        <w:tc>
          <w:tcPr>
            <w:tcW w:type="dxa" w:w="1904"/>
          </w:tcPr>
          <w:p>
            <w:r>
              <w:t>系统运行维护（bug修复、稳定性巡检、性能优化）</w:t>
            </w:r>
          </w:p>
        </w:tc>
        <w:tc>
          <w:tcPr>
            <w:tcW w:type="dxa" w:w="1904"/>
          </w:tcPr>
          <w:p>
            <w:r>
              <w:t>8,000</w:t>
            </w:r>
          </w:p>
        </w:tc>
        <w:tc>
          <w:tcPr>
            <w:tcW w:type="dxa" w:w="1904"/>
          </w:tcPr>
          <w:p>
            <w:r>
              <w:t>10,000</w:t>
            </w:r>
          </w:p>
        </w:tc>
        <w:tc>
          <w:tcPr>
            <w:tcW w:type="dxa" w:w="1904"/>
          </w:tcPr>
          <w:p>
            <w:r>
              <w:t>政务系统常规运维</w:t>
            </w:r>
          </w:p>
        </w:tc>
      </w:tr>
      <w:tr>
        <w:tc>
          <w:tcPr>
            <w:tcW w:type="dxa" w:w="1904"/>
          </w:tcPr>
          <w:p>
            <w:r>
              <w:t>3</w:t>
            </w:r>
          </w:p>
        </w:tc>
        <w:tc>
          <w:tcPr>
            <w:tcW w:type="dxa" w:w="1904"/>
          </w:tcPr>
          <w:p>
            <w:r>
              <w:t>技术支持（电话/远程/上门，响应时限承诺）</w:t>
            </w:r>
          </w:p>
        </w:tc>
        <w:tc>
          <w:tcPr>
            <w:tcW w:type="dxa" w:w="1904"/>
          </w:tcPr>
          <w:p>
            <w:r>
              <w:t>5,000</w:t>
            </w:r>
          </w:p>
        </w:tc>
        <w:tc>
          <w:tcPr>
            <w:tcW w:type="dxa" w:w="1904"/>
          </w:tcPr>
          <w:p>
            <w:r>
              <w:t>8,000</w:t>
            </w:r>
          </w:p>
        </w:tc>
        <w:tc>
          <w:tcPr>
            <w:tcW w:type="dxa" w:w="1904"/>
          </w:tcPr>
          <w:p>
            <w:r>
              <w:t>低值=远程响应；高值=含上门及应急响应</w:t>
            </w:r>
          </w:p>
        </w:tc>
      </w:tr>
      <w:tr>
        <w:tc>
          <w:tcPr>
            <w:tcW w:type="dxa" w:w="1904"/>
          </w:tcPr>
          <w:p>
            <w:r>
              <w:t>4</w:t>
            </w:r>
          </w:p>
        </w:tc>
        <w:tc>
          <w:tcPr>
            <w:tcW w:type="dxa" w:w="1904"/>
          </w:tcPr>
          <w:p>
            <w:r>
              <w:t>增量开发额度（每年40~80小时免费定制，超出部分另计）</w:t>
            </w:r>
          </w:p>
        </w:tc>
        <w:tc>
          <w:tcPr>
            <w:tcW w:type="dxa" w:w="1904"/>
          </w:tcPr>
          <w:p>
            <w:r>
              <w:t>5,000</w:t>
            </w:r>
          </w:p>
        </w:tc>
        <w:tc>
          <w:tcPr>
            <w:tcW w:type="dxa" w:w="1904"/>
          </w:tcPr>
          <w:p>
            <w:r>
              <w:t>6,000</w:t>
            </w:r>
          </w:p>
        </w:tc>
        <w:tc>
          <w:tcPr>
            <w:tcW w:type="dxa" w:w="1904"/>
          </w:tcPr>
          <w:p>
            <w:r>
              <w:t>对应新增设备类型适配等小规模定制</w:t>
            </w:r>
          </w:p>
        </w:tc>
      </w:tr>
      <w:tr>
        <w:tc>
          <w:tcPr>
            <w:tcW w:type="dxa" w:w="1904"/>
          </w:tcPr>
          <w:p>
            <w:r>
              <w:t>合计</w:t>
            </w:r>
          </w:p>
        </w:tc>
        <w:tc>
          <w:tcPr>
            <w:tcW w:type="dxa" w:w="1904"/>
          </w:tcPr>
          <w:p>
            <w:r>
              <w:t>年度维护费</w:t>
            </w:r>
          </w:p>
        </w:tc>
        <w:tc>
          <w:tcPr>
            <w:tcW w:type="dxa" w:w="1904"/>
          </w:tcPr>
          <w:p>
            <w:r>
              <w:t>30,000</w:t>
            </w:r>
          </w:p>
        </w:tc>
        <w:tc>
          <w:tcPr>
            <w:tcW w:type="dxa" w:w="1904"/>
          </w:tcPr>
          <w:p>
            <w:r>
              <w:t>40,000</w:t>
            </w:r>
          </w:p>
        </w:tc>
        <w:tc>
          <w:tcPr>
            <w:tcW w:type="dxa" w:w="1904"/>
          </w:tcPr>
          <w:p>
            <w:r>
              <w:t>每年一签，可含终止条款</w:t>
            </w:r>
          </w:p>
        </w:tc>
      </w:tr>
    </w:tbl>
    <w:p>
      <w:pPr>
        <w:pStyle w:val="Heading2"/>
      </w:pPr>
      <w:r>
        <w:t>四、商务条款</w:t>
      </w:r>
    </w:p>
    <w:p>
      <w:pPr>
        <w:pStyle w:val="ListBullet"/>
      </w:pPr>
      <w:r>
        <w:t>1. 独家买断：自合同生效之日起，我方在排他期内（建议3~5年）不再向其他单位销售同类设备能效判定工具；买方仅限本地区政务用途使用，不得转售第三方。</w:t>
      </w:r>
    </w:p>
    <w:p>
      <w:pPr>
        <w:pStyle w:val="ListBullet"/>
      </w:pPr>
      <w:r>
        <w:t>2. 资产移交：源码、标准数据库、技术文档全部移交买方；我方保留标准解读署名权（标准数据均来自公开标准，无版权风险）。</w:t>
      </w:r>
    </w:p>
    <w:p>
      <w:pPr>
        <w:pStyle w:val="ListBullet"/>
      </w:pPr>
      <w:r>
        <w:t>3. 质保与运维衔接：验收合格起1年免费质保 → 期满签署年度运维合同（一年一签，含终止条款）。</w:t>
      </w:r>
    </w:p>
    <w:p>
      <w:pPr>
        <w:pStyle w:val="ListBullet"/>
      </w:pPr>
      <w:r>
        <w:t>4. 验收标准：以真实企业设备台账为验收样例（不少于20台设备全流程跑通、判定结论与人工复核一致、铭牌照片保留率100%）。</w:t>
      </w:r>
    </w:p>
    <w:p>
      <w:pPr>
        <w:pStyle w:val="ListBullet"/>
      </w:pPr>
      <w:r>
        <w:t>5. 质保期内bug修复免费；新增功能、新增设备类别及新标准开发不属于免费范围，按增量开发另计。</w:t>
      </w:r>
    </w:p>
    <w:p>
      <w:pPr>
        <w:pStyle w:val="Heading2"/>
      </w:pPr>
      <w:r>
        <w:t>五、付款方式（按政府采购财政惯例）</w:t>
      </w:r>
    </w:p>
    <w:p>
      <w:pPr>
        <w:pStyle w:val="ListBullet"/>
      </w:pPr>
      <w:r>
        <w:t>1. 合同签订生效后支付合同总额的40%；</w:t>
      </w:r>
    </w:p>
    <w:p>
      <w:pPr>
        <w:pStyle w:val="ListBullet"/>
      </w:pPr>
      <w:r>
        <w:t>2. 部署培训完成、初验合格后支付40%；</w:t>
      </w:r>
    </w:p>
    <w:p>
      <w:pPr>
        <w:pStyle w:val="ListBullet"/>
      </w:pPr>
      <w:r>
        <w:t>3. 试运行1个月、终验合格后支付剩余20%。</w:t>
      </w:r>
    </w:p>
    <w:p>
      <w:pPr>
        <w:pStyle w:val="Heading2"/>
      </w:pPr>
      <w:r>
        <w:t>六、其他说明</w:t>
      </w:r>
    </w:p>
    <w:p>
      <w:pPr>
        <w:pStyle w:val="ListBullet"/>
      </w:pPr>
      <w:r>
        <w:t>1. 本报价为区间报价，最终以合同谈判确定金额为准；</w:t>
      </w:r>
    </w:p>
    <w:p>
      <w:pPr>
        <w:pStyle w:val="ListBullet"/>
      </w:pPr>
      <w:r>
        <w:t>2. 如需扩展至空调类设备（热泵机组、多联机等5类）或平台化改造（台账管理、汇总上报、多用户），费用另议；</w:t>
      </w:r>
    </w:p>
    <w:p>
      <w:pPr>
        <w:pStyle w:val="ListBullet"/>
      </w:pPr>
      <w:r>
        <w:t>3. 本报价自报价日期起90日内有效，标准版本更新至报价单签署之日现行版。</w:t>
      </w:r>
    </w:p>
    <w:p>
      <w:r/>
    </w:p>
    <w:p>
      <w:r>
        <w:t>报价单位：宁夏青舟节能科技有限公司</w:t>
      </w:r>
    </w:p>
    <w:p>
      <w:r>
        <w:t>联系人：＿＿＿＿＿＿＿＿        联系电话：＿＿＿＿＿＿＿＿</w:t>
      </w:r>
    </w:p>
    <w:p>
      <w:r>
        <w:t>地址：＿＿＿＿＿＿＿＿＿＿＿＿        盖章：＿＿＿＿＿＿＿＿</w:t>
      </w:r>
    </w:p>
    <w:p>
      <w:r/>
    </w:p>
    <w:p>
      <w:r>
        <w:t>（盖章生效）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宁夏青舟节能科技有限公司  ·  报价单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