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Прашања од ЗОРОДУ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Со кој закон се уредува  организацијата, надлежностите и работата на органите на државната управа ?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со Законот за Владата на Република Македонија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со Законот за организација и работа на органите на државната управа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со Законот за Владата на Република Македонија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Органите на државната управа  се дел од ....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законодавната власт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извршната власт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инспекциската власт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Органи на државната управа  можат да бидат   .....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министерства и судови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министерства, други органи на државната управа и управни организации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министерства, судови и собрание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Самостојниот орган на државната управа за својата работа одговара на .....   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Владата на Република Македонија и соодветното министерство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Собранието на Република Македонија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Инспекцискиот Совет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Управните организации се основани како .....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паралелни организации на државната управа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самостојни органи на државната управа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подорганизации на државната управа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Органите на државната управа во рамките на своите надлежности постапуваат во согласност со  ....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Уставот, законите и ратификуваните меѓународни договори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Уставот,  законите и правилата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Уставот и законите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Предлозите на законите кои како овластен предлагач ги предлага Владата на Република Македонија се подготвени од ........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Законодавно-правната комисија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органите на државната управа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Секретаријатот за законодавство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Со закон може на единиците на локалната самоуправа и Градот Скопје да им се довери извршување на определени работи од надлежноста на органите на државната управа  ....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не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да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Законите и прописите кои се однесуваат на органите на државната управа се </w:t>
        <w:tab/>
        <w:t xml:space="preserve">применуваат и</w:t>
        <w:tab/>
        <w:t xml:space="preserve">од страна на физичките и правните лица кои со закон се овластени да извршуваат работи од надлежност на државната управа .....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не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да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Законот за организација и работа на органите на државната управа, вклучително и законите со кои се вршат неговите изменувања и дополнувања се донесуваат со ....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просто мнозинство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двотретинско мнозинство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квалификувано мнозинство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Бирото за стопански недоволно развиените подрачја работи во состав на   ....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Министерството за економија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Министерството за локална самоуправа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Министерството за локална самоуправа и Министерството за економија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Управата за афирмирање и унапредување на културата на припадниците на заедниците во Република Македонија работи во состав на ......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Владата на Република Македонија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Министерството за култура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Министерството за локална самоуправа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Надзорот  над работата на министерствата го врши ....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Владата на Република Македонија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Инспекцискиот Совет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Законодавно- правната комисија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Надзорот над работата над органите во состав на министерствата го вршат ....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а) Управниот Совет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министерствата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Инспекцискиот Совет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Со работата на министерството раководи .....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министерот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б) секретарот</w:t>
      </w:r>
    </w:p>
    <w:p w:rsidR="00000000" w:rsidDel="00000000" w:rsidP="00000000" w:rsidRDefault="00000000" w:rsidRPr="00000000" w14:paraId="000000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в) секретаријатот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Заменикот на министерот на соодветното министерство го именува и разрешува..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Собранието на Република Македонија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б) министерот</w:t>
      </w:r>
    </w:p>
    <w:p w:rsidR="00000000" w:rsidDel="00000000" w:rsidP="00000000" w:rsidRDefault="00000000" w:rsidRPr="00000000" w14:paraId="000000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в) Владата на Република Македонија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Предлог от за именување и разрешување на заменик на министерот на соодветното министерство до Собранието на Република Македонија го доставува ..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а) министерот на соодветното министерство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претседателот на Владата на Република Македонија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в) Владата на Република Македонија</w:t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Со самостојниот орган на државната управа, односно со управната организација раководи .....</w:t>
      </w:r>
    </w:p>
    <w:p w:rsidR="00000000" w:rsidDel="00000000" w:rsidP="00000000" w:rsidRDefault="00000000" w:rsidRPr="00000000" w14:paraId="000000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а) секретарот</w:t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директорот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в) управникот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Ако меѓу министерствата настане спор во врска со надлежноста или се појават други спорни прашања во вршењето на работите од нивна надлежност, овие министерства се должни да формираат  ..............</w:t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а) меѓуресорска група за решавање на спорните прашања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б) одбор за медитација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в) арбитражен суд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Правилниците од надлежност на одредено министерство ги донесува ... 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а) Владата на Република Македонија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б) министерот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в) Министерството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