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A2D47C0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A65850">
        <w:rPr>
          <w:rFonts w:ascii="Arial Nova" w:hAnsi="Arial Nova"/>
        </w:rPr>
        <w:t>bpp_Res2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2A944CCC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A65850">
        <w:t xml:space="preserve"> </w:t>
      </w:r>
      <w:r w:rsidR="00320D1B">
        <w:t>(</w:t>
      </w:r>
      <w:r w:rsidR="00A65850">
        <w:t xml:space="preserve">beta </w:t>
      </w:r>
      <w:r w:rsidR="00320D1B">
        <w:t>5)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591B8B22" w:rsidR="00B30660" w:rsidRPr="00CE6D1F" w:rsidRDefault="00320D1B" w:rsidP="00C745B3">
            <w:pPr>
              <w:rPr>
                <w:lang w:val="en-US"/>
              </w:rPr>
            </w:pPr>
            <w:r>
              <w:rPr>
                <w:lang w:val="en-US"/>
              </w:rPr>
              <w:t>1.0 beta 4</w:t>
            </w:r>
          </w:p>
        </w:tc>
        <w:tc>
          <w:tcPr>
            <w:tcW w:w="1249" w:type="dxa"/>
          </w:tcPr>
          <w:p w14:paraId="77FE4218" w14:textId="0EB48BFF" w:rsidR="00B30660" w:rsidRPr="00CE6D1F" w:rsidRDefault="00595CF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18/12/23</w:t>
            </w:r>
          </w:p>
        </w:tc>
        <w:tc>
          <w:tcPr>
            <w:tcW w:w="4318" w:type="dxa"/>
          </w:tcPr>
          <w:p w14:paraId="6D376CD2" w14:textId="77777777" w:rsidR="00B30660" w:rsidRDefault="00AD4DA2" w:rsidP="00AD4DA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4DA2">
              <w:rPr>
                <w:lang w:val="en-US"/>
              </w:rPr>
              <w:t>use variable folder_name as path to scan</w:t>
            </w:r>
          </w:p>
          <w:p w14:paraId="703A86C8" w14:textId="7684B4B3" w:rsidR="00AD4DA2" w:rsidRPr="00AD4DA2" w:rsidRDefault="00AD4DA2" w:rsidP="00AD4DA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4DA2">
              <w:rPr>
                <w:lang w:val="en-US"/>
              </w:rPr>
              <w:t>Script was not setting typetxt for the case when tmax==ti</w:t>
            </w:r>
          </w:p>
        </w:tc>
        <w:tc>
          <w:tcPr>
            <w:tcW w:w="1599" w:type="dxa"/>
          </w:tcPr>
          <w:p w14:paraId="2EBC619E" w14:textId="77777777" w:rsidR="00AD4DA2" w:rsidRDefault="00AD4DA2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  <w:p w14:paraId="10518E6F" w14:textId="588D8574" w:rsidR="00217A9A" w:rsidRPr="00CE6D1F" w:rsidRDefault="00217A9A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(suggested by RS)</w:t>
            </w:r>
          </w:p>
        </w:tc>
      </w:tr>
      <w:tr w:rsidR="00320D1B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195318D8" w:rsidR="00320D1B" w:rsidRPr="00CE6D1F" w:rsidRDefault="00320D1B" w:rsidP="00320D1B">
            <w:pPr>
              <w:rPr>
                <w:lang w:val="en-US"/>
              </w:rPr>
            </w:pPr>
            <w:r>
              <w:rPr>
                <w:lang w:val="en-US"/>
              </w:rPr>
              <w:t>1.0 beta 5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23ECDCFA" w:rsidR="00320D1B" w:rsidRPr="00CE6D1F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11/04/24</w:t>
            </w:r>
          </w:p>
        </w:tc>
        <w:tc>
          <w:tcPr>
            <w:tcW w:w="4318" w:type="dxa"/>
            <w:shd w:val="clear" w:color="auto" w:fill="FFFFFF" w:themeFill="background1"/>
          </w:tcPr>
          <w:p w14:paraId="1D9692F4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Extend scope of calculated variables so they match key Sphygmocor variables.</w:t>
            </w:r>
          </w:p>
          <w:p w14:paraId="349055D6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Improve detection of end of systole</w:t>
            </w:r>
          </w:p>
          <w:p w14:paraId="2039B941" w14:textId="15BFF130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Fix bug in Wf1 and Wf2 peak identification</w:t>
            </w:r>
          </w:p>
          <w:p w14:paraId="6184A32A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better identification of problems with fits</w:t>
            </w:r>
          </w:p>
          <w:p w14:paraId="38747712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error salvage</w:t>
            </w:r>
          </w:p>
          <w:p w14:paraId="6708CE32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Fix bugs in figures and cut number of figures to one per dataset</w:t>
            </w:r>
          </w:p>
          <w:p w14:paraId="57DB3A24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improve setting default folder (rather than hard coding it) but keep it easy.</w:t>
            </w:r>
          </w:p>
          <w:p w14:paraId="491A1A38" w14:textId="60E80D26" w:rsidR="00320D1B" w:rsidRPr="00AD4DA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lastRenderedPageBreak/>
              <w:t>Minor bug fixes and tidy code</w:t>
            </w:r>
            <w:r w:rsidR="00090FE2">
              <w:rPr>
                <w:lang w:val="en-US"/>
              </w:rPr>
              <w:t xml:space="preserve"> indents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2B41D61D" w:rsidR="00320D1B" w:rsidRPr="00CE6D1F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ADH</w:t>
            </w:r>
          </w:p>
        </w:tc>
      </w:tr>
      <w:tr w:rsidR="00320D1B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57EE70" w14:textId="77777777" w:rsidR="00217A9A" w:rsidRDefault="00217A9A"/>
    <w:p w14:paraId="469CE859" w14:textId="012CCC82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7471BC84" w14:textId="34DD7E47" w:rsidR="00691735" w:rsidRPr="00CE6D1F" w:rsidRDefault="00A65850" w:rsidP="00691735">
      <w:r>
        <w:t>bpp_Res2.m is</w:t>
      </w:r>
      <w:r w:rsidR="008C68DE" w:rsidRPr="00CE6D1F">
        <w:t xml:space="preserve"> a matlab script that calculates reservoir and excess pressure </w:t>
      </w:r>
      <w:r>
        <w:t xml:space="preserve">for BP+ files. The method is </w:t>
      </w:r>
      <w:r w:rsidR="00C745B3">
        <w:t xml:space="preserve">essentially </w:t>
      </w:r>
      <w:r w:rsidR="008C68DE" w:rsidRPr="00CE6D1F">
        <w:t xml:space="preserve">according to </w:t>
      </w:r>
      <w:r>
        <w:t xml:space="preserve">that </w:t>
      </w:r>
      <w:r w:rsidR="008C68DE" w:rsidRPr="00CE6D1F">
        <w:t>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Sphygmocor©</w:t>
      </w:r>
      <w:r w:rsidR="00C745B3">
        <w:noBreakHyphen/>
      </w:r>
      <w:r w:rsidR="00B357AE">
        <w:t>derived files</w:t>
      </w:r>
      <w:r>
        <w:t>, and similar to that used in the Sphygmocor-reservoir matlab scripts (</w:t>
      </w:r>
      <w:hyperlink r:id="rId11" w:history="1">
        <w:r w:rsidRPr="00D73F80">
          <w:rPr>
            <w:rStyle w:val="Hyperlink"/>
          </w:rPr>
          <w:t>https://github.com/adh30/Sphygmocor-Reservoir</w:t>
        </w:r>
      </w:hyperlink>
      <w:r>
        <w:t>)</w:t>
      </w:r>
      <w:r w:rsidR="00B357AE">
        <w:t>.</w:t>
      </w:r>
      <w:r w:rsidR="00691735">
        <w:t xml:space="preserve">  </w:t>
      </w:r>
      <w:r>
        <w:t>Note that a</w:t>
      </w:r>
      <w:r w:rsidR="00691735">
        <w:t>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C745B3">
        <w:t xml:space="preserve"> from those described in the paper by Davies et al</w:t>
      </w:r>
      <w:r w:rsidR="00691735">
        <w:t>.</w:t>
      </w:r>
      <w:r w:rsidR="00C745B3">
        <w:t xml:space="preserve"> </w:t>
      </w:r>
    </w:p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 w:rsidRPr="00C745B3">
        <w:rPr>
          <w:color w:val="0070C0"/>
        </w:rPr>
        <w:t>BPPdata</w:t>
      </w:r>
    </w:p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271E202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A65850">
        <w:rPr>
          <w:color w:val="0070C0"/>
        </w:rPr>
        <w:t>bpp</w:t>
      </w:r>
      <w:r w:rsidR="003B01F4">
        <w:rPr>
          <w:color w:val="0070C0"/>
        </w:rPr>
        <w:t>_</w:t>
      </w:r>
      <w:r w:rsidR="00A65850">
        <w:rPr>
          <w:color w:val="0070C0"/>
        </w:rPr>
        <w:t>Res2</w:t>
      </w:r>
      <w:r w:rsidR="00C745B3" w:rsidRPr="00C745B3">
        <w:rPr>
          <w:color w:val="0070C0"/>
        </w:rPr>
        <w:t xml:space="preserve"> 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06ACB902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r w:rsidR="00A65850">
        <w:t>jpg</w:t>
      </w:r>
      <w:r w:rsidR="00147C43">
        <w:t xml:space="preserve"> files.</w:t>
      </w:r>
      <w:r w:rsidR="00A65850">
        <w:t xml:space="preserve"> 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</w:t>
      </w:r>
      <w:r w:rsidR="00A65850">
        <w:t xml:space="preserve">for examination of </w:t>
      </w:r>
      <w:r w:rsidR="00336CEE" w:rsidRPr="00CE6D1F">
        <w:t xml:space="preserve">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6"/>
      </w:tblGrid>
      <w:tr w:rsidR="002708A8" w14:paraId="52AD4C99" w14:textId="77777777" w:rsidTr="002708A8">
        <w:tc>
          <w:tcPr>
            <w:tcW w:w="4111" w:type="dxa"/>
            <w:tcBorders>
              <w:bottom w:val="single" w:sz="4" w:space="0" w:color="auto"/>
            </w:tcBorders>
          </w:tcPr>
          <w:p w14:paraId="785FEEAA" w14:textId="77777777" w:rsidR="002708A8" w:rsidRDefault="002708A8" w:rsidP="002708A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353F356" wp14:editId="2EFADE03">
                  <wp:extent cx="4760616" cy="3572049"/>
                  <wp:effectExtent l="0" t="0" r="190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624" cy="359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1482B" w14:textId="6131FA4E" w:rsidR="002708A8" w:rsidRDefault="002708A8" w:rsidP="00336CEE">
            <w:pPr>
              <w:jc w:val="center"/>
            </w:pPr>
          </w:p>
        </w:tc>
      </w:tr>
      <w:tr w:rsidR="002708A8" w14:paraId="7F535DD5" w14:textId="77777777" w:rsidTr="002708A8">
        <w:tc>
          <w:tcPr>
            <w:tcW w:w="4111" w:type="dxa"/>
            <w:tcBorders>
              <w:top w:val="single" w:sz="4" w:space="0" w:color="auto"/>
            </w:tcBorders>
          </w:tcPr>
          <w:p w14:paraId="77022117" w14:textId="555C659D" w:rsidR="002708A8" w:rsidRDefault="002708A8" w:rsidP="00336CEE">
            <w:pPr>
              <w:jc w:val="center"/>
              <w:rPr>
                <w:noProof/>
                <w:lang w:eastAsia="en-GB"/>
              </w:rPr>
            </w:pPr>
          </w:p>
        </w:tc>
      </w:tr>
    </w:tbl>
    <w:p w14:paraId="7BA2459A" w14:textId="30699B31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 w:rsidR="00A65850">
        <w:rPr>
          <w:i/>
          <w:color w:val="0070C0"/>
        </w:rPr>
        <w:t xml:space="preserve">bpp_Res2.m 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lastRenderedPageBreak/>
        <w:t>Subendocardial viability ratio (SEVR)</w:t>
      </w:r>
      <w:bookmarkEnd w:id="2"/>
    </w:p>
    <w:p w14:paraId="3D8511B3" w14:textId="260DFA18" w:rsidR="00581C86" w:rsidRDefault="00581C86" w:rsidP="00581C86">
      <w:pPr>
        <w:jc w:val="center"/>
      </w:pPr>
      <w:r>
        <w:rPr>
          <w:noProof/>
        </w:rPr>
        <w:drawing>
          <wp:inline distT="0" distB="0" distL="0" distR="0" wp14:anchorId="542C4075" wp14:editId="61EEED2E">
            <wp:extent cx="4762500" cy="2447925"/>
            <wp:effectExtent l="0" t="0" r="0" b="9525"/>
            <wp:docPr id="190516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5BF0BCBA" w:rsidR="00645922" w:rsidRDefault="00645922" w:rsidP="00B71DE2">
      <w:r>
        <w:t>SEVR (aka Buckberg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r w:rsidR="00040781" w:rsidRPr="00040781">
        <w:rPr>
          <w:rFonts w:ascii="Times New Roman" w:hAnsi="Times New Roman" w:cs="Times New Roman"/>
        </w:rPr>
        <w:t>dp/dt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>is known then wave intensity can be estimated on the basis 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r w:rsidR="003D3255" w:rsidRPr="003D3255">
        <w:rPr>
          <w:rFonts w:cs="Times New Roman"/>
        </w:rPr>
        <w:t xml:space="preserve">medRxiv 2020.01.22.20018457; doi: </w:t>
      </w:r>
      <w:hyperlink r:id="rId15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1C55AF7C" w14:textId="4610EDB1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 xml:space="preserve">which uses a 3-element Windkessel assumption to reconstruct </w:t>
      </w:r>
      <w:r w:rsidR="00624DA4">
        <w:lastRenderedPageBreak/>
        <w:t>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>Known problems</w:t>
      </w:r>
      <w:bookmarkEnd w:id="5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Spygmocor version of this script so differs in some aspect from the anticipated message for BP+ version. </w:t>
      </w:r>
    </w:p>
    <w:p w14:paraId="4709C85A" w14:textId="77777777" w:rsidR="00B31453" w:rsidRDefault="00B3145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6" w:name="_Toc34491236"/>
      <w:r>
        <w:br w:type="page"/>
      </w:r>
    </w:p>
    <w:p w14:paraId="1BF1669D" w14:textId="563B9681" w:rsidR="00B71DE2" w:rsidRDefault="00B71DE2" w:rsidP="00B52FE2">
      <w:pPr>
        <w:pStyle w:val="Heading1"/>
        <w:rPr>
          <w:rFonts w:ascii="Arial Nova" w:hAnsi="Arial Nova"/>
        </w:rPr>
      </w:pPr>
      <w:r w:rsidRPr="00CE6D1F">
        <w:rPr>
          <w:rFonts w:ascii="Arial Nova" w:hAnsi="Arial Nova"/>
        </w:rPr>
        <w:lastRenderedPageBreak/>
        <w:t>Data dictionary</w:t>
      </w:r>
      <w:bookmarkEnd w:id="6"/>
    </w:p>
    <w:p w14:paraId="2D06EA61" w14:textId="45558D36" w:rsidR="00A65850" w:rsidRPr="00A65850" w:rsidRDefault="00A65850" w:rsidP="00A65850">
      <w:r>
        <w:t>Unless stated otherwise all results refer to aortic pressure</w:t>
      </w:r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76"/>
        <w:gridCol w:w="3698"/>
        <w:gridCol w:w="2532"/>
        <w:gridCol w:w="1554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A65850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182442A9" w:rsidR="00A65850" w:rsidRPr="00CE6D1F" w:rsidRDefault="00A65850" w:rsidP="00A65850">
            <w:pPr>
              <w:rPr>
                <w:sz w:val="22"/>
              </w:rPr>
            </w:pPr>
            <w:r w:rsidRPr="009A2D2A">
              <w:t>re_file</w:t>
            </w:r>
          </w:p>
        </w:tc>
        <w:tc>
          <w:tcPr>
            <w:tcW w:w="3737" w:type="dxa"/>
          </w:tcPr>
          <w:p w14:paraId="553D8D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198DC31C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12EC6A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A65850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1658E290" w:rsidR="00A65850" w:rsidRPr="00CE6D1F" w:rsidRDefault="00A65850" w:rsidP="00A65850">
            <w:pPr>
              <w:rPr>
                <w:sz w:val="22"/>
              </w:rPr>
            </w:pPr>
            <w:r w:rsidRPr="009A2D2A">
              <w:t>re_basbp</w:t>
            </w:r>
          </w:p>
        </w:tc>
        <w:tc>
          <w:tcPr>
            <w:tcW w:w="3737" w:type="dxa"/>
          </w:tcPr>
          <w:p w14:paraId="6437AEA7" w14:textId="54EF7E4A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pressure (systolic pressure)</w:t>
            </w:r>
          </w:p>
        </w:tc>
        <w:tc>
          <w:tcPr>
            <w:tcW w:w="2551" w:type="dxa"/>
          </w:tcPr>
          <w:p w14:paraId="47341F9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120</w:t>
            </w:r>
          </w:p>
        </w:tc>
        <w:tc>
          <w:tcPr>
            <w:tcW w:w="1560" w:type="dxa"/>
          </w:tcPr>
          <w:p w14:paraId="35AC1B40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5775C0EA" w:rsidR="00A65850" w:rsidRPr="00CE6D1F" w:rsidRDefault="00A65850" w:rsidP="00A65850">
            <w:pPr>
              <w:rPr>
                <w:sz w:val="22"/>
              </w:rPr>
            </w:pPr>
            <w:r w:rsidRPr="009A2D2A">
              <w:t>re_tbasbp</w:t>
            </w:r>
          </w:p>
        </w:tc>
        <w:tc>
          <w:tcPr>
            <w:tcW w:w="3737" w:type="dxa"/>
          </w:tcPr>
          <w:p w14:paraId="1A2EC87B" w14:textId="538997F6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(systolic) pressure</w:t>
            </w:r>
          </w:p>
        </w:tc>
        <w:tc>
          <w:tcPr>
            <w:tcW w:w="2551" w:type="dxa"/>
          </w:tcPr>
          <w:p w14:paraId="0FCDE3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30F124B" w:rsidR="00A65850" w:rsidRPr="00CE6D1F" w:rsidRDefault="00A65850" w:rsidP="00A65850">
            <w:pPr>
              <w:rPr>
                <w:sz w:val="22"/>
              </w:rPr>
            </w:pPr>
            <w:r w:rsidRPr="009A2D2A">
              <w:t>re_minp</w:t>
            </w:r>
          </w:p>
        </w:tc>
        <w:tc>
          <w:tcPr>
            <w:tcW w:w="3737" w:type="dxa"/>
          </w:tcPr>
          <w:p w14:paraId="1DE427AE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02223A5" w:rsidR="00A65850" w:rsidRPr="00CE6D1F" w:rsidRDefault="00A65850" w:rsidP="00A65850">
            <w:pPr>
              <w:rPr>
                <w:sz w:val="22"/>
              </w:rPr>
            </w:pPr>
            <w:r w:rsidRPr="009A2D2A">
              <w:t>re_intaopr</w:t>
            </w:r>
          </w:p>
        </w:tc>
        <w:tc>
          <w:tcPr>
            <w:tcW w:w="3737" w:type="dxa"/>
          </w:tcPr>
          <w:p w14:paraId="06329089" w14:textId="025D8BBF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Integral of </w:t>
            </w:r>
            <w:r>
              <w:rPr>
                <w:sz w:val="22"/>
              </w:rPr>
              <w:t xml:space="preserve">aortic </w:t>
            </w:r>
            <w:r w:rsidRPr="00CE6D1F">
              <w:rPr>
                <w:sz w:val="22"/>
              </w:rPr>
              <w:t>reservoir pressure</w:t>
            </w:r>
          </w:p>
        </w:tc>
        <w:tc>
          <w:tcPr>
            <w:tcW w:w="2551" w:type="dxa"/>
          </w:tcPr>
          <w:p w14:paraId="5CDF8EB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69A0714C" w:rsidR="00A65850" w:rsidRPr="00CE6D1F" w:rsidRDefault="00A65850" w:rsidP="00A65850">
            <w:pPr>
              <w:rPr>
                <w:sz w:val="22"/>
              </w:rPr>
            </w:pPr>
            <w:r w:rsidRPr="009A2D2A">
              <w:t>re_maxaopr</w:t>
            </w:r>
          </w:p>
        </w:tc>
        <w:tc>
          <w:tcPr>
            <w:tcW w:w="3737" w:type="dxa"/>
          </w:tcPr>
          <w:p w14:paraId="0422091C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40766BE3" w:rsidR="00A65850" w:rsidRPr="00CE6D1F" w:rsidRDefault="00A65850" w:rsidP="00A65850">
            <w:pPr>
              <w:rPr>
                <w:sz w:val="22"/>
              </w:rPr>
            </w:pPr>
            <w:r w:rsidRPr="009A2D2A">
              <w:t>re_tmaxaopr</w:t>
            </w:r>
          </w:p>
        </w:tc>
        <w:tc>
          <w:tcPr>
            <w:tcW w:w="3737" w:type="dxa"/>
          </w:tcPr>
          <w:p w14:paraId="2566784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4BDEAF9B" w:rsidR="00A65850" w:rsidRPr="00CE6D1F" w:rsidRDefault="00A65850" w:rsidP="00A65850">
            <w:pPr>
              <w:rPr>
                <w:sz w:val="22"/>
              </w:rPr>
            </w:pPr>
            <w:r w:rsidRPr="009A2D2A">
              <w:t>re_intaoprlessdbp</w:t>
            </w:r>
          </w:p>
        </w:tc>
        <w:tc>
          <w:tcPr>
            <w:tcW w:w="3737" w:type="dxa"/>
          </w:tcPr>
          <w:p w14:paraId="6FCEC31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5E6C34BD" w:rsidR="00A65850" w:rsidRPr="00CE6D1F" w:rsidRDefault="00A65850" w:rsidP="00A65850">
            <w:pPr>
              <w:rPr>
                <w:sz w:val="22"/>
              </w:rPr>
            </w:pPr>
            <w:r w:rsidRPr="009A2D2A">
              <w:t>date</w:t>
            </w:r>
          </w:p>
        </w:tc>
        <w:tc>
          <w:tcPr>
            <w:tcW w:w="3737" w:type="dxa"/>
          </w:tcPr>
          <w:p w14:paraId="53AE478C" w14:textId="7DDFFF31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  <w:r w:rsidR="00D54FF5">
              <w:rPr>
                <w:sz w:val="22"/>
              </w:rPr>
              <w:t xml:space="preserve"> string</w:t>
            </w:r>
          </w:p>
        </w:tc>
        <w:tc>
          <w:tcPr>
            <w:tcW w:w="2551" w:type="dxa"/>
          </w:tcPr>
          <w:p w14:paraId="5FFB9668" w14:textId="7A3FD51F" w:rsidR="00A65850" w:rsidRPr="00CE6D1F" w:rsidRDefault="0097611B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7611B">
              <w:rPr>
                <w:sz w:val="22"/>
              </w:rPr>
              <w:t>2021-05-06T12:32:27</w:t>
            </w:r>
          </w:p>
        </w:tc>
        <w:tc>
          <w:tcPr>
            <w:tcW w:w="1560" w:type="dxa"/>
          </w:tcPr>
          <w:p w14:paraId="51C5F7BC" w14:textId="18E77C08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5850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6A7987B1" w:rsidR="00A65850" w:rsidRPr="00CE6D1F" w:rsidRDefault="00A65850" w:rsidP="00A65850">
            <w:pPr>
              <w:rPr>
                <w:sz w:val="22"/>
              </w:rPr>
            </w:pPr>
            <w:r w:rsidRPr="009A2D2A">
              <w:t>re_sam_rate</w:t>
            </w:r>
          </w:p>
        </w:tc>
        <w:tc>
          <w:tcPr>
            <w:tcW w:w="3737" w:type="dxa"/>
          </w:tcPr>
          <w:p w14:paraId="1BFA631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A65850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5DD27D6F" w:rsidR="00A65850" w:rsidRPr="00CE6D1F" w:rsidRDefault="00A65850" w:rsidP="00A65850">
            <w:pPr>
              <w:rPr>
                <w:sz w:val="22"/>
              </w:rPr>
            </w:pPr>
            <w:r w:rsidRPr="009A2D2A">
              <w:t>re_intaoxsp</w:t>
            </w:r>
          </w:p>
        </w:tc>
        <w:tc>
          <w:tcPr>
            <w:tcW w:w="3737" w:type="dxa"/>
          </w:tcPr>
          <w:p w14:paraId="0090D5E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A65850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2D4D596D" w:rsidR="00A65850" w:rsidRPr="00CE6D1F" w:rsidRDefault="00A65850" w:rsidP="00A65850">
            <w:pPr>
              <w:rPr>
                <w:sz w:val="22"/>
              </w:rPr>
            </w:pPr>
            <w:r w:rsidRPr="009A2D2A">
              <w:t>re_maxaoxsp</w:t>
            </w:r>
          </w:p>
        </w:tc>
        <w:tc>
          <w:tcPr>
            <w:tcW w:w="3737" w:type="dxa"/>
          </w:tcPr>
          <w:p w14:paraId="4FACEEC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5989B7BE" w:rsidR="00A65850" w:rsidRPr="00CE6D1F" w:rsidRDefault="00A65850" w:rsidP="00A65850">
            <w:pPr>
              <w:rPr>
                <w:sz w:val="22"/>
              </w:rPr>
            </w:pPr>
            <w:r w:rsidRPr="009A2D2A">
              <w:t>re_tmaxaoxsp</w:t>
            </w:r>
          </w:p>
        </w:tc>
        <w:tc>
          <w:tcPr>
            <w:tcW w:w="3737" w:type="dxa"/>
          </w:tcPr>
          <w:p w14:paraId="6DB31C4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25E3C0C3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-dp/dt (nominal </w:t>
            </w:r>
            <w:r w:rsidR="00A65850">
              <w:rPr>
                <w:sz w:val="22"/>
              </w:rPr>
              <w:t>start of diastole</w:t>
            </w:r>
            <w:r w:rsidRPr="00CE6D1F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A08114A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A65850">
              <w:rPr>
                <w:sz w:val="22"/>
              </w:rPr>
              <w:t xml:space="preserve"> with data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2D66AF2A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  <w:r w:rsidR="00A65850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3171FD7D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r>
              <w:rPr>
                <w:sz w:val="22"/>
              </w:rPr>
              <w:t>re_aosevr</w:t>
            </w:r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re_basevr</w:t>
            </w:r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r>
              <w:rPr>
                <w:sz w:val="22"/>
              </w:rPr>
              <w:t>re_quality</w:t>
            </w:r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34491237"/>
      <w:r w:rsidRPr="00CE6D1F">
        <w:rPr>
          <w:rFonts w:ascii="Arial Nova" w:hAnsi="Arial Nova"/>
        </w:rPr>
        <w:t>References</w:t>
      </w:r>
      <w:bookmarkEnd w:id="7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49997686" w:rsidR="000B22E6" w:rsidRPr="00CE6D1F" w:rsidRDefault="008C68DE" w:rsidP="000B22E6">
      <w:r w:rsidRPr="00CE6D1F">
        <w:fldChar w:fldCharType="end"/>
      </w:r>
    </w:p>
    <w:sectPr w:rsidR="000B22E6" w:rsidRPr="00CE6D1F" w:rsidSect="00172F63">
      <w:footerReference w:type="default" r:id="rId16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EB7A" w14:textId="77777777" w:rsidR="00172F63" w:rsidRDefault="00172F63" w:rsidP="00925BCA">
      <w:pPr>
        <w:spacing w:after="0" w:line="240" w:lineRule="auto"/>
      </w:pPr>
      <w:r>
        <w:separator/>
      </w:r>
    </w:p>
  </w:endnote>
  <w:endnote w:type="continuationSeparator" w:id="0">
    <w:p w14:paraId="7066D797" w14:textId="77777777" w:rsidR="00172F63" w:rsidRDefault="00172F63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4384" w14:textId="77777777" w:rsidR="00172F63" w:rsidRDefault="00172F63" w:rsidP="00925BCA">
      <w:pPr>
        <w:spacing w:after="0" w:line="240" w:lineRule="auto"/>
      </w:pPr>
      <w:r>
        <w:separator/>
      </w:r>
    </w:p>
  </w:footnote>
  <w:footnote w:type="continuationSeparator" w:id="0">
    <w:p w14:paraId="66E5AC70" w14:textId="77777777" w:rsidR="00172F63" w:rsidRDefault="00172F63" w:rsidP="00925BCA">
      <w:pPr>
        <w:spacing w:after="0" w:line="240" w:lineRule="auto"/>
      </w:pPr>
      <w:r>
        <w:continuationSeparator/>
      </w:r>
    </w:p>
  </w:footnote>
  <w:footnote w:id="1">
    <w:p w14:paraId="2994EC0E" w14:textId="46055552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</w:t>
      </w:r>
      <w:r w:rsidR="00A65850">
        <w:t xml:space="preserve"> or</w:t>
      </w:r>
      <w:r w:rsidR="00951DB5">
        <w:t xml:space="preserve"> files in another directory can be chosen </w:t>
      </w:r>
      <w:r w:rsidR="00A65850">
        <w:t>using a dialog box</w:t>
      </w:r>
      <w:r w:rsidR="00951DB5">
        <w:t xml:space="preserve"> if C:\BPPdata doesn’t exist</w:t>
      </w:r>
      <w:r>
        <w:t>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2D3"/>
    <w:multiLevelType w:val="hybridMultilevel"/>
    <w:tmpl w:val="D7903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17E3"/>
    <w:multiLevelType w:val="hybridMultilevel"/>
    <w:tmpl w:val="21B22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07163">
    <w:abstractNumId w:val="1"/>
  </w:num>
  <w:num w:numId="2" w16cid:durableId="1256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015"/>
    <w:rsid w:val="000048BD"/>
    <w:rsid w:val="0002481F"/>
    <w:rsid w:val="00025F83"/>
    <w:rsid w:val="00040781"/>
    <w:rsid w:val="00044CFB"/>
    <w:rsid w:val="0007073C"/>
    <w:rsid w:val="00071AAA"/>
    <w:rsid w:val="00090FE2"/>
    <w:rsid w:val="000B137C"/>
    <w:rsid w:val="000B22E6"/>
    <w:rsid w:val="000B2D56"/>
    <w:rsid w:val="000B719F"/>
    <w:rsid w:val="000D563A"/>
    <w:rsid w:val="000D7077"/>
    <w:rsid w:val="00147C43"/>
    <w:rsid w:val="00172F63"/>
    <w:rsid w:val="00181000"/>
    <w:rsid w:val="001A1AC0"/>
    <w:rsid w:val="001E64A9"/>
    <w:rsid w:val="00214333"/>
    <w:rsid w:val="00217A9A"/>
    <w:rsid w:val="0022450D"/>
    <w:rsid w:val="002708A8"/>
    <w:rsid w:val="002710B3"/>
    <w:rsid w:val="00287144"/>
    <w:rsid w:val="003146AA"/>
    <w:rsid w:val="00320D1B"/>
    <w:rsid w:val="0032769C"/>
    <w:rsid w:val="00336CEE"/>
    <w:rsid w:val="00390E2D"/>
    <w:rsid w:val="003B01F4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57A64"/>
    <w:rsid w:val="00581C86"/>
    <w:rsid w:val="00595CFF"/>
    <w:rsid w:val="00596BE4"/>
    <w:rsid w:val="005E038D"/>
    <w:rsid w:val="005F5076"/>
    <w:rsid w:val="00601C45"/>
    <w:rsid w:val="00624DA4"/>
    <w:rsid w:val="00637717"/>
    <w:rsid w:val="00645922"/>
    <w:rsid w:val="00691735"/>
    <w:rsid w:val="006E1BC5"/>
    <w:rsid w:val="0070108F"/>
    <w:rsid w:val="007434CC"/>
    <w:rsid w:val="00782C79"/>
    <w:rsid w:val="007E0098"/>
    <w:rsid w:val="007F4994"/>
    <w:rsid w:val="00840772"/>
    <w:rsid w:val="00847E9E"/>
    <w:rsid w:val="008C68DE"/>
    <w:rsid w:val="009036F2"/>
    <w:rsid w:val="00925BCA"/>
    <w:rsid w:val="00951DB5"/>
    <w:rsid w:val="00954DF3"/>
    <w:rsid w:val="00957934"/>
    <w:rsid w:val="0097611B"/>
    <w:rsid w:val="009D2E83"/>
    <w:rsid w:val="00A1198C"/>
    <w:rsid w:val="00A65850"/>
    <w:rsid w:val="00AD4DA2"/>
    <w:rsid w:val="00B30660"/>
    <w:rsid w:val="00B31453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D5CF3"/>
    <w:rsid w:val="00CE6D1F"/>
    <w:rsid w:val="00CF23CD"/>
    <w:rsid w:val="00D54FF5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EF45EF"/>
    <w:rsid w:val="00F74C57"/>
    <w:rsid w:val="00F9267C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5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h30/Sphygmocor-Reservoi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101/2020.01.22.20018457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8" ma:contentTypeDescription="Create a new document." ma:contentTypeScope="" ma:versionID="ac425b2512dd8db1f637d60ecd2da785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70822d72d40d527218447528b4ff39ea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1b40bb-8b49-480e-88ea-d51ea44f214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7134-5FE2-4923-886F-F003D28F4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A95DA-B8A3-4E02-9854-DF17D1A90B6A}">
  <ds:schemaRefs>
    <ds:schemaRef ds:uri="http://schemas.microsoft.com/office/2006/metadata/properties"/>
    <ds:schemaRef ds:uri="http://schemas.microsoft.com/office/infopath/2007/PartnerControls"/>
    <ds:schemaRef ds:uri="cb1b40bb-8b49-480e-88ea-d51ea44f2142"/>
  </ds:schemaRefs>
</ds:datastoreItem>
</file>

<file path=customXml/itemProps4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9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17</cp:revision>
  <dcterms:created xsi:type="dcterms:W3CDTF">2024-04-11T19:12:00Z</dcterms:created>
  <dcterms:modified xsi:type="dcterms:W3CDTF">2024-04-12T15:55:00Z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