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艾气论</w:t>
      </w:r>
    </w:p>
    <w:p>
      <w:pPr>
        <w:jc w:val="center"/>
      </w:pPr>
      <w:r>
        <w:t>生成时间: 2026-01-19 00:24:35</w:t>
      </w:r>
    </w:p>
    <w:p>
      <w:pPr>
        <w:jc w:val="center"/>
      </w:pPr>
      <w:r>
        <w:t>――――――――――――――――――――――――――――――――――――――――――――――――――――――――――――</w:t>
      </w:r>
    </w:p>
    <w:p>
      <w:r>
        <w:t>艾气论</w:t>
      </w:r>
    </w:p>
    <w:p/>
    <w:p>
      <w:r>
        <w:t>善灸者，须明火之阴阳：</w:t>
      </w:r>
    </w:p>
    <w:p>
      <w:r>
        <w:t>阴者，气也，为微、为和、为柔；</w:t>
      </w:r>
    </w:p>
    <w:p>
      <w:r>
        <w:t>阳者，火也，为形、为热、为燥。</w:t>
      </w:r>
    </w:p>
    <w:p>
      <w:r>
        <w:t>灸火为阳，气为阳中之阴，火为阳中之阳。</w:t>
      </w:r>
    </w:p>
    <w:p>
      <w:r>
        <w:t>气扶阳，为补；火耗气，为泄。</w:t>
      </w:r>
    </w:p>
    <w:p>
      <w:r>
        <w:t>气为灸，扶阳通经，起沉疴，治百病；</w:t>
      </w:r>
    </w:p>
    <w:p>
      <w:r>
        <w:t>火为炙，温热熏灼，可驱寒湿，过之则伤人阴液。</w:t>
      </w:r>
    </w:p>
    <w:p>
      <w:r>
        <w:t>能察艾气之存，始入艾灸之门。</w:t>
      </w:r>
    </w:p>
    <w:p/>
    <w:p>
      <w:r>
        <w:t>纵观艾灸发展历程，相关典籍虽多，但多为经验总结与临床记录，内容集中于艾叶特性、灸法功效、选穴、艾柱大小、点火顺序、壮数、补泻、禁忌、灸创处理、注意事项、灸后调摄及医案灸方等。对于艾灸的机理机制，则鲜有论述。早期艾灸仅用于疾病治疗，且因疼痛留疤而被视为不宜用于无病之人。至唐代，孙思邈提出艾灸不仅能治病，还可预防障疠温疟与某些小儿疾病。宋代窦材进一步认为，艾灸可治重病大病，平时常灸中脘、命关、气海、关元等穴，即便不能长生，亦可延年益寿。他首次明确艾灸为“扶阳保命之要法”，点出其扶补阳气之核心功效，但未作深入阐释。</w:t>
      </w:r>
    </w:p>
    <w:p/>
    <w:p>
      <w:r>
        <w:t>正因古法艾灸缺乏机理阐释，后人仅能按图索骥，难以灵活变通。历来多认为艾灸起作用的是火与热，导致“热证能否施灸”之争持续两三千年，未有定论。笔者曾就此请教恩师，谢老解释“热证能灸是变法，禁灸是常法”，却未说明如何变通及其机制。周楣声先生对灸法理论阐释颇深，亦只言“艾灸是火，但火不等于艾灸”，未进一步解答。虽有“以热引热、以热发郁”之说，却难解释为何唯独艾灸之火可引可发，他火则不可。窦材虽提出艾灸可扶阳，但未说明艾火如何转化为人体阳气。近年亦有红外说、太赫兹说等观点，然犹如以营养学解释经方，终觉隔靴搔痒，未能解惑。笔者在艾灸教学与实践中，亦长期困惑于此，遂激发探究其奥妙之志。</w:t>
      </w:r>
    </w:p>
    <w:p/>
    <w:p>
      <w:r>
        <w:t>古人择艾草为灸材，历经长期对比筛选，并非凡火皆可灸人，说明火与火有别。二者光热虽同，所蕴性质却异。《小品方》记载：“八木之火不能灸人，害人肌肉、筋脉、骨髓。”艾草之火与八木之火皆具火形，然一可救人，一可伤人，根源在于艾性不同于八木之性。</w:t>
      </w:r>
    </w:p>
    <w:p/>
    <w:p>
      <w:r>
        <w:t>物理学常识指出，热传递由高温向低温进行。人体内温最高约37–38℃，而悬灸时皮肤温度仅33–34℃，体内仍可出现透热或传热等灸感。这表明引动灸感传导的因素可能并非单纯的热。此外，灸大椎穴时，常见局部与两臂热感不明显，而双手却觉热乎乎，形成“近端不热远端热”的现象。热如何隔空传递？热传导、对流、辐射三种方式均无法解释中间无温度梯度却可隔物传热的现象。</w:t>
      </w:r>
    </w:p>
    <w:p/>
    <w:p>
      <w:r>
        <w:t>笔者曾习气功，静心时可感知体内外之气。尝试静心体会艾灸过程，发现灸大椎时两臂有微弱气感产生，故推测艾灸传导可能以“气”为媒介。隔姜灸时亦观察到，艾柱点燃后皮肤未觉热，已有淡淡气息透入体内。直接灸时，除灼痛外，亦有气感随痛渗入，尤其在痛感消失瞬间，体内会出现持续数秒的特殊快感，似气被吸收并散入血脉。</w:t>
      </w:r>
    </w:p>
    <w:p/>
    <w:p>
      <w:r>
        <w:t>后续教学中，笔者将这些体会分享予学员，获得积极反馈。又组织四十余名学员进行实验：使用直径2–3厘米艾条，隔衣被距皮肤20–30厘米定灸中脘穴5–30分钟。5分钟后，几乎所有学员皆出现灸感，部分人感觉比近距离熏烤更明显强烈。红外热成像观测也显示，灸感传导部位的热量分布发生相应改变。</w:t>
      </w:r>
    </w:p>
    <w:p/>
    <w:p>
      <w:r>
        <w:t>综上，笔者认为艾灸除艾火之热外，必有灸材自身特性参与作用，可称之为“艾性”或“艾气”。经多年研究、体认、总结并与学员共同实验，思路渐趋清晰。许多昔日困惑因“艾气”概念的提出而迎刃而解。笔者由此尝试提出以艾气阐释艾灸机理的假说，认为艾灸作用机理有二：</w:t>
      </w:r>
    </w:p>
    <w:p/>
    <w:p>
      <w:pPr>
        <w:pStyle w:val="ListBullet"/>
      </w:pPr>
      <w:r>
        <w:t>一为热效应：艾火之热对人体产生温热刺激，有助于祛湿驱寒，但久炙可伤津液，导致上火症状，此可称为“阳火”。</w:t>
      </w:r>
    </w:p>
    <w:p>
      <w:pPr>
        <w:pStyle w:val="ListBullet"/>
      </w:pPr>
      <w:r>
        <w:t>二为艾气效应：艾草燃烧除生有形之火，亦释放艾性（艾气）。艾气透入人体后，一方面刺激经络系统，影响人体气化，发挥疏通之能；另一方面通过气化作用直接转化为人身之气，实现温补阳气。</w:t>
      </w:r>
    </w:p>
    <w:p/>
    <w:p>
      <w:r>
        <w:t>艾气虽由艾火所生，其性却与艾火迥异：火热而燥，气柔而和。犹如电线通电产生电磁场，电流与电磁场性质功能大相径庭。</w:t>
      </w:r>
    </w:p>
    <w:p/>
    <w:p>
      <w:r>
        <w:t>艾灸之要，在于运用精微之艾气。若只知利用艾火艾热，未能体察艾气存在，则仅为“艾炙”，而非完整意义上的“艾灸”。正如孙思邈所言：“至精至微之事，求之于至粗至浅之思，岂不殆哉。”</w:t>
      </w:r>
    </w:p>
    <w:p/>
    <w:p>
      <w:r>
        <w:t>艾气理论为本书核心精髓。以艾气为媒介，配合意气协同，通过人体气化将艾气转化为阳气，构成艾灸作用机理的逻辑闭环。艾灸心法、配穴、得气、功效、灸量、灸感变化、热证处理、上火应对、艾草存放、艾绒加工、艾条选择、灸具甄别等几乎所有艾灸相关问题，皆可借此获得理论依托，得以自圆其说。</w:t>
      </w:r>
    </w:p>
    <w:p/>
    <w:p>
      <w:r>
        <w:t>&gt; 灸火分阴阳，静察知微祥。</w:t>
      </w:r>
    </w:p>
    <w:p>
      <w:r>
        <w:t>&gt; 阳是艾之形，驱寒用其芒；</w:t>
      </w:r>
    </w:p>
    <w:p>
      <w:r>
        <w:t>&gt; 阴为气之柔，通补体不伤。</w:t>
      </w:r>
    </w:p>
    <w:p>
      <w:r>
        <w:t>&gt; 会用火与气，从此入殿堂。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36"/>
      <w:ind w:firstLine="500"/>
      <w:jc w:val="both"/>
    </w:pPr>
    <w:rPr>
      <w:rFonts w:ascii="Times New Roman" w:hAnsi="Times New Roman" w:eastAsia="宋体"/>
      <w:sz w:val="25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365F91" w:themeColor="accent1" w:themeShade="BF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