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Modernization Imperative: An Analysis of AI-Driven Acceleration and Risk Mitigation in Legacy Ecosystems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enterprise technology landscape in 2025 is defined by a paradoxical relationship between the massive accumulation of technical debt and the unprecedented capabilities of generative artificial intelligence to remediate that debt. As organizations navigate an increasingly competitive digital economy, the modernization of custom-built enterprise applications—specifically those written in legacy frameworks like.NET Framework 4.8, Java EE/J2EE, and COBOL—has shifted from a back-office IT concern to a primary strategic directive for the C-suite.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report provides a comprehensive validation of AI-powered modernization services, </w:t>
      </w:r>
      <w:r w:rsidDel="00000000" w:rsidR="00000000" w:rsidRPr="00000000">
        <w:rPr>
          <w:rFonts w:ascii="Google Sans" w:cs="Google Sans" w:eastAsia="Google Sans" w:hAnsi="Google Sans"/>
          <w:color w:val="1f1f1f"/>
          <w:highlight w:val="yellow"/>
          <w:rtl w:val="0"/>
        </w:rPr>
        <w:t xml:space="preserve">grounded in empirical data regarding market readiness,</w:t>
      </w:r>
      <w:r w:rsidDel="00000000" w:rsidR="00000000" w:rsidRPr="00000000">
        <w:rPr>
          <w:rFonts w:ascii="Google Sans" w:cs="Google Sans" w:eastAsia="Google Sans" w:hAnsi="Google Sans"/>
          <w:color w:val="1f1f1f"/>
          <w:rtl w:val="0"/>
        </w:rPr>
        <w:t xml:space="preserve"> return on investment (ROI), and the specific technical hurdles inherent in transforming monolithic architectures into cloud-native ecosystems.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Context and Validation for Modernization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demand for a specialized, AI-driven service that </w:t>
      </w:r>
      <w:r w:rsidDel="00000000" w:rsidR="00000000" w:rsidRPr="00000000">
        <w:rPr>
          <w:rFonts w:ascii="Google Sans" w:cs="Google Sans" w:eastAsia="Google Sans" w:hAnsi="Google Sans"/>
          <w:color w:val="1f1f1f"/>
          <w:highlight w:val="yellow"/>
          <w:rtl w:val="0"/>
        </w:rPr>
        <w:t xml:space="preserve">accelerates and de-risks the modernization of custom enterprise application</w:t>
      </w:r>
      <w:r w:rsidDel="00000000" w:rsidR="00000000" w:rsidRPr="00000000">
        <w:rPr>
          <w:rFonts w:ascii="Google Sans" w:cs="Google Sans" w:eastAsia="Google Sans" w:hAnsi="Google Sans"/>
          <w:color w:val="1f1f1f"/>
          <w:rtl w:val="0"/>
        </w:rPr>
        <w:t xml:space="preserve">s is validated by the sheer scale of the legacy software problem. Organizations currently allocate between </w:t>
      </w:r>
      <w:r w:rsidDel="00000000" w:rsidR="00000000" w:rsidRPr="00000000">
        <w:rPr>
          <w:rFonts w:ascii="Google Sans" w:cs="Google Sans" w:eastAsia="Google Sans" w:hAnsi="Google Sans"/>
          <w:color w:val="1f1f1f"/>
          <w:shd w:fill="ff9900" w:val="clear"/>
          <w:rtl w:val="0"/>
        </w:rPr>
        <w:t xml:space="preserve">60 percent and 80 percent</w:t>
      </w:r>
      <w:r w:rsidDel="00000000" w:rsidR="00000000" w:rsidRPr="00000000">
        <w:rPr>
          <w:rFonts w:ascii="Google Sans" w:cs="Google Sans" w:eastAsia="Google Sans" w:hAnsi="Google Sans"/>
          <w:color w:val="1f1f1f"/>
          <w:rtl w:val="0"/>
        </w:rPr>
        <w:t xml:space="preserve"> of their entire IT budgets to the maintenance of outdated systems, leaving a marginal portion for the innovation required to sustain growth.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resource drain creates an innovation gap that traditional modernization approaches—often manual, expensive, and prone to failure—have struggled to fill. Research indicates that approximately 92 percent of businesses are actively engaged in at least one application modernization project as of 2025, yet four in five organizations (79 percent) admit to having experienced at least one failure in these initiatives.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these projects is frequently traced back to the complexity of undocumented dependencies, some of which have remained hidden for two decades or more.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Nearly 65 percent of modernization delays are caused by these dependencies, highlighting the need for a service that </w:t>
      </w:r>
      <w:r w:rsidDel="00000000" w:rsidR="00000000" w:rsidRPr="00000000">
        <w:rPr>
          <w:rFonts w:ascii="Google Sans" w:cs="Google Sans" w:eastAsia="Google Sans" w:hAnsi="Google Sans"/>
          <w:color w:val="1f1f1f"/>
          <w:shd w:fill="b6d7a8" w:val="clear"/>
          <w:rtl w:val="0"/>
        </w:rPr>
        <w:t xml:space="preserve">prioritizes deep code analysis and deterministic discovery.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matrix synthesizes ten core evidence-based responses that validate the proposed AI-powered service's focus on solution design, ROI assessment, and adoption strategy.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Matrix: Service Validation and Strategic Alignment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Validation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Research-Based Fact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 for Service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application modernization market is projected to reach </w:t>
            </w:r>
            <w:r w:rsidDel="00000000" w:rsidR="00000000" w:rsidRPr="00000000">
              <w:rPr>
                <w:rFonts w:ascii="Google Sans" w:cs="Google Sans" w:eastAsia="Google Sans" w:hAnsi="Google Sans"/>
                <w:color w:val="1f1f1f"/>
                <w:shd w:fill="b6d7a8" w:val="clear"/>
                <w:rtl w:val="0"/>
              </w:rPr>
              <w:t xml:space="preserve">$52.28 billion by 2030, growing at a 16.8%</w:t>
            </w:r>
            <w:r w:rsidDel="00000000" w:rsidR="00000000" w:rsidRPr="00000000">
              <w:rPr>
                <w:rFonts w:ascii="Google Sans" w:cs="Google Sans" w:eastAsia="Google Sans" w:hAnsi="Google Sans"/>
                <w:color w:val="1f1f1f"/>
                <w:shd w:fill="auto" w:val="clear"/>
                <w:rtl w:val="0"/>
              </w:rPr>
              <w:t xml:space="preserve">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market demand confirms the viability of specialized migration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ROI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Enterprises using </w:t>
            </w:r>
            <w:r w:rsidDel="00000000" w:rsidR="00000000" w:rsidRPr="00000000">
              <w:rPr>
                <w:rFonts w:ascii="Google Sans" w:cs="Google Sans" w:eastAsia="Google Sans" w:hAnsi="Google Sans"/>
                <w:color w:val="1f1f1f"/>
                <w:shd w:fill="b6d7a8" w:val="clear"/>
                <w:rtl w:val="0"/>
              </w:rPr>
              <w:t xml:space="preserve">AI-driven modernization report a 171% average ROI </w:t>
            </w:r>
            <w:r w:rsidDel="00000000" w:rsidR="00000000" w:rsidRPr="00000000">
              <w:rPr>
                <w:rFonts w:ascii="Google Sans" w:cs="Google Sans" w:eastAsia="Google Sans" w:hAnsi="Google Sans"/>
                <w:color w:val="1f1f1f"/>
                <w:shd w:fill="auto" w:val="clear"/>
                <w:rtl w:val="0"/>
              </w:rPr>
              <w:t xml:space="preserve">and a $3.70 return per $1 invested.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service must quantify financial impact early to secure executive sponsorship.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De-risking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ff9900" w:val="clear"/>
                <w:rtl w:val="0"/>
              </w:rPr>
              <w:t xml:space="preserve">79% of modernization projects fail; 65%</w:t>
            </w:r>
            <w:r w:rsidDel="00000000" w:rsidR="00000000" w:rsidRPr="00000000">
              <w:rPr>
                <w:rFonts w:ascii="Google Sans" w:cs="Google Sans" w:eastAsia="Google Sans" w:hAnsi="Google Sans"/>
                <w:color w:val="1f1f1f"/>
                <w:shd w:fill="auto" w:val="clear"/>
                <w:rtl w:val="0"/>
              </w:rPr>
              <w:t xml:space="preserve"> of delays stem from hidden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dependency mapping and risk assessment are critical service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Gains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AI-powered approaches accelerate transformation timelines by </w:t>
            </w:r>
            <w:r w:rsidDel="00000000" w:rsidR="00000000" w:rsidRPr="00000000">
              <w:rPr>
                <w:rFonts w:ascii="Google Sans" w:cs="Google Sans" w:eastAsia="Google Sans" w:hAnsi="Google Sans"/>
                <w:color w:val="1f1f1f"/>
                <w:shd w:fill="b6d7a8" w:val="clear"/>
                <w:rtl w:val="0"/>
              </w:rPr>
              <w:t xml:space="preserve">30% to 50% over manual</w:t>
            </w:r>
            <w:r w:rsidDel="00000000" w:rsidR="00000000" w:rsidRPr="00000000">
              <w:rPr>
                <w:rFonts w:ascii="Google Sans" w:cs="Google Sans" w:eastAsia="Google Sans" w:hAnsi="Google Sans"/>
                <w:color w:val="1f1f1f"/>
                <w:shd w:fill="auto" w:val="clear"/>
                <w:rtl w:val="0"/>
              </w:rPr>
              <w:t xml:space="preserve"> efforts.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value proposition should center on "Time-to-Value" as a competitive differentiator.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Maintenance Burden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Legacy systems consume </w:t>
            </w:r>
            <w:r w:rsidDel="00000000" w:rsidR="00000000" w:rsidRPr="00000000">
              <w:rPr>
                <w:rFonts w:ascii="Google Sans" w:cs="Google Sans" w:eastAsia="Google Sans" w:hAnsi="Google Sans"/>
                <w:color w:val="1f1f1f"/>
                <w:shd w:fill="b6d7a8" w:val="clear"/>
                <w:rtl w:val="0"/>
              </w:rPr>
              <w:t xml:space="preserve">60%–80% of IT resources</w:t>
            </w:r>
            <w:r w:rsidDel="00000000" w:rsidR="00000000" w:rsidRPr="00000000">
              <w:rPr>
                <w:rFonts w:ascii="Google Sans" w:cs="Google Sans" w:eastAsia="Google Sans" w:hAnsi="Google Sans"/>
                <w:color w:val="1f1f1f"/>
                <w:shd w:fill="auto" w:val="clear"/>
                <w:rtl w:val="0"/>
              </w:rPr>
              <w:t xml:space="preserve">, stifling organizational innovation.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Modernization is a prerequisite for reallocation of budget toward strategic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Modernization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w:t>
            </w:r>
            <w:r w:rsidDel="00000000" w:rsidR="00000000" w:rsidRPr="00000000">
              <w:rPr>
                <w:rFonts w:ascii="Google Sans" w:cs="Google Sans" w:eastAsia="Google Sans" w:hAnsi="Google Sans"/>
                <w:color w:val="1f1f1f"/>
                <w:shd w:fill="b6d7a8" w:val="clear"/>
                <w:rtl w:val="0"/>
              </w:rPr>
              <w:t xml:space="preserve"> 2027, 75% of enterprises will adopt AI-assisted</w:t>
            </w:r>
            <w:r w:rsidDel="00000000" w:rsidR="00000000" w:rsidRPr="00000000">
              <w:rPr>
                <w:rFonts w:ascii="Google Sans" w:cs="Google Sans" w:eastAsia="Google Sans" w:hAnsi="Google Sans"/>
                <w:color w:val="1f1f1f"/>
                <w:shd w:fill="auto" w:val="clear"/>
                <w:rtl w:val="0"/>
              </w:rPr>
              <w:t xml:space="preserve"> tools for code analysis and migration.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 entry into the AI-assisted refactoring market captures a high-growth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Quality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ff9900" w:val="clear"/>
                <w:rtl w:val="0"/>
              </w:rPr>
              <w:t xml:space="preserve">AI adoption without governance</w:t>
            </w:r>
            <w:r w:rsidDel="00000000" w:rsidR="00000000" w:rsidRPr="00000000">
              <w:rPr>
                <w:rFonts w:ascii="Google Sans" w:cs="Google Sans" w:eastAsia="Google Sans" w:hAnsi="Google Sans"/>
                <w:color w:val="1f1f1f"/>
                <w:shd w:fill="auto" w:val="clear"/>
                <w:rtl w:val="0"/>
              </w:rPr>
              <w:t xml:space="preserve"> increases bug rates by 9% and pull request size by 154%.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service must include a verification layer (e.g., SonarQube) for quality assurance.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Talent Scarcity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b6d7a8" w:val="clear"/>
                <w:rtl w:val="0"/>
              </w:rPr>
              <w:t xml:space="preserve">76% of IT leaders struggle to find skilled talent</w:t>
            </w:r>
            <w:r w:rsidDel="00000000" w:rsidR="00000000" w:rsidRPr="00000000">
              <w:rPr>
                <w:rFonts w:ascii="Google Sans" w:cs="Google Sans" w:eastAsia="Google Sans" w:hAnsi="Google Sans"/>
                <w:color w:val="1f1f1f"/>
                <w:shd w:fill="auto" w:val="clear"/>
                <w:rtl w:val="0"/>
              </w:rPr>
              <w:t xml:space="preserve">; skills for COBOL/PowerBuilder are disappearing.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services must function as </w:t>
            </w:r>
            <w:r w:rsidDel="00000000" w:rsidR="00000000" w:rsidRPr="00000000">
              <w:rPr>
                <w:rFonts w:ascii="Google Sans" w:cs="Google Sans" w:eastAsia="Google Sans" w:hAnsi="Google Sans"/>
                <w:color w:val="1f1f1f"/>
                <w:shd w:fill="b6d7a8" w:val="clear"/>
                <w:rtl w:val="0"/>
              </w:rPr>
              <w:t xml:space="preserve">"talent multipliers"</w:t>
            </w:r>
            <w:r w:rsidDel="00000000" w:rsidR="00000000" w:rsidRPr="00000000">
              <w:rPr>
                <w:rFonts w:ascii="Google Sans" w:cs="Google Sans" w:eastAsia="Google Sans" w:hAnsi="Google Sans"/>
                <w:color w:val="1f1f1f"/>
                <w:shd w:fill="auto" w:val="clear"/>
                <w:rtl w:val="0"/>
              </w:rPr>
              <w:t xml:space="preserve"> to solve the bandwidth crisis.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Hurdles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EJB-to-Spring Boot migration fails in 30% of cases due to XA transaction and JNDI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ff9900" w:val="clear"/>
                <w:rtl w:val="0"/>
              </w:rPr>
              <w:t xml:space="preserve">Solution design must account for specific legacy</w:t>
            </w:r>
            <w:r w:rsidDel="00000000" w:rsidR="00000000" w:rsidRPr="00000000">
              <w:rPr>
                <w:rFonts w:ascii="Google Sans" w:cs="Google Sans" w:eastAsia="Google Sans" w:hAnsi="Google Sans"/>
                <w:color w:val="1f1f1f"/>
                <w:shd w:fill="auto" w:val="clear"/>
                <w:rtl w:val="0"/>
              </w:rPr>
              <w:t xml:space="preserve"> runtime behaviors, not just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Pressure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UK DUAA 2025 mandates transparency and human intervention in automated decisions.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Modernized apps must integrate governance frameworks to meet new legal standards.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Priorities: The CIO Agenda for 2025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validation of any modernization service must begin with an understanding of </w:t>
      </w:r>
      <w:r w:rsidDel="00000000" w:rsidR="00000000" w:rsidRPr="00000000">
        <w:rPr>
          <w:rFonts w:ascii="Google Sans" w:cs="Google Sans" w:eastAsia="Google Sans" w:hAnsi="Google Sans"/>
          <w:color w:val="1f1f1f"/>
          <w:shd w:fill="b6d7a8" w:val="clear"/>
          <w:rtl w:val="0"/>
        </w:rPr>
        <w:t xml:space="preserve">the priorities and constraints facing the Chief Information Officer (CIO) and Chief Technology Officer (CTO)</w:t>
      </w:r>
      <w:r w:rsidDel="00000000" w:rsidR="00000000" w:rsidRPr="00000000">
        <w:rPr>
          <w:rFonts w:ascii="Google Sans" w:cs="Google Sans" w:eastAsia="Google Sans" w:hAnsi="Google Sans"/>
          <w:color w:val="1f1f1f"/>
          <w:rtl w:val="0"/>
        </w:rPr>
        <w:t xml:space="preserve">. In 2025, the CIO role has transitioned into that of a "changemaker" and strategic business driver, with </w:t>
      </w:r>
      <w:r w:rsidDel="00000000" w:rsidR="00000000" w:rsidRPr="00000000">
        <w:rPr>
          <w:rFonts w:ascii="Google Sans" w:cs="Google Sans" w:eastAsia="Google Sans" w:hAnsi="Google Sans"/>
          <w:color w:val="1f1f1f"/>
          <w:shd w:fill="b6d7a8" w:val="clear"/>
          <w:rtl w:val="0"/>
        </w:rPr>
        <w:t xml:space="preserve">82 percent of technology leaders reporting a deeper involvement in digital transformation than in previous years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shift reflects a broader organizational mandate to drive growth and operational efficiency through technology.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and Enterprise Priorities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functional priorities for CIOs in 2025 remain consistent with the </w:t>
      </w:r>
      <w:r w:rsidDel="00000000" w:rsidR="00000000" w:rsidRPr="00000000">
        <w:rPr>
          <w:rFonts w:ascii="Google Sans" w:cs="Google Sans" w:eastAsia="Google Sans" w:hAnsi="Google Sans"/>
          <w:color w:val="1f1f1f"/>
          <w:shd w:fill="b6d7a8" w:val="clear"/>
          <w:rtl w:val="0"/>
        </w:rPr>
        <w:t xml:space="preserve">high-risk digital environment</w:t>
      </w:r>
      <w:r w:rsidDel="00000000" w:rsidR="00000000" w:rsidRPr="00000000">
        <w:rPr>
          <w:rFonts w:ascii="Google Sans" w:cs="Google Sans" w:eastAsia="Google Sans" w:hAnsi="Google Sans"/>
          <w:color w:val="1f1f1f"/>
          <w:rtl w:val="0"/>
        </w:rPr>
        <w:t xml:space="preserve">. Cybersecurity and risk management have held the top spot for four consecutive years, followed by data and analytics.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AI has rapidly ascended to the third most critical priority as organizations </w:t>
      </w:r>
      <w:r w:rsidDel="00000000" w:rsidR="00000000" w:rsidRPr="00000000">
        <w:rPr>
          <w:rFonts w:ascii="Google Sans" w:cs="Google Sans" w:eastAsia="Google Sans" w:hAnsi="Google Sans"/>
          <w:color w:val="1f1f1f"/>
          <w:shd w:fill="b6d7a8" w:val="clear"/>
          <w:rtl w:val="0"/>
        </w:rPr>
        <w:t xml:space="preserve">move from experimental pilots to production-scale </w:t>
      </w:r>
      <w:r w:rsidDel="00000000" w:rsidR="00000000" w:rsidRPr="00000000">
        <w:rPr>
          <w:rFonts w:ascii="Google Sans" w:cs="Google Sans" w:eastAsia="Google Sans" w:hAnsi="Google Sans"/>
          <w:color w:val="1f1f1f"/>
          <w:rtl w:val="0"/>
        </w:rPr>
        <w:t xml:space="preserve">deployments.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enterprise level, the focus has pivoted toward </w:t>
      </w:r>
      <w:r w:rsidDel="00000000" w:rsidR="00000000" w:rsidRPr="00000000">
        <w:rPr>
          <w:rFonts w:ascii="Google Sans" w:cs="Google Sans" w:eastAsia="Google Sans" w:hAnsi="Google Sans"/>
          <w:color w:val="1f1f1f"/>
          <w:shd w:fill="b6d7a8" w:val="clear"/>
          <w:rtl w:val="0"/>
        </w:rPr>
        <w:t xml:space="preserve">"Driving Growth" as the number one priority, displacing cost-optimization as the primary motivator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significant because legacy systems are the single greatest obstacle to growth, consuming resources that would otherwise be invested in revenue-generating products.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ability to modernize applications efficiently is therefore seen as a key enabler of the enterprise growth agenda.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Priority 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Focus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Modernization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Driving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agile, scalable apps that can support new revenue streams.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Creating Operational Efficiencies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Driving the shift from on-prem maintenance to cloud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Optimizing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Justifies the exit from expensive legacy license agreements (e.g., WebLogic, SQL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Increasing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Modernized apps enable better customer experiences and data-driven insights.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Skills Gap and Talent Constraint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roadblock to these modernization ambitions is not a lack of funding—as 65 percent of organizations expect their IT budgets to increase in 2025—but a profound shortage of skilled talent.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talent crunch is particularly acute for legacy languages and frameworks. Skills required to understand COBOL, RPG, PowerBuilder, and Assembler are increasingly scarce as the workforce that built these systems enters retirement.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Approximately 76 percent of IT leaders globally report struggling to find the talent necessary to execute their transformation goals.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bandwidth constraint means that even when the business case for modernization is clear, the internal capacity to execute it is absent. This validates the adoption of AI-powered services that can automate the most labor-intensive phases of modernization, such as code analysis, refactoring, and regression testing.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functioning as a "talent multiplier," an AI service allows the existing pool of developers to handle much larger codebases with higher precision.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Engine: ROI and Value Assessment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service validation is the ability to project a compelling return on investment. The economic argument for modernization has evolved from "saving on maintenance" to "unlocking business value".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McKinsey research suggests that cloud transformation could generate approximately </w:t>
      </w:r>
      <w:r w:rsidDel="00000000" w:rsidR="00000000" w:rsidRPr="00000000">
        <w:rPr>
          <w:rFonts w:ascii="Google Sans" w:cs="Google Sans" w:eastAsia="Google Sans" w:hAnsi="Google Sans"/>
          <w:color w:val="1f1f1f"/>
          <w:shd w:fill="ff9900" w:val="clear"/>
          <w:rtl w:val="0"/>
        </w:rPr>
        <w:t xml:space="preserve">$3 trillion in EBITDA by 2030, but only 10 percent of companies have fully captured this value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hd w:fill="b6d7a8" w:val="clear"/>
        </w:rPr>
      </w:pPr>
      <w:r w:rsidDel="00000000" w:rsidR="00000000" w:rsidRPr="00000000">
        <w:rPr>
          <w:rFonts w:ascii="Google Sans" w:cs="Google Sans" w:eastAsia="Google Sans" w:hAnsi="Google Sans"/>
          <w:color w:val="1f1f1f"/>
          <w:shd w:fill="b6d7a8" w:val="clear"/>
          <w:rtl w:val="0"/>
        </w:rPr>
        <w:t xml:space="preserve">Financial Metrics of AI-Enhanced Modernization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w:t>
      </w:r>
      <w:r w:rsidDel="00000000" w:rsidR="00000000" w:rsidRPr="00000000">
        <w:rPr>
          <w:rFonts w:ascii="Google Sans" w:cs="Google Sans" w:eastAsia="Google Sans" w:hAnsi="Google Sans"/>
          <w:color w:val="1f1f1f"/>
          <w:highlight w:val="yellow"/>
          <w:rtl w:val="0"/>
        </w:rPr>
        <w:t xml:space="preserve">generative AI into the modernization lifecycle</w:t>
      </w:r>
      <w:r w:rsidDel="00000000" w:rsidR="00000000" w:rsidRPr="00000000">
        <w:rPr>
          <w:rFonts w:ascii="Google Sans" w:cs="Google Sans" w:eastAsia="Google Sans" w:hAnsi="Google Sans"/>
          <w:color w:val="1f1f1f"/>
          <w:rtl w:val="0"/>
        </w:rPr>
        <w:t xml:space="preserve"> has fundamentally altered the ROI equation. Traditionally, the remediation of applications for the cloud required investments equivalent to several years of maintenance costs.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AI-driven approaches are now indicating a 40 percent reduction in both the time and investment required for this process.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Benchmark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AI Acceleration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ROI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171% for enterprise AI projects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refactoring can add 75–110 percentage points to ROI.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Return per Dollar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$3.70 for every $1 invested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Enterprises with strong AI governance see 2.5x higher returns.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20%–30% reduction in IT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reduction in migration-specific capital expenditure.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Breakeven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Typically occurs at 50% cloud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speeds the journey to the 50% threshold by 30%–50%.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business benefits of modernization extend beyond direct cost savings. Organizations that successfully modernize report a 40 percent improvement in business agility and a 30 percent gain in IT operations productivity.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example, the use of unified management platforms like Azure Arc has demonstrated a 304 percent ROI over three years, with a payback period of less than six months.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is achieved through a 50 percent reduction in the risk of security breaches and a 15 percent reduction in spending on redundant third-party tools.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Productivity Dividend for Developers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productivity gains for software development teams are perhaps the most immediate evidence of AI’s impact. </w:t>
      </w:r>
      <w:r w:rsidDel="00000000" w:rsidR="00000000" w:rsidRPr="00000000">
        <w:rPr>
          <w:rFonts w:ascii="Google Sans" w:cs="Google Sans" w:eastAsia="Google Sans" w:hAnsi="Google Sans"/>
          <w:color w:val="1f1f1f"/>
          <w:shd w:fill="b6d7a8" w:val="clear"/>
          <w:rtl w:val="0"/>
        </w:rPr>
        <w:t xml:space="preserve">Approximately 90 percent of software development professionals now use AI tools, with 62 percent relying on AI coding assistants daily.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tools enable developers to complete tasks twice as fast, with GitHub Copilot specifically writing an average of 46 percent of a developer's code.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Productivity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AI-Assisted Improvement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Coding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faster completion of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hours saved per week per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Pull Request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8.69% increase in PRs per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 Success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 increase in successful builds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Cycle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Reduction from 9.6 days to 2.4 days for PR reviews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ff9900" w:val="clear"/>
          <w:rtl w:val="0"/>
        </w:rPr>
        <w:t xml:space="preserve">However, this acceleration is not without risk. The increase in speed can lead to the accumulation of structural debt if not managed carefully.</w:t>
      </w:r>
      <w:r w:rsidDel="00000000" w:rsidR="00000000" w:rsidRPr="00000000">
        <w:rPr>
          <w:rFonts w:ascii="Google Sans" w:cs="Google Sans" w:eastAsia="Google Sans" w:hAnsi="Google Sans"/>
          <w:color w:val="1f1f1f"/>
          <w:rtl w:val="0"/>
        </w:rPr>
        <w:t xml:space="preserve"> Data from 2024 shows an 8-fold increase in code duplication,</w:t>
      </w:r>
      <w:r w:rsidDel="00000000" w:rsidR="00000000" w:rsidRPr="00000000">
        <w:rPr>
          <w:rFonts w:ascii="Google Sans" w:cs="Google Sans" w:eastAsia="Google Sans" w:hAnsi="Google Sans"/>
          <w:color w:val="1f1f1f"/>
          <w:shd w:fill="ff9900" w:val="clear"/>
          <w:rtl w:val="0"/>
        </w:rPr>
        <w:t xml:space="preserve"> suggesting that AI models often prioritize local functional correctness over global architectural coherence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necessitates that any modernization service includes automated code review and </w:t>
      </w:r>
      <w:r w:rsidDel="00000000" w:rsidR="00000000" w:rsidRPr="00000000">
        <w:rPr>
          <w:rFonts w:ascii="Google Sans" w:cs="Google Sans" w:eastAsia="Google Sans" w:hAnsi="Google Sans"/>
          <w:color w:val="1f1f1f"/>
          <w:shd w:fill="b6d7a8" w:val="clear"/>
          <w:rtl w:val="0"/>
        </w:rPr>
        <w:t xml:space="preserve">quality gates to prevent the creation of new technical debt during the migration process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De-risking Modernization: Addressing Systemic Failures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high failure rate of modernization projects (79 percent) is a testament to the risks inherent in legacy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service that successfully "de-risks" these projects must address the root causes of failure: hidden dependencies, technical debt, and lack of testing coverage.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Causes of Modernization Failure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Percentage /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Project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Undocumented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 of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ff9900" w:val="clear"/>
              </w:rPr>
            </w:pPr>
            <w:r w:rsidDel="00000000" w:rsidR="00000000" w:rsidRPr="00000000">
              <w:rPr>
                <w:rFonts w:ascii="Google Sans" w:cs="Google Sans" w:eastAsia="Google Sans" w:hAnsi="Google Sans"/>
                <w:color w:val="1f1f1f"/>
                <w:shd w:fill="ff9900" w:val="clear"/>
                <w:rtl w:val="0"/>
              </w:rPr>
              <w:t xml:space="preserve">Prevents accurate scope and cost estimation.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Debt Inflation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Leads to spiraling rework costs and missed deadlines.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Quality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higher failure rate in poor-quality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Corrupts the integrity of the target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Skills Shortage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 of organizations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Leads to poor architectural decisions and maintenance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 of integration projects fail or partially fail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Causes service downtime and operational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these risks, successful modernization services employ "platform-aware" AI engines. These engines do not merely translate code; they understand the specific runtime environment for which the code was built.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instance, in financial systems, the way numbers are rounded or how data is stored in memory can vary between a mainframe COBOL environment and a modern Java runtime.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b6d7a8" w:val="clear"/>
          <w:rtl w:val="0"/>
        </w:rPr>
        <w:t xml:space="preserve"> AI must be fed with deterministic context—including copybooks, JCL scripts, and middleware configurations—to ensure that the migrated application behaves identically to the original.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The Strategy of Incremental Refactoring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"big bang" approach to modernization—attempting to replace an entire system at once—is increasingly viewed as an unacceptable risk for mission-critical applications.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Instead, a "refactoring-first" strategy, often utilizing the Strangler Fig pattern, is recommended.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involves: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highlight w:val="yellow"/>
          <w:rtl w:val="0"/>
        </w:rPr>
        <w:t xml:space="preserve">System Comprehension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Using AI to map 100 percent of system dependencies.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highlight w:val="yellow"/>
          <w:rtl w:val="0"/>
        </w:rPr>
        <w:t xml:space="preserve">Modular Extraction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Identifying "seams" in the monolith (e.g., a specific business service like "user authentication") and extracting them into a modern microservice.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highlight w:val="yellow"/>
          <w:rtl w:val="0"/>
        </w:rPr>
        <w:t xml:space="preserve">Parallel Execution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Routing traffic to the new service while maintaining the legacy system as a fallback until the new code is validated.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highlight w:val="yellow"/>
          <w:rtl w:val="0"/>
        </w:rPr>
        <w:t xml:space="preserve">Decommissioning</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Incrementally shutting down legacy modules as they are replaced.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phased approach, powered by AI that can generate automated regression tests to ensure functional parity, reduces the risk of operational outages and budget overruns.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Hurdle Analysis:.NET Framework to.NET 8/9</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Modernizing custom applications built on the.NET Framework (versions 4.5 through 4.8) is a major priority for organizations seeking to exit the Windows-dependent, on-premise ecosystem.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transition to.NET 8 (and the recently released.NET 9) offers substantial performance, scalability, and security benefits, but it presents several specific technical hurdles that an AI service must automate.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and Business Value of.NET 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 Framework 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Requests Per Second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improvement over.NET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throughput with fewer servers.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(Windows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 (Linux Containers)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 reduction in licensing and VM costs.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Slow, monolithic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Agile, container-native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time-to-market for new features.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Difficult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AI tools (Semantic Kernel)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Easier to build "intelligent" applications.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Migration Challenges in the.NET Ecosystem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shd w:fill="ff9900" w:val="clear"/>
          <w:rtl w:val="0"/>
        </w:rPr>
        <w:t xml:space="preserve">The migration is not a simple "lift and shift" because.NET 8 is a fundamental rewrite of the.NET runtime.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Developers encounter several "breaking" architectural differences:</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Removal of AppDomains:</w:t>
      </w:r>
      <w:r w:rsidDel="00000000" w:rsidR="00000000" w:rsidRPr="00000000">
        <w:rPr>
          <w:rFonts w:ascii="Google Sans" w:cs="Google Sans" w:eastAsia="Google Sans" w:hAnsi="Google Sans"/>
          <w:color w:val="1f1f1f"/>
          <w:rtl w:val="0"/>
        </w:rPr>
        <w:t xml:space="preserve">.NET Framework uses AppDomains for isolation and.NET Remoting for communication. These do not exist in modern.NET for security reasons, requiring a complete redesign of how the application handles isolated execution and cross-process communication.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WCF Server Replacement:</w:t>
      </w:r>
      <w:r w:rsidDel="00000000" w:rsidR="00000000" w:rsidRPr="00000000">
        <w:rPr>
          <w:rFonts w:ascii="Google Sans" w:cs="Google Sans" w:eastAsia="Google Sans" w:hAnsi="Google Sans"/>
          <w:color w:val="1f1f1f"/>
          <w:rtl w:val="0"/>
        </w:rPr>
        <w:t xml:space="preserve"> Windows Communication Foundation (WCF) is not natively supported as a server in modern.NET. While CoreWCF exists, it lacks the WCF TCP port sharing service, forcing teams to migrate from NetTcp to NetHttp bindings or embrace REST/gRPC.</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MEF and Dependency Injection:</w:t>
      </w:r>
      <w:r w:rsidDel="00000000" w:rsidR="00000000" w:rsidRPr="00000000">
        <w:rPr>
          <w:rFonts w:ascii="Google Sans" w:cs="Google Sans" w:eastAsia="Google Sans" w:hAnsi="Google Sans"/>
          <w:color w:val="1f1f1f"/>
          <w:rtl w:val="0"/>
        </w:rPr>
        <w:t xml:space="preserve"> Many legacy.NET apps use MEF 1.0 (Managed Extensibility Framework) for dependency injection, which was not ported. Replacing MEF across a large codebase can be "horrendous" and requires an automated refactoring strategy to map legacy DI patterns to modern ones.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NuGet and Package Compatibility:</w:t>
      </w:r>
      <w:r w:rsidDel="00000000" w:rsidR="00000000" w:rsidRPr="00000000">
        <w:rPr>
          <w:rFonts w:ascii="Google Sans" w:cs="Google Sans" w:eastAsia="Google Sans" w:hAnsi="Google Sans"/>
          <w:color w:val="1f1f1f"/>
          <w:rtl w:val="0"/>
        </w:rPr>
        <w:t xml:space="preserve"> Migration requires an exhaustive audit of all third-party libraries. If a library is not.NET 8-compatible, an alternative must be found and integrated into the application logic.</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AI-powered services address these hurdles by automating the conversion of CSPROJ files to the modern SDK format and identifying Net8-compatible versions of NuGet packages, reducing the manual effort of dependency auditing by up to 35 percent.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Decoupling Java EE: The Shift to Spring Boot and Microservices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Java ecosystem, the primary modernization challenge is the migration from heavyweight Java Enterprise Edition (Java EE / J2EE) servers like Oracle WebLogic, IBM WebSphere, and JBoss to the lightweight, cloud-native Spring Boot framework.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shift is frequently driven by the desire to avoid expensive licensing costs and to adopt DevOps practices like CI/CD and Kubernetes.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Debt of EJBs and JNDI</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Legacy J2EE applications are built around Enterprise JavaBeans (EJBs) and the Java Naming and Directory Interface (JNDI), which are tightly coupled to the application server container.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EJB Trap:</w:t>
      </w:r>
      <w:r w:rsidDel="00000000" w:rsidR="00000000" w:rsidRPr="00000000">
        <w:rPr>
          <w:rFonts w:ascii="Google Sans" w:cs="Google Sans" w:eastAsia="Google Sans" w:hAnsi="Google Sans"/>
          <w:color w:val="1f1f1f"/>
          <w:rtl w:val="0"/>
        </w:rPr>
        <w:t xml:space="preserve"> EJBs rely on the "magic" of the container for transactions and security. Refactoring these to Spring-managed beans is a paradigm shift that requires replacing proprietary server services (like WebLogic JMS) with open, Spring-compatible alternatives.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Distributed Transactions (XA):</w:t>
      </w:r>
      <w:r w:rsidDel="00000000" w:rsidR="00000000" w:rsidRPr="00000000">
        <w:rPr>
          <w:rFonts w:ascii="Google Sans" w:cs="Google Sans" w:eastAsia="Google Sans" w:hAnsi="Google Sans"/>
          <w:color w:val="1f1f1f"/>
          <w:rtl w:val="0"/>
        </w:rPr>
        <w:t xml:space="preserve"> J2EE servers automatically handle Two-Phase Commit (2PC) across multiple databases. Spring Boot requires explicit configuration (e.g., Atomikos) or a redesign toward eventual consistency using patterns like the Saga Pattern.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Stateful Session Beans:</w:t>
      </w:r>
      <w:r w:rsidDel="00000000" w:rsidR="00000000" w:rsidRPr="00000000">
        <w:rPr>
          <w:rFonts w:ascii="Google Sans" w:cs="Google Sans" w:eastAsia="Google Sans" w:hAnsi="Google Sans"/>
          <w:color w:val="1f1f1f"/>
          <w:rtl w:val="0"/>
        </w:rPr>
        <w:t xml:space="preserve"> Spring Beans are singletons by default. Stateful EJBs must be refactored to externalize state to Redis or a database to ensure the application can scale horizontally in a containerized environment.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Gains and Migration Success Rates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J2EE (Legacy)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Spring Boot (Modern)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(Server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low as 120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Throughput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by vertical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requests per second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Cost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reduction in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Migration Success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 on time/budget (with refactoring)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AI-powered service for Java modernization provides complete dependency mapping through graph-based analysis, enabling 70 percent automation in the EJB-to-Spring migration and 90 percent automated regression test coverage.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level of automation is essential for avoiding the 30 percent failure rate typically associated with underestimating the complexity of XA transactions and JNDI lookups.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Mainframe Modernization: COBOL and the Mainframe Ecosystem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decades of attempts to replace them, mainframe systems remain at the core of global finance and government. The 800 billion lines of COBOL code still in use represent a "mission-critical" category for modernization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challenge with COBOL is not just the language, but the entire mainframe ecosystem, including transaction managers (CICS) and data storage (VSAM).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Mainframe Dependencies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Mainframe applications are "really big," with single programs spanning tens of thousands of lines.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They pull in shared data definitions (copybooks) and are orchestrated through JCL scripts that span the entire landscape.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EBCDIC vs. ASCII:</w:t>
      </w:r>
      <w:r w:rsidDel="00000000" w:rsidR="00000000" w:rsidRPr="00000000">
        <w:rPr>
          <w:rFonts w:ascii="Google Sans" w:cs="Google Sans" w:eastAsia="Google Sans" w:hAnsi="Google Sans"/>
          <w:color w:val="1f1f1f"/>
          <w:rtl w:val="0"/>
        </w:rPr>
        <w:t xml:space="preserve"> A major technical hurdle is the data itself, encoded in EBCDIC on the mainframe but requiring transformation to ASCII for modern cloud systems.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Platform-Specific Behavior:</w:t>
      </w:r>
      <w:r w:rsidDel="00000000" w:rsidR="00000000" w:rsidRPr="00000000">
        <w:rPr>
          <w:rFonts w:ascii="Google Sans" w:cs="Google Sans" w:eastAsia="Google Sans" w:hAnsi="Google Sans"/>
          <w:color w:val="1f1f1f"/>
          <w:rtl w:val="0"/>
        </w:rPr>
        <w:t xml:space="preserve"> COBOL source code behaves differently depending on the specific compiler and runtime. Mathematical rounding rules and memory alignment are determined by the environment, and a single rounding difference can result in a material financial error in a banking system.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Dependency Web:</w:t>
      </w:r>
      <w:r w:rsidDel="00000000" w:rsidR="00000000" w:rsidRPr="00000000">
        <w:rPr>
          <w:rFonts w:ascii="Google Sans" w:cs="Google Sans" w:eastAsia="Google Sans" w:hAnsi="Google Sans"/>
          <w:color w:val="1f1f1f"/>
          <w:rtl w:val="0"/>
        </w:rPr>
        <w:t xml:space="preserve"> Modernizing a single COBOL app means untangling a web of dependencies, including modules that may have been hidden for decades but are still triggered by downstream systems.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as an Accelerator for COBOL</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has demonstrated significant results in this area, delivering 93 percent accuracy in translating COBOL to Java, compared to just 75 percent for manual rewriting.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Modernization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Rewriting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Rule-Based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AI-Powered Translation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Successful mainframe modernization requires a deterministic reverse-engineering phase that extracts all implicit dependencies before feeding the code into an AI assistant.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ensure the output is "traceable" and compliant with regulatory requirements in highly sensitive industries.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and Regulatory Landscape: DUAA 2025</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Any service modernizing enterprise applications must account for the evolving regulatory environment, particularly in the United Kingdom. The Data (Use and Access) Act 2025 (DUAA) has introduced several changes to data protection law that impact how applications handle personal data and automated processes.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Decision-Making (ADM) Safeguards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DUAA 2025 creates a more permissive framework for Automated Decision-Making (ADM), but it mandates several safeguards that must be built into modern application architectures.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Organizations using ADM for decisions with legal or significant effects must:</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Provide Information:</w:t>
      </w:r>
      <w:r w:rsidDel="00000000" w:rsidR="00000000" w:rsidRPr="00000000">
        <w:rPr>
          <w:rFonts w:ascii="Google Sans" w:cs="Google Sans" w:eastAsia="Google Sans" w:hAnsi="Google Sans"/>
          <w:color w:val="1f1f1f"/>
          <w:rtl w:val="0"/>
        </w:rPr>
        <w:t xml:space="preserve"> Inform individuals about significant automated decisions.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Enable Challenge:</w:t>
      </w:r>
      <w:r w:rsidDel="00000000" w:rsidR="00000000" w:rsidRPr="00000000">
        <w:rPr>
          <w:rFonts w:ascii="Google Sans" w:cs="Google Sans" w:eastAsia="Google Sans" w:hAnsi="Google Sans"/>
          <w:color w:val="1f1f1f"/>
          <w:rtl w:val="0"/>
        </w:rPr>
        <w:t xml:space="preserve"> Allow individuals to contest the automated result.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Human Intervention:</w:t>
      </w:r>
      <w:r w:rsidDel="00000000" w:rsidR="00000000" w:rsidRPr="00000000">
        <w:rPr>
          <w:rFonts w:ascii="Google Sans" w:cs="Google Sans" w:eastAsia="Google Sans" w:hAnsi="Google Sans"/>
          <w:color w:val="1f1f1f"/>
          <w:rtl w:val="0"/>
        </w:rPr>
        <w:t xml:space="preserve"> Ensure a human can review the decision.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Compliance and Data Portability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 also clarifies rules around Subject Access Requests (SARs), introducing a "stop the clock" rule that allows organizations to pause response timelines while seeking clarification.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DUAA aims to enhance data portability rights beyond the UK GDPR, requiring that data be provided in real-time or in more useful formats for specific Smart Data schemes.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Modernized applications must therefore be designed with "data ubiquity" in mind—enabling continuous data flows and real-time insights across the enterprise.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Solution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 intervention and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"explainable AI" and audit trails.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SARs "Stop the Clock"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 response timelines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robust data indexing and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Smart Data Schemes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 portability/interoperability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standardized APIs (e.g., Open Banking).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PECR Breaches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Fines up to £17.5M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enhanced security for marketing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shd w:fill="6aa84f" w:val="clear"/>
          <w:vertAlign w:val="superscript"/>
        </w:rPr>
      </w:pPr>
      <w:r w:rsidDel="00000000" w:rsidR="00000000" w:rsidRPr="00000000">
        <w:rPr>
          <w:rFonts w:ascii="Google Sans" w:cs="Google Sans" w:eastAsia="Google Sans" w:hAnsi="Google Sans"/>
          <w:color w:val="1f1f1f"/>
          <w:shd w:fill="6aa84f" w:val="clear"/>
          <w:rtl w:val="0"/>
        </w:rPr>
        <w:t xml:space="preserve">Failure to comply with these updated standards can result in penalties of up to 4 percent of global annual turnover, making "compliance-by-design" a critical feature of any modernization service.</w:t>
      </w:r>
      <w:r w:rsidDel="00000000" w:rsidR="00000000" w:rsidRPr="00000000">
        <w:rPr>
          <w:rFonts w:ascii="Google Sans" w:cs="Google Sans" w:eastAsia="Google Sans" w:hAnsi="Google Sans"/>
          <w:color w:val="444746"/>
          <w:sz w:val="24"/>
          <w:szCs w:val="24"/>
          <w:shd w:fill="6aa84f" w:val="clear"/>
          <w:vertAlign w:val="superscript"/>
          <w:rtl w:val="0"/>
        </w:rPr>
        <w:t xml:space="preserve">31</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rtl w:val="0"/>
        </w:rPr>
        <w:t xml:space="preserve">Adoption Strategy and Future Outlook: </w:t>
      </w:r>
      <w:r w:rsidDel="00000000" w:rsidR="00000000" w:rsidRPr="00000000">
        <w:rPr>
          <w:rFonts w:ascii="Google Sans" w:cs="Google Sans" w:eastAsia="Google Sans" w:hAnsi="Google Sans"/>
          <w:color w:val="1f1f1f"/>
          <w:highlight w:val="yellow"/>
          <w:rtl w:val="0"/>
        </w:rPr>
        <w:t xml:space="preserve">Agentic AI</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enterprises move into late 2025 and 2026, the strategy for application modernization is evolving from reactive "fixes" to proactive, autonomous maintenance through Agentic AI.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 Agentic AI</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Agentic AI systems are capable of acting autonomously to achieve complex goals, rather than just providing suggestions to a human developer.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Scaling Production: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hd w:fill="b6d7a8" w:val="clear"/>
          <w:rtl w:val="0"/>
        </w:rPr>
        <w:t xml:space="preserve">23 percent of organizations</w:t>
      </w:r>
      <w:r w:rsidDel="00000000" w:rsidR="00000000" w:rsidRPr="00000000">
        <w:rPr>
          <w:rFonts w:ascii="Google Sans" w:cs="Google Sans" w:eastAsia="Google Sans" w:hAnsi="Google Sans"/>
          <w:color w:val="1f1f1f"/>
          <w:rtl w:val="0"/>
        </w:rPr>
        <w:t xml:space="preserve"> are now scaling agentic AI systems within their enterprise.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Cost Reduction:</w:t>
      </w:r>
      <w:r w:rsidDel="00000000" w:rsidR="00000000" w:rsidRPr="00000000">
        <w:rPr>
          <w:rFonts w:ascii="Google Sans" w:cs="Google Sans" w:eastAsia="Google Sans" w:hAnsi="Google Sans"/>
          <w:color w:val="1f1f1f"/>
          <w:rtl w:val="0"/>
        </w:rPr>
        <w:t xml:space="preserve"> Early adopters report up to a</w:t>
      </w:r>
      <w:r w:rsidDel="00000000" w:rsidR="00000000" w:rsidRPr="00000000">
        <w:rPr>
          <w:rFonts w:ascii="Google Sans" w:cs="Google Sans" w:eastAsia="Google Sans" w:hAnsi="Google Sans"/>
          <w:color w:val="1f1f1f"/>
          <w:shd w:fill="b6d7a8" w:val="clear"/>
          <w:rtl w:val="0"/>
        </w:rPr>
        <w:t xml:space="preserve"> 40 percent reduction</w:t>
      </w:r>
      <w:r w:rsidDel="00000000" w:rsidR="00000000" w:rsidRPr="00000000">
        <w:rPr>
          <w:rFonts w:ascii="Google Sans" w:cs="Google Sans" w:eastAsia="Google Sans" w:hAnsi="Google Sans"/>
          <w:color w:val="1f1f1f"/>
          <w:rtl w:val="0"/>
        </w:rPr>
        <w:t xml:space="preserve"> in operational costs through the use of autonomous agents for routine tasks.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Self-Correcting Debt:</w:t>
      </w:r>
      <w:r w:rsidDel="00000000" w:rsidR="00000000" w:rsidRPr="00000000">
        <w:rPr>
          <w:rFonts w:ascii="Google Sans" w:cs="Google Sans" w:eastAsia="Google Sans" w:hAnsi="Google Sans"/>
          <w:color w:val="1f1f1f"/>
          <w:rtl w:val="0"/>
        </w:rPr>
        <w:t xml:space="preserve"> By 2027, autonomous AI systems are projected to be capable of self-correcting technical debt in real-time within CI/CD pipelines.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for Solution Design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validation for an AI-powered modernization service is overwhelming. The market is defined by a massive legacy burden, a critical skills shortage, and a clear ROI for those who can execute modernization successfully.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highlight w:val="cyan"/>
          <w:rtl w:val="0"/>
        </w:rPr>
        <w:t xml:space="preserve">To be effective, the service must move beyond simple code translation and provide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highlight w:val="cyan"/>
          <w:rtl w:val="0"/>
        </w:rPr>
        <w:t xml:space="preserve">Deterministic Discovery</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Identifying 100 percent of hidden system dependencies.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highlight w:val="cyan"/>
          <w:rtl w:val="0"/>
        </w:rPr>
        <w:t xml:space="preserve">Platform-Aware Refactoring</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Understanding the specific runtime behaviors of legacy.NET, Java, and COBOL environments.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highlight w:val="cyan"/>
          <w:rtl w:val="0"/>
        </w:rPr>
        <w:t xml:space="preserve">Automated Quality Assurance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Mitigating the risks of AI-generated code quality drops through integrated verification layers.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highlight w:val="cyan"/>
          <w:rtl w:val="0"/>
        </w:rPr>
        <w:t xml:space="preserve">Compliance-by-Design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Ensuring modernized applications meet the transparency and data rights standards of the UK DUAA 2025.</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addressing these core technical and strategic requirements, an AI-powered modernization service can effectively de-risk the transformation journey and enable the enterprise to shift its focus from maintenance to high-impact business innovation.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Modernization Statistics, Trends, and Market Insights, accessed March 8, 2026, </w:t>
      </w:r>
      <w:hyperlink r:id="rId6">
        <w:r w:rsidDel="00000000" w:rsidR="00000000" w:rsidRPr="00000000">
          <w:rPr>
            <w:rFonts w:ascii="Google Sans" w:cs="Google Sans" w:eastAsia="Google Sans" w:hAnsi="Google Sans"/>
            <w:color w:val="0000ee"/>
            <w:sz w:val="24"/>
            <w:szCs w:val="24"/>
            <w:u w:val="single"/>
            <w:rtl w:val="0"/>
          </w:rPr>
          <w:t xml:space="preserve">https://radixweb.com/blog/application-modernization-statistics</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Game-Changing Tech Trends Shaping 2025: AI, Cloud &amp; Modern Apps - Devsu, accessed March 8, 2026, </w:t>
      </w:r>
      <w:hyperlink r:id="rId7">
        <w:r w:rsidDel="00000000" w:rsidR="00000000" w:rsidRPr="00000000">
          <w:rPr>
            <w:rFonts w:ascii="Google Sans" w:cs="Google Sans" w:eastAsia="Google Sans" w:hAnsi="Google Sans"/>
            <w:color w:val="0000ee"/>
            <w:sz w:val="24"/>
            <w:szCs w:val="24"/>
            <w:u w:val="single"/>
            <w:rtl w:val="0"/>
          </w:rPr>
          <w:t xml:space="preserve">https://devsu.com/blog/6-game-changing-tech-trends-shaping-2025-ai-cloud-</w:t>
        </w:r>
      </w:hyperlink>
      <w:r w:rsidDel="00000000" w:rsidR="00000000" w:rsidRPr="00000000">
        <w:rPr>
          <w:rtl w:val="0"/>
        </w:rPr>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CIO Leadership Perspectives - Gartner C-level Communities, accessed March 8, 2026, </w:t>
      </w:r>
      <w:hyperlink r:id="rId8">
        <w:r w:rsidDel="00000000" w:rsidR="00000000" w:rsidRPr="00000000">
          <w:rPr>
            <w:rFonts w:ascii="Google Sans" w:cs="Google Sans" w:eastAsia="Google Sans" w:hAnsi="Google Sans"/>
            <w:color w:val="0000ee"/>
            <w:sz w:val="24"/>
            <w:szCs w:val="24"/>
            <w:u w:val="single"/>
            <w:rtl w:val="0"/>
          </w:rPr>
          <w:t xml:space="preserve">https://www.evanta.com/resources/cio/infographic/2025-cio-leadership-perspectives</w:t>
        </w:r>
      </w:hyperlink>
      <w:r w:rsidDel="00000000" w:rsidR="00000000" w:rsidRPr="00000000">
        <w:rPr>
          <w:rtl w:val="0"/>
        </w:rPr>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Adoption Strategy: Complete 2025 Guide, accessed March 8, 2026, </w:t>
      </w:r>
      <w:hyperlink r:id="rId9">
        <w:r w:rsidDel="00000000" w:rsidR="00000000" w:rsidRPr="00000000">
          <w:rPr>
            <w:rFonts w:ascii="Google Sans" w:cs="Google Sans" w:eastAsia="Google Sans" w:hAnsi="Google Sans"/>
            <w:color w:val="0000ee"/>
            <w:sz w:val="24"/>
            <w:szCs w:val="24"/>
            <w:u w:val="single"/>
            <w:rtl w:val="0"/>
          </w:rPr>
          <w:t xml:space="preserve">https://www.digitalapplied.com/blog/enterprise-ai-adoption-strategy-2025</w:t>
        </w:r>
      </w:hyperlink>
      <w:r w:rsidDel="00000000" w:rsidR="00000000" w:rsidRPr="00000000">
        <w:rPr>
          <w:rtl w:val="0"/>
        </w:rPr>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search of cloud value | McKinsey, accessed March 8, 2026, </w:t>
      </w:r>
      <w:hyperlink r:id="rId10">
        <w:r w:rsidDel="00000000" w:rsidR="00000000" w:rsidRPr="00000000">
          <w:rPr>
            <w:rFonts w:ascii="Google Sans" w:cs="Google Sans" w:eastAsia="Google Sans" w:hAnsi="Google Sans"/>
            <w:color w:val="0000ee"/>
            <w:sz w:val="24"/>
            <w:szCs w:val="24"/>
            <w:u w:val="single"/>
            <w:rtl w:val="0"/>
          </w:rPr>
          <w:t xml:space="preserve">https://www.mckinsey.com/capabilities/tech-and-ai/our-insights/in-search-of-cloud-value-can-generative-ai-transform-cloud-roi</w:t>
        </w:r>
      </w:hyperlink>
      <w:r w:rsidDel="00000000" w:rsidR="00000000" w:rsidRPr="00000000">
        <w:rPr>
          <w:rtl w:val="0"/>
        </w:rPr>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inevitable rise of poor code quality in AI-accelerated codebases - Sonar, accessed March 8, 2026, </w:t>
      </w:r>
      <w:hyperlink r:id="rId11">
        <w:r w:rsidDel="00000000" w:rsidR="00000000" w:rsidRPr="00000000">
          <w:rPr>
            <w:rFonts w:ascii="Google Sans" w:cs="Google Sans" w:eastAsia="Google Sans" w:hAnsi="Google Sans"/>
            <w:color w:val="0000ee"/>
            <w:sz w:val="24"/>
            <w:szCs w:val="24"/>
            <w:u w:val="single"/>
            <w:rtl w:val="0"/>
          </w:rPr>
          <w:t xml:space="preserve">https://www.sonarsource.com/blog/the-inevitable-rise-of-poor-code-quality-in-ai-accelerated-codebases/</w:t>
        </w:r>
      </w:hyperlink>
      <w:r w:rsidDel="00000000" w:rsidR="00000000" w:rsidRPr="00000000">
        <w:rPr>
          <w:rtl w:val="0"/>
        </w:rPr>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CIO 2025 Outlook: Key Priorities for Tech Leaders - ManpowerGroup, accessed March 8, 2026, </w:t>
      </w:r>
      <w:hyperlink r:id="rId12">
        <w:r w:rsidDel="00000000" w:rsidR="00000000" w:rsidRPr="00000000">
          <w:rPr>
            <w:rFonts w:ascii="Google Sans" w:cs="Google Sans" w:eastAsia="Google Sans" w:hAnsi="Google Sans"/>
            <w:color w:val="0000ee"/>
            <w:sz w:val="24"/>
            <w:szCs w:val="24"/>
            <w:u w:val="single"/>
            <w:rtl w:val="0"/>
          </w:rPr>
          <w:t xml:space="preserve">https://www.manpowergroup.cz/wp-content/uploads/2025/06/EXP-CIO-Outlook-White-Paper-2025-2-1.pdf</w:t>
        </w:r>
      </w:hyperlink>
      <w:r w:rsidDel="00000000" w:rsidR="00000000" w:rsidRPr="00000000">
        <w:rPr>
          <w:rtl w:val="0"/>
        </w:rPr>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State of the CIO Survey Findings &amp; Insights - Foundry,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https://foundryco.com/research/state-of-the-cio/</w:t>
        </w:r>
      </w:hyperlink>
      <w:r w:rsidDel="00000000" w:rsidR="00000000" w:rsidRPr="00000000">
        <w:rPr>
          <w:rtl w:val="0"/>
        </w:rPr>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EE (WebLogic) to Spring Boot (K8s) Migration Services - Modernization Intel,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https://softwaremodernizationservices.com/migrations/java-ee-to-spring-boot/</w:t>
        </w:r>
      </w:hyperlink>
      <w:r w:rsidDel="00000000" w:rsidR="00000000" w:rsidRPr="00000000">
        <w:rPr>
          <w:rtl w:val="0"/>
        </w:rPr>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(Use and Access) Act 2025: data protection and privacy ...,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https://www.gov.uk/guidance/data-use-and-access-act-2025-data-protection-and-privacy-changes</w:t>
        </w:r>
      </w:hyperlink>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in the Enterprise - 2026 AI report | Deloitte US,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https://www.deloitte.com/us/en/what-we-do/capabilities/applied-artificial-intelligence/content/state-of-ai-in-the-enterprise.html</w:t>
        </w:r>
      </w:hyperlink>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Forrester Total Economic Impact study: A 304% ROI within 3 years using Azure Arc,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https://azure.microsoft.com/en-us/blog/forrester-total-economic-impact-study-a-304-roi-within-3-years-using-azure-arc/</w:t>
        </w:r>
      </w:hyperlink>
      <w:r w:rsidDel="00000000" w:rsidR="00000000" w:rsidRPr="00000000">
        <w:rPr>
          <w:rtl w:val="0"/>
        </w:rPr>
      </w:r>
    </w:p>
    <w:p w:rsidR="00000000" w:rsidDel="00000000" w:rsidP="00000000" w:rsidRDefault="00000000" w:rsidRPr="00000000" w14:paraId="000001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 COBOL Mainframe Modernization - Sun Technologies,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https://www.suntechnologies.com/case-study/transitioning-a-banks-monolithic-cobol-mainframe-services-to-java-enabled-experiences/</w:t>
        </w:r>
      </w:hyperlink>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based code refactoring - World Journal of Advanced Engineering Technology and Sciences,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https://wjaets.com/sites/default/files/fulltext_pdf/WJAETS-2025-0594.pdf</w:t>
        </w:r>
      </w:hyperlink>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Legacy Code Refactoring: Implementation Guide,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https://www.augmentcode.com/learn/ai-powered-legacy-code-refactoring</w:t>
        </w:r>
      </w:hyperlink>
      <w:r w:rsidDel="00000000" w:rsidR="00000000" w:rsidRPr="00000000">
        <w:rPr>
          <w:rtl w:val="0"/>
        </w:rPr>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Code Refactoring? - IBM,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https://www.ibm.com/think/topics/ai-code-refactoring</w:t>
        </w:r>
      </w:hyperlink>
      <w:r w:rsidDel="00000000" w:rsidR="00000000" w:rsidRPr="00000000">
        <w:rPr>
          <w:rtl w:val="0"/>
        </w:rPr>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 AI Statistics &amp; Trends for 2025: The Ultimate Roundup - Fullview,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https://www.fullview.io/blog/ai-statistics</w:t>
        </w:r>
      </w:hyperlink>
      <w:r w:rsidDel="00000000" w:rsidR="00000000" w:rsidRPr="00000000">
        <w:rPr>
          <w:rtl w:val="0"/>
        </w:rPr>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Transformation Challenge Statistics — 50 Statistics Every Technology Leader Should Know in 2026 | Integrate.io,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https://www.integrate.io/blog/data-transformation-challenge-statistics/</w:t>
        </w:r>
      </w:hyperlink>
      <w:r w:rsidDel="00000000" w:rsidR="00000000" w:rsidRPr="00000000">
        <w:rPr>
          <w:rtl w:val="0"/>
        </w:rPr>
      </w:r>
    </w:p>
    <w:p w:rsidR="00000000" w:rsidDel="00000000" w:rsidP="00000000" w:rsidRDefault="00000000" w:rsidRPr="00000000" w14:paraId="000001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Learnings from COBOL modernization in the real world - Amazon AWS,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https://aws.amazon.com/blogs/machine-learning/learnings-from-cobol-modernization-in-the-real-world/</w:t>
        </w:r>
      </w:hyperlink>
      <w:r w:rsidDel="00000000" w:rsidR="00000000" w:rsidRPr="00000000">
        <w:rPr>
          <w:rtl w:val="0"/>
        </w:rPr>
      </w:r>
    </w:p>
    <w:p w:rsidR="00000000" w:rsidDel="00000000" w:rsidP="00000000" w:rsidRDefault="00000000" w:rsidRPr="00000000" w14:paraId="000001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COBOL Modernization: CIO Guide | Xenoss Blog,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https://xenoss.io/blog/cobol-modernization-cio-guide</w:t>
        </w:r>
      </w:hyperlink>
      <w:r w:rsidDel="00000000" w:rsidR="00000000" w:rsidRPr="00000000">
        <w:rPr>
          <w:rtl w:val="0"/>
        </w:rPr>
      </w:r>
    </w:p>
    <w:p w:rsidR="00000000" w:rsidDel="00000000" w:rsidP="00000000" w:rsidRDefault="00000000" w:rsidRPr="00000000" w14:paraId="000001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EE to Spring Boot Migration Strategy for 2026 - Legacyleap,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https://www.legacyleap.ai/blog/java-ee-to-spring-boot-migration/</w:t>
        </w:r>
      </w:hyperlink>
      <w:r w:rsidDel="00000000" w:rsidR="00000000" w:rsidRPr="00000000">
        <w:rPr>
          <w:rtl w:val="0"/>
        </w:rPr>
      </w:r>
    </w:p>
    <w:p w:rsidR="00000000" w:rsidDel="00000000" w:rsidP="00000000" w:rsidRDefault="00000000" w:rsidRPr="00000000" w14:paraId="000001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 Should Modernize Your Enterprise Applications with .NET 8 - Net Solutions,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https://www.netsolutions.com/insights/modernize-enterprise-apps-with-dotnet-8/</w:t>
        </w:r>
      </w:hyperlink>
      <w:r w:rsidDel="00000000" w:rsidR="00000000" w:rsidRPr="00000000">
        <w:rPr>
          <w:rtl w:val="0"/>
        </w:rPr>
      </w:r>
    </w:p>
    <w:p w:rsidR="00000000" w:rsidDel="00000000" w:rsidP="00000000" w:rsidRDefault="00000000" w:rsidRPr="00000000" w14:paraId="000001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Migrate from net 4.8 to net 8/10 : r/dotnet - Reddit,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https://www.reddit.com/r/dotnet/comments/1pfsr8k/migrate_from_net_48_to_net_810/</w:t>
        </w:r>
      </w:hyperlink>
      <w:r w:rsidDel="00000000" w:rsidR="00000000" w:rsidRPr="00000000">
        <w:rPr>
          <w:rtl w:val="0"/>
        </w:rPr>
      </w:r>
    </w:p>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.NET 4.x and JDK 8.x the "zombie" runtimes of enterprise software? - Reddit,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https://www.reddit.com/r/csharp/comments/1jvysd3/are_net_4x_and_jdk_8x_the_zombie_runtimes_of/</w:t>
        </w:r>
      </w:hyperlink>
      <w:r w:rsidDel="00000000" w:rsidR="00000000" w:rsidRPr="00000000">
        <w:rPr>
          <w:rtl w:val="0"/>
        </w:rPr>
      </w:r>
    </w:p>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EJB to Spring Boot Migration: Challenges &amp; Solutions | by Fiyas Zacharia | Medium,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https://medium.com/@fiyas-zacharia/ejb-to-spring-boot-migration-challenges-solutions-b4c18b0c0fec</w:t>
        </w:r>
      </w:hyperlink>
      <w:r w:rsidDel="00000000" w:rsidR="00000000" w:rsidRPr="00000000">
        <w:rPr>
          <w:rtl w:val="0"/>
        </w:rPr>
      </w:r>
    </w:p>
    <w:p w:rsidR="00000000" w:rsidDel="00000000" w:rsidP="00000000" w:rsidRDefault="00000000" w:rsidRPr="00000000" w14:paraId="000001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Sarcouncil Journal of Engineering and Computer Sciences Developing Scalable Web Applications with Java and J2EE in Cloud Environ,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https://sarcouncil.com/download-article/SJECS-52-2025-4.1-1-8.pdf</w:t>
        </w:r>
      </w:hyperlink>
      <w:r w:rsidDel="00000000" w:rsidR="00000000" w:rsidRPr="00000000">
        <w:rPr>
          <w:rtl w:val="0"/>
        </w:rPr>
      </w:r>
    </w:p>
    <w:p w:rsidR="00000000" w:rsidDel="00000000" w:rsidP="00000000" w:rsidRDefault="00000000" w:rsidRPr="00000000" w14:paraId="000001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Modernize Legacy Mainframes with Data Lake Integration,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https://www.in-com.com/blog/how-to-modernize-legacy-mainframes-with-data-lake-integration/</w:t>
        </w:r>
      </w:hyperlink>
      <w:r w:rsidDel="00000000" w:rsidR="00000000" w:rsidRPr="00000000">
        <w:rPr>
          <w:rtl w:val="0"/>
        </w:rPr>
      </w:r>
    </w:p>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(Use And Access) Act 2025 - Legislation.gov.uk,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https://www.legislation.gov.uk/ukpga/2025/18/notes/division/4/index.htm</w:t>
        </w:r>
      </w:hyperlink>
      <w:r w:rsidDel="00000000" w:rsidR="00000000" w:rsidRPr="00000000">
        <w:rPr>
          <w:rtl w:val="0"/>
        </w:rPr>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trends in AI adoption for enterprises in 2025 - Glean,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https://www.glean.com/perspectives/enterprise-insights-from-ai</w:t>
        </w:r>
      </w:hyperlink>
      <w:r w:rsidDel="00000000" w:rsidR="00000000" w:rsidRPr="00000000">
        <w:rPr>
          <w:rtl w:val="0"/>
        </w:rPr>
      </w:r>
    </w:p>
    <w:p w:rsidR="00000000" w:rsidDel="00000000" w:rsidP="00000000" w:rsidRDefault="00000000" w:rsidRPr="00000000" w14:paraId="000001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the Evolution of Technical Debt: Redefining the Challenge | Formtek Blog,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https://formtek.com/blog/ai-and-the-evolution-of-technical-debt-redefining-the-challenge/</w:t>
        </w:r>
      </w:hyperlink>
      <w:r w:rsidDel="00000000" w:rsidR="00000000" w:rsidRPr="00000000">
        <w:rPr>
          <w:rtl w:val="0"/>
        </w:rPr>
      </w:r>
    </w:p>
    <w:p w:rsidR="00000000" w:rsidDel="00000000" w:rsidP="00000000" w:rsidRDefault="00000000" w:rsidRPr="00000000" w14:paraId="000001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 Data (Use and Access) Act 2025: Update and New Compliance Challenges,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https://www.faegredrinker.com/en/insights/publications/2026/2/uk-data-use-and-access-act-2025-update-and-new-compliance-challenges</w:t>
        </w:r>
      </w:hyperlink>
      <w:r w:rsidDel="00000000" w:rsidR="00000000" w:rsidRPr="00000000">
        <w:rPr>
          <w:rtl w:val="0"/>
        </w:rPr>
      </w:r>
    </w:p>
    <w:p w:rsidR="00000000" w:rsidDel="00000000" w:rsidP="00000000" w:rsidRDefault="00000000" w:rsidRPr="00000000" w14:paraId="000001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UK GDPR and How to Achieve Compliance - Usercentrics,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https://usercentrics.com/knowledge-hub/uk-gdpr-compliance/</w:t>
        </w:r>
      </w:hyperlink>
      <w:r w:rsidDel="00000000" w:rsidR="00000000" w:rsidRPr="00000000">
        <w:rPr>
          <w:rtl w:val="0"/>
        </w:rPr>
      </w:r>
    </w:p>
    <w:p w:rsidR="00000000" w:rsidDel="00000000" w:rsidP="00000000" w:rsidRDefault="00000000" w:rsidRPr="00000000" w14:paraId="000001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IT Compliance 2025 Guide for UK Businesses - Micro Pro IT Support,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https://micropro.com/blog/the-complete-it-compliance-2025-guide-for-uk-businesses/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ugmentcode.com/learn/ai-powered-legacy-code-refactoring" TargetMode="External"/><Relationship Id="rId22" Type="http://schemas.openxmlformats.org/officeDocument/2006/relationships/hyperlink" Target="https://www.fullview.io/blog/ai-statistics" TargetMode="External"/><Relationship Id="rId21" Type="http://schemas.openxmlformats.org/officeDocument/2006/relationships/hyperlink" Target="https://www.ibm.com/think/topics/ai-code-refactoring" TargetMode="External"/><Relationship Id="rId24" Type="http://schemas.openxmlformats.org/officeDocument/2006/relationships/hyperlink" Target="https://aws.amazon.com/blogs/machine-learning/learnings-from-cobol-modernization-in-the-real-world/" TargetMode="External"/><Relationship Id="rId23" Type="http://schemas.openxmlformats.org/officeDocument/2006/relationships/hyperlink" Target="https://www.integrate.io/blog/data-transformation-challenge-statis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applied.com/blog/enterprise-ai-adoption-strategy-2025" TargetMode="External"/><Relationship Id="rId26" Type="http://schemas.openxmlformats.org/officeDocument/2006/relationships/hyperlink" Target="https://www.legacyleap.ai/blog/java-ee-to-spring-boot-migration/" TargetMode="External"/><Relationship Id="rId25" Type="http://schemas.openxmlformats.org/officeDocument/2006/relationships/hyperlink" Target="https://xenoss.io/blog/cobol-modernization-cio-guide" TargetMode="External"/><Relationship Id="rId28" Type="http://schemas.openxmlformats.org/officeDocument/2006/relationships/hyperlink" Target="https://www.reddit.com/r/dotnet/comments/1pfsr8k/migrate_from_net_48_to_net_810/" TargetMode="External"/><Relationship Id="rId27" Type="http://schemas.openxmlformats.org/officeDocument/2006/relationships/hyperlink" Target="https://www.netsolutions.com/insights/modernize-enterprise-apps-with-dotnet-8/" TargetMode="External"/><Relationship Id="rId5" Type="http://schemas.openxmlformats.org/officeDocument/2006/relationships/styles" Target="styles.xml"/><Relationship Id="rId6" Type="http://schemas.openxmlformats.org/officeDocument/2006/relationships/hyperlink" Target="https://radixweb.com/blog/application-modernization-statistics" TargetMode="External"/><Relationship Id="rId29" Type="http://schemas.openxmlformats.org/officeDocument/2006/relationships/hyperlink" Target="https://www.reddit.com/r/csharp/comments/1jvysd3/are_net_4x_and_jdk_8x_the_zombie_runtimes_of/" TargetMode="External"/><Relationship Id="rId7" Type="http://schemas.openxmlformats.org/officeDocument/2006/relationships/hyperlink" Target="https://devsu.com/blog/6-game-changing-tech-trends-shaping-2025-ai-cloud-" TargetMode="External"/><Relationship Id="rId8" Type="http://schemas.openxmlformats.org/officeDocument/2006/relationships/hyperlink" Target="https://www.evanta.com/resources/cio/infographic/2025-cio-leadership-perspectives" TargetMode="External"/><Relationship Id="rId31" Type="http://schemas.openxmlformats.org/officeDocument/2006/relationships/hyperlink" Target="https://sarcouncil.com/download-article/SJECS-52-2025-4.1-1-8.pdf" TargetMode="External"/><Relationship Id="rId30" Type="http://schemas.openxmlformats.org/officeDocument/2006/relationships/hyperlink" Target="https://medium.com/@fiyas-zacharia/ejb-to-spring-boot-migration-challenges-solutions-b4c18b0c0fec" TargetMode="External"/><Relationship Id="rId11" Type="http://schemas.openxmlformats.org/officeDocument/2006/relationships/hyperlink" Target="https://www.sonarsource.com/blog/the-inevitable-rise-of-poor-code-quality-in-ai-accelerated-codebases/" TargetMode="External"/><Relationship Id="rId33" Type="http://schemas.openxmlformats.org/officeDocument/2006/relationships/hyperlink" Target="https://www.legislation.gov.uk/ukpga/2025/18/notes/division/4/index.htm" TargetMode="External"/><Relationship Id="rId10" Type="http://schemas.openxmlformats.org/officeDocument/2006/relationships/hyperlink" Target="https://www.mckinsey.com/capabilities/tech-and-ai/our-insights/in-search-of-cloud-value-can-generative-ai-transform-cloud-roi" TargetMode="External"/><Relationship Id="rId32" Type="http://schemas.openxmlformats.org/officeDocument/2006/relationships/hyperlink" Target="https://www.in-com.com/blog/how-to-modernize-legacy-mainframes-with-data-lake-integration/" TargetMode="External"/><Relationship Id="rId13" Type="http://schemas.openxmlformats.org/officeDocument/2006/relationships/hyperlink" Target="https://foundryco.com/research/state-of-the-cio/" TargetMode="External"/><Relationship Id="rId35" Type="http://schemas.openxmlformats.org/officeDocument/2006/relationships/hyperlink" Target="https://formtek.com/blog/ai-and-the-evolution-of-technical-debt-redefining-the-challenge/" TargetMode="External"/><Relationship Id="rId12" Type="http://schemas.openxmlformats.org/officeDocument/2006/relationships/hyperlink" Target="https://www.manpowergroup.cz/wp-content/uploads/2025/06/EXP-CIO-Outlook-White-Paper-2025-2-1.pdf" TargetMode="External"/><Relationship Id="rId34" Type="http://schemas.openxmlformats.org/officeDocument/2006/relationships/hyperlink" Target="https://www.glean.com/perspectives/enterprise-insights-from-ai" TargetMode="External"/><Relationship Id="rId15" Type="http://schemas.openxmlformats.org/officeDocument/2006/relationships/hyperlink" Target="https://www.gov.uk/guidance/data-use-and-access-act-2025-data-protection-and-privacy-changes" TargetMode="External"/><Relationship Id="rId37" Type="http://schemas.openxmlformats.org/officeDocument/2006/relationships/hyperlink" Target="https://usercentrics.com/knowledge-hub/uk-gdpr-compliance/" TargetMode="External"/><Relationship Id="rId14" Type="http://schemas.openxmlformats.org/officeDocument/2006/relationships/hyperlink" Target="https://softwaremodernizationservices.com/migrations/java-ee-to-spring-boot/" TargetMode="External"/><Relationship Id="rId36" Type="http://schemas.openxmlformats.org/officeDocument/2006/relationships/hyperlink" Target="https://www.faegredrinker.com/en/insights/publications/2026/2/uk-data-use-and-access-act-2025-update-and-new-compliance-challenges" TargetMode="External"/><Relationship Id="rId17" Type="http://schemas.openxmlformats.org/officeDocument/2006/relationships/hyperlink" Target="https://azure.microsoft.com/en-us/blog/forrester-total-economic-impact-study-a-304-roi-within-3-years-using-azure-arc/" TargetMode="External"/><Relationship Id="rId16" Type="http://schemas.openxmlformats.org/officeDocument/2006/relationships/hyperlink" Target="https://www.deloitte.com/us/en/what-we-do/capabilities/applied-artificial-intelligence/content/state-of-ai-in-the-enterprise.html" TargetMode="External"/><Relationship Id="rId38" Type="http://schemas.openxmlformats.org/officeDocument/2006/relationships/hyperlink" Target="https://micropro.com/blog/the-complete-it-compliance-2025-guide-for-uk-businesses/" TargetMode="External"/><Relationship Id="rId19" Type="http://schemas.openxmlformats.org/officeDocument/2006/relationships/hyperlink" Target="https://wjaets.com/sites/default/files/fulltext_pdf/WJAETS-2025-0594.pdf" TargetMode="External"/><Relationship Id="rId18" Type="http://schemas.openxmlformats.org/officeDocument/2006/relationships/hyperlink" Target="https://www.suntechnologies.com/case-study/transitioning-a-banks-monolithic-cobol-mainframe-services-to-java-enabled-experie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