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28"/>
        </w:rPr>
        <w:t>Predicting Tax Refund or Tax Owed Outcomes Using Financial Activity Patterns</w:t>
      </w:r>
    </w:p>
    <w:p>
      <w:pPr>
        <w:jc w:val="center"/>
      </w:pPr>
      <w:r>
        <w:rPr>
          <w:rFonts w:ascii="Times New Roman" w:hAnsi="Times New Roman"/>
          <w:sz w:val="24"/>
        </w:rPr>
        <w:t>Final Project Q&amp;A</w:t>
      </w:r>
    </w:p>
    <w:p>
      <w:pPr>
        <w:jc w:val="center"/>
      </w:pPr>
      <w:r>
        <w:t>Adhilingam Adiswaran</w:t>
      </w:r>
    </w:p>
    <w:p>
      <w:pPr>
        <w:jc w:val="center"/>
      </w:pPr>
      <w:r>
        <w:t>Bellevue University</w:t>
      </w:r>
    </w:p>
    <w:p>
      <w:pPr>
        <w:jc w:val="center"/>
      </w:pPr>
      <w:r>
        <w:t>DSC 680</w:t>
      </w:r>
    </w:p>
    <w:p>
      <w:pPr>
        <w:jc w:val="center"/>
      </w:pPr>
      <w:r>
        <w:t>October 2026</w:t>
      </w:r>
    </w:p>
    <w:p>
      <w:r>
        <w:br w:type="page"/>
      </w:r>
    </w:p>
    <w:p>
      <w:r>
        <w:rPr>
          <w:b/>
        </w:rPr>
        <w:t>RQ1: Which financial and tax-related variables are most strongly associated with refund versus tax owed?</w:t>
      </w:r>
    </w:p>
    <w:p>
      <w:pPr>
        <w:ind w:firstLine="720"/>
      </w:pPr>
      <w:r>
        <w:t>The strongest predictor was tax_payments_to_liability, the ratio of federal withholding plus estimated payments to estimated tax liability. Random Forest permutation importance was approximately 0.110 for this feature, far above withholding_to_income (0.019) and federal_withholding (0.015). This indicates that the relationship between taxes already paid and estimated liability contains the clearest predictive signal in the synthetic experiment.</w:t>
      </w:r>
    </w:p>
    <w:p>
      <w:r>
        <w:rPr>
          <w:b/>
        </w:rPr>
        <w:t>RQ2: How accurately can supervised classification models predict the outcome?</w:t>
      </w:r>
    </w:p>
    <w:p>
      <w:pPr>
        <w:ind w:firstLine="720"/>
      </w:pPr>
      <w:r>
        <w:t>The models performed well on the held-out synthetic test set. Logistic Regression achieved 87.84% accuracy, 0.921 F1, and 0.945 ROC-AUC. Decision Tree achieved 85.20% accuracy, 0.901 F1, and 0.929 ROC-AUC. Random Forest achieved the highest accuracy at 90.16% and the highest F1 at 0.938, with ROC-AUC of 0.940. These results demonstrate strong discrimination in the generated data, but they should not be interpreted as expected performance on real taxpayers.</w:t>
      </w:r>
    </w:p>
    <w:p>
      <w:r>
        <w:rPr>
          <w:b/>
        </w:rPr>
        <w:t>RQ3: Does Random Forest materially improve predictive performance over Logistic Regression?</w:t>
      </w:r>
    </w:p>
    <w:p>
      <w:pPr>
        <w:ind w:firstLine="720"/>
      </w:pPr>
      <w:r>
        <w:t>Only partially. Random Forest improved accuracy from 87.84% to 90.16% and F1 from 0.921 to 0.938. However, Logistic Regression had the slightly higher ROC-AUC, 0.945 versus 0.940, and also had the highest five-fold mean ROC-AUC. Therefore, Random Forest is preferable when accuracy and F1 are prioritized, while Logistic Regression remains attractive when interpretability and ranking performance are important.</w:t>
      </w:r>
    </w:p>
    <w:p>
      <w:r>
        <w:rPr>
          <w:b/>
        </w:rPr>
        <w:t>RQ4: Does performance differ across income ranges or filing-status groups?</w:t>
      </w:r>
    </w:p>
    <w:p>
      <w:pPr>
        <w:ind w:firstLine="720"/>
      </w:pPr>
      <w:r>
        <w:t>Yes. Random Forest accuracy ranged from 84.08% for the $100,000-$200,000 group to 92.75% for records below $50,000. Filing-status accuracy ranged from 87.31% for Single to 93.22% for Head of Household. The $200,000+ group had only 56 test records and an unstable Refund recall estimate, showing why subgroup sample size must be considered with fairness metrics.</w:t>
      </w:r>
    </w:p>
    <w:p>
      <w:r>
        <w:rPr>
          <w:b/>
        </w:rPr>
        <w:t>Why did you use synthetic data instead of real taxpayer or bank records?</w:t>
      </w:r>
    </w:p>
    <w:p>
      <w:pPr>
        <w:ind w:firstLine="720"/>
      </w:pPr>
      <w:r>
        <w:t>Linked financial transactions and final tax outcomes are highly sensitive and are not readily available as a public dataset. Synthetic data allowed the project to demonstrate the complete data-science workflow while avoiding disclosure of names, account numbers, Social Security numbers, addresses, or real transactions.</w:t>
      </w:r>
    </w:p>
    <w:p>
      <w:r>
        <w:rPr>
          <w:b/>
        </w:rPr>
        <w:t>How did you make the synthetic records realistic enough to support analysis?</w:t>
      </w:r>
    </w:p>
    <w:p>
      <w:pPr>
        <w:ind w:firstLine="720"/>
      </w:pPr>
      <w:r>
        <w:t>The generated profiles used plausible ranges and relationships based on common tax concepts and public IRS Statistics of Income information. The design included income, filing status, dependents, deductions, credits, withholding, estimated payments, expenses, and savings behavior. A fixed random seed makes the experiment reproducible. Even so, synthetic realism is a limitation and does not replace external validation.</w:t>
      </w:r>
    </w:p>
    <w:p>
      <w:r>
        <w:rPr>
          <w:b/>
        </w:rPr>
        <w:t>How did you prevent target leakage?</w:t>
      </w:r>
    </w:p>
    <w:p>
      <w:pPr>
        <w:ind w:firstLine="720"/>
      </w:pPr>
      <w:r>
        <w:t>The predictor set excludes final refund amounts and final balance-due fields. The workflow uses variables intended to represent information that could be available before the final filing outcome. This makes the classification problem more realistic, although the payment-to-liability ratio is closely related to the synthetic target logic and therefore requires cautious interpretation.</w:t>
      </w:r>
    </w:p>
    <w:p>
      <w:r>
        <w:rPr>
          <w:b/>
        </w:rPr>
        <w:t>Which prediction error is more important?</w:t>
      </w:r>
    </w:p>
    <w:p>
      <w:pPr>
        <w:ind w:firstLine="720"/>
      </w:pPr>
      <w:r>
        <w:t>Predicting a Refund when Tax Owed is the more concerning error for an early-warning application because the user may fail to prepare cash for a tax payment. The Random Forest produced 55 such errors in the held-out test set. The opposite error may cause unnecessary caution, but it is less likely to create an unexpected payment obligation.</w:t>
      </w:r>
    </w:p>
    <w:p>
      <w:r>
        <w:rPr>
          <w:b/>
        </w:rPr>
        <w:t>What would be required before using the model with real customers?</w:t>
      </w:r>
    </w:p>
    <w:p>
      <w:pPr>
        <w:ind w:firstLine="720"/>
      </w:pPr>
      <w:r>
        <w:t>The model would need legally obtained and appropriately de-identified real-world data, external validation, tax-year-specific recalibration, privacy and access controls, subgroup fairness testing, probability calibration, ongoing performance monitoring, governance documentation, and clear disclosures that the result is an estimate rather than tax advice.</w:t>
      </w:r>
    </w:p>
    <w:p>
      <w:r>
        <w:rPr>
          <w:b/>
        </w:rPr>
        <w:t>How would you explain a prediction to a nontechnical user?</w:t>
      </w:r>
    </w:p>
    <w:p>
      <w:pPr>
        <w:ind w:firstLine="720"/>
      </w:pPr>
      <w:r>
        <w:t>The interface should use probability bands and plain-language contributing factors rather than a definitive statement. For example, it could say that current withholding and estimated payments suggest an elevated likelihood of owing additional tax and recommend reviewing withholding with the official IRS estimator or a qualified tax professional. It should never present the model output as an official tax determination.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