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Times New Roman" w:hAnsi="Times New Roman"/>
          <w:b/>
          <w:sz w:val="28"/>
        </w:rPr>
        <w:t>Predicting Tax Refund or Tax Owed Outcomes</w:t>
        <w:br/>
        <w:t>Using Financial Activity Patterns</w:t>
      </w:r>
    </w:p>
    <w:p>
      <w:pPr>
        <w:spacing w:before="1000"/>
        <w:jc w:val="center"/>
      </w:pPr>
      <w:r>
        <w:rPr>
          <w:b/>
          <w:sz w:val="24"/>
        </w:rPr>
        <w:t>Milestone 1 - Proposal</w:t>
      </w:r>
    </w:p>
    <w:p>
      <w:pPr>
        <w:jc w:val="center"/>
      </w:pPr>
      <w:r>
        <w:t>Adhilingam Adiswaran</w:t>
      </w:r>
    </w:p>
    <w:p>
      <w:pPr>
        <w:jc w:val="center"/>
      </w:pPr>
      <w:r>
        <w:t>Bellevue University</w:t>
      </w:r>
    </w:p>
    <w:p>
      <w:pPr>
        <w:jc w:val="center"/>
      </w:pPr>
      <w:r>
        <w:t>September 13, 2026</w:t>
      </w:r>
    </w:p>
    <w:p>
      <w:r>
        <w:br w:type="page"/>
      </w:r>
    </w:p>
    <w:p>
      <w:pPr>
        <w:pStyle w:val="Heading1"/>
      </w:pPr>
      <w:r>
        <w:t>Topic</w:t>
      </w:r>
    </w:p>
    <w:p>
      <w:r>
        <w:rPr>
          <w:b/>
        </w:rPr>
        <w:t xml:space="preserve">Project title: </w:t>
      </w:r>
      <w:r>
        <w:t xml:space="preserve">Predicting Tax Refund or Tax Owed Outcomes Using Financial Activity Patterns. </w:t>
      </w:r>
      <w:r>
        <w:t>This project will develop and compare predictive models that classify whether an individual is more likely to receive a federal income tax refund or owe additional federal tax based on financial and tax-related characteristics represented in a privacy-preserving synthetic dataset.</w:t>
      </w:r>
    </w:p>
    <w:p>
      <w:pPr>
        <w:pStyle w:val="Heading1"/>
      </w:pPr>
      <w:r>
        <w:t>Business Problem</w:t>
      </w:r>
    </w:p>
    <w:p>
      <w:r>
        <w:t>Many individuals do not know whether their withholding and estimated payments are aligned with their eventual federal tax liability until late in the tax year or until they prepare their return. An early, data-driven estimate of whether a taxpayer is trending toward a refund or a balance due could support better withholding decisions, cash-flow planning, and financial education. The Internal Revenue Service (IRS) explains that an estimated refund or amount owed depends on estimated tax liability compared with withholding and estimated tax payments, while liability itself depends on factors such as filing status, income, deductions, adjustments, and credits (Internal Revenue Service, n.d.-a).</w:t>
      </w:r>
    </w:p>
    <w:p>
      <w:r>
        <w:t>The goal of this project is not to provide tax advice or calculate an official tax return. Instead, it will evaluate whether common financial and tax-related indicators contain enough predictive information to classify a tax outcome and identify the variables that contribute most strongly to that classification.</w:t>
      </w:r>
    </w:p>
    <w:p>
      <w:r>
        <w:rPr>
          <w:b/>
        </w:rPr>
        <w:t>Research questions</w:t>
      </w:r>
    </w:p>
    <w:p>
      <w:pPr>
        <w:ind w:left="360"/>
      </w:pPr>
      <w:r>
        <w:t>RQ1: Which financial and tax-related variables are most strongly associated with receiving a federal tax refund versus owing additional federal tax?</w:t>
      </w:r>
    </w:p>
    <w:p>
      <w:pPr>
        <w:ind w:left="360"/>
      </w:pPr>
      <w:r>
        <w:t>RQ2: How accurately can supervised classification models predict whether a record falls into the refund or tax-owed category?</w:t>
      </w:r>
    </w:p>
    <w:p>
      <w:pPr>
        <w:ind w:left="360"/>
      </w:pPr>
      <w:r>
        <w:t>RQ3: Does a nonlinear model such as Random Forest provide materially better predictive performance than an interpretable baseline model such as Logistic Regression?</w:t>
      </w:r>
    </w:p>
    <w:p>
      <w:pPr>
        <w:ind w:left="360"/>
      </w:pPr>
      <w:r>
        <w:t>RQ4: Does model performance differ across income ranges or filing-status groups, indicating possible fairness or generalization concerns?</w:t>
      </w:r>
    </w:p>
    <w:p>
      <w:r>
        <w:rPr>
          <w:b/>
        </w:rPr>
        <w:t>Initial hypotheses</w:t>
      </w:r>
    </w:p>
    <w:p>
      <w:pPr>
        <w:ind w:left="360"/>
      </w:pPr>
      <w:r>
        <w:t>H1: Tax withholding relative to estimated tax liability will be the strongest predictor of refund-versus-owed status.</w:t>
      </w:r>
    </w:p>
    <w:p>
      <w:pPr>
        <w:ind w:left="360"/>
      </w:pPr>
      <w:r>
        <w:t>H2: Models that capture nonlinear relationships and interactions will outperform a simple linear classifier, although the improvement may come at the cost of interpretability.</w:t>
      </w:r>
    </w:p>
    <w:p>
      <w:pPr>
        <w:ind w:left="360"/>
      </w:pPr>
      <w:r>
        <w:t>H3: Prediction errors will not be distributed equally across all income and filing-status groups, making subgroup evaluation necessary.</w:t>
      </w:r>
    </w:p>
    <w:p>
      <w:pPr>
        <w:pStyle w:val="Heading1"/>
      </w:pPr>
      <w:r>
        <w:t>Datasets</w:t>
      </w:r>
    </w:p>
    <w:p>
      <w:r>
        <w:t>Because individual bank transactions and final federal tax-return outcomes are highly sensitive and are not ordinarily available as a linked public dataset, this project will use a privacy-preserving synthetic approach rather than collecting real personal banking records. The IRS Statistics of Income (SOI) program publishes aggregate individual income-tax statistics and has also developed public-use and synthetic-data approaches specifically to support research while reducing taxpayer re-identification risk (Internal Revenue Service, n.d.-b; Internal Revenue Service, n.d.-c).</w:t>
      </w:r>
    </w:p>
    <w:p>
      <w:r>
        <w:t>The project dataset will therefore consist of synthetic individual records generated to resemble plausible U.S. taxpayer financial profiles. Distributions and ranges will be calibrated using public IRS SOI tables and the logic documented by the IRS Tax Withholding Estimator. The target variable will be binary: Refund or Tax Owed. A record will be labeled from the relationship between estimated tax liability and taxes already paid through withholding and estimated payments. The synthetic design allows the project to demonstrate the predictive workflow without exposing personally identifiable information or claiming access to confidential tax records.</w:t>
      </w:r>
    </w:p>
    <w:p>
      <w:r>
        <w:t>Potential predictor variables will include annual wages and salary, other income, adjusted gross income, filing status, number of dependents, standard or itemized deduction indicator, tax credits, federal withholding, estimated tax payments, total annual expenses, savings rate, income-to-expense ratio, income consistency across months, and the proportion of income withheld for federal tax. Transaction-like monthly summaries may be generated from the annual profile so that features such as income volatility, recurring expenses, and savings behavior can also be tested.</w:t>
      </w:r>
    </w:p>
    <w:p>
      <w:r>
        <w:rPr>
          <w:b/>
        </w:rPr>
        <w:t>Primary public sources used to design and validate the synthetic data</w:t>
      </w:r>
    </w:p>
    <w:p>
      <w:pPr>
        <w:ind w:left="360"/>
      </w:pPr>
      <w:r>
        <w:t>IRS Statistics of Income individual income-tax tables, including selected income and tax items by adjusted gross income and filing status.</w:t>
      </w:r>
    </w:p>
    <w:p>
      <w:pPr>
        <w:ind w:left="360"/>
      </w:pPr>
      <w:r>
        <w:t>IRS Tax Withholding Estimator documentation describing the relationship among income, deductions, credits, withholding, estimated payments, tax liability, refunds, and balances due.</w:t>
      </w:r>
    </w:p>
    <w:p>
      <w:pPr>
        <w:ind w:left="360"/>
      </w:pPr>
      <w:r>
        <w:t>IRS documentation on individual public-use microdata and synthetic public-use data, which provides a model for balancing research utility with taxpayer privacy.</w:t>
      </w:r>
    </w:p>
    <w:p>
      <w:pPr>
        <w:pStyle w:val="Heading1"/>
      </w:pPr>
      <w:r>
        <w:t>Methods</w:t>
      </w:r>
    </w:p>
    <w:p>
      <w:r>
        <w:t>The analysis will begin with data-quality checks for missing values, impossible values, duplicated records, extreme outliers, and class imbalance. Exploratory data analysis will summarize the target distribution and examine the relationships between the outcome and major predictors using descriptive statistics, histograms, boxplots, correlation analysis, and grouped comparisons.</w:t>
      </w:r>
    </w:p>
    <w:p>
      <w:r>
        <w:t>Feature engineering will create financial ratios and behavioral indicators such as withholding-to-income ratio, estimated-payment-to-income ratio, savings rate, income-to-expense ratio, monthly income variability, recurring-expense share, and total tax payments relative to estimated liability. Categorical variables such as filing status will be encoded for modeling, and continuous variables will be standardized when required by the algorithm.</w:t>
      </w:r>
    </w:p>
    <w:p>
      <w:r>
        <w:t>Three supervised classification approaches are proposed: Logistic Regression as an interpretable baseline, Decision Tree as a rule-based nonlinear model, and Random Forest as an ensemble model capable of capturing more complex interactions. If time permits, gradient boosting may be tested as an extension. The data will be divided into training and test sets, with cross-validation on the training data for model selection and tuning.</w:t>
      </w:r>
    </w:p>
    <w:p>
      <w:r>
        <w:t>Model performance will be evaluated using accuracy, precision, recall, F1-score, ROC-AUC, and the confusion matrix. Because a false prediction could affect financial planning, evaluation will not rely on accuracy alone. Feature coefficients, feature importance, and, if appropriate, SHAP-based explanations will be used to understand what drives predictions. Performance will also be checked across income and filing-status subgroups to identify material disparities.</w:t>
      </w:r>
    </w:p>
    <w:p>
      <w:pPr>
        <w:pStyle w:val="Heading1"/>
      </w:pPr>
      <w:r>
        <w:t>Ethical Considerations</w:t>
      </w:r>
    </w:p>
    <w:p>
      <w:r>
        <w:t>This project involves financial and tax-related information, so privacy, fairness, transparency, and appropriate use are central concerns. The NIST AI Risk Management Framework emphasizes validity, reliability, transparency, privacy enhancement, and fairness as important characteristics of trustworthy AI systems (Tabassi, 2023). The initial ethical assessment is summarized below.</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fill="D9EAF7"/>
            <w:vAlign w:val="center"/>
            <w:tcMar>
              <w:top w:w="80" w:type="dxa"/>
              <w:start w:w="90" w:type="dxa"/>
              <w:bottom w:w="80" w:type="dxa"/>
              <w:end w:w="90" w:type="dxa"/>
            </w:tcMar>
          </w:tcPr>
          <w:p>
            <w:r>
              <w:rPr>
                <w:rFonts w:ascii="Times New Roman" w:hAnsi="Times New Roman"/>
                <w:b/>
                <w:sz w:val="20"/>
              </w:rPr>
              <w:t>Concern</w:t>
            </w:r>
          </w:p>
        </w:tc>
        <w:tc>
          <w:tcPr>
            <w:tcW w:type="dxa" w:w="2340"/>
            <w:shd w:fill="D9EAF7"/>
            <w:vAlign w:val="center"/>
            <w:tcMar>
              <w:top w:w="80" w:type="dxa"/>
              <w:start w:w="90" w:type="dxa"/>
              <w:bottom w:w="80" w:type="dxa"/>
              <w:end w:w="90" w:type="dxa"/>
            </w:tcMar>
          </w:tcPr>
          <w:p>
            <w:r>
              <w:rPr>
                <w:rFonts w:ascii="Times New Roman" w:hAnsi="Times New Roman"/>
                <w:b/>
                <w:sz w:val="20"/>
              </w:rPr>
              <w:t>Likelihood</w:t>
            </w:r>
          </w:p>
        </w:tc>
        <w:tc>
          <w:tcPr>
            <w:tcW w:type="dxa" w:w="2340"/>
            <w:shd w:fill="D9EAF7"/>
            <w:vAlign w:val="center"/>
            <w:tcMar>
              <w:top w:w="80" w:type="dxa"/>
              <w:start w:w="90" w:type="dxa"/>
              <w:bottom w:w="80" w:type="dxa"/>
              <w:end w:w="90" w:type="dxa"/>
            </w:tcMar>
          </w:tcPr>
          <w:p>
            <w:r>
              <w:rPr>
                <w:rFonts w:ascii="Times New Roman" w:hAnsi="Times New Roman"/>
                <w:b/>
                <w:sz w:val="20"/>
              </w:rPr>
              <w:t>Potential Impact</w:t>
            </w:r>
          </w:p>
        </w:tc>
        <w:tc>
          <w:tcPr>
            <w:tcW w:type="dxa" w:w="2340"/>
            <w:shd w:fill="D9EAF7"/>
            <w:vAlign w:val="center"/>
            <w:tcMar>
              <w:top w:w="80" w:type="dxa"/>
              <w:start w:w="90" w:type="dxa"/>
              <w:bottom w:w="80" w:type="dxa"/>
              <w:end w:w="90" w:type="dxa"/>
            </w:tcMar>
          </w:tcPr>
          <w:p>
            <w:r>
              <w:rPr>
                <w:rFonts w:ascii="Times New Roman" w:hAnsi="Times New Roman"/>
                <w:b/>
                <w:sz w:val="20"/>
              </w:rPr>
              <w:t>Initial Mitigation</w:t>
            </w:r>
          </w:p>
        </w:tc>
      </w:tr>
      <w:tr>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Exposure of sensitive financial or tax data</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High if real records were used; low with the proposed design</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Severe privacy harm, identity risk, or unauthorized disclosure</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Use synthetic records only; exclude names, account numbers, SSNs, addresses, and other direct identifiers; store only project data needed for analysis.</w:t>
            </w:r>
          </w:p>
        </w:tc>
      </w:tr>
      <w:tr>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Model bias across income or filing groups</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Medium</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Some groups could experience systematically worse predictions, reducing usefulness or creating unfair recommendations</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Evaluate metrics by subgroup; inspect error rates; avoid sensitive/proxy variables unless analytically justified; document disparities rather than hiding them.</w:t>
            </w:r>
          </w:p>
        </w:tc>
      </w:tr>
      <w:tr>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Incorrect prediction interpreted as tax advice</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Medium to high</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A user could make a poor withholding or budgeting decision based on an uncertain prediction</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Present the model as an educational/analytical prototype only; show probabilities and uncertainty; include a clear statement that official IRS guidance or a qualified tax professional should be used for tax decisions.</w:t>
            </w:r>
          </w:p>
        </w:tc>
      </w:tr>
      <w:tr>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Synthetic data not representative of real taxpayers</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Medium</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Results may look stronger or different than performance on real-world data</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Calibrate distributions against IRS statistics; conduct sensitivity tests; clearly label all synthetic assumptions; treat findings as methodological rather than population-level proof.</w:t>
            </w:r>
          </w:p>
        </w:tc>
      </w:tr>
      <w:tr>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Overreliance on complex model explanations</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Medium</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Feature importance may be mistaken for causation</w:t>
            </w:r>
          </w:p>
        </w:tc>
        <w:tc>
          <w:tcPr>
            <w:tcW w:type="dxa" w:w="2340"/>
            <w:vAlign w:val="top"/>
            <w:tcMar>
              <w:top w:w="80" w:type="dxa"/>
              <w:start w:w="90" w:type="dxa"/>
              <w:bottom w:w="80" w:type="dxa"/>
              <w:end w:w="90" w:type="dxa"/>
            </w:tcMar>
          </w:tcPr>
          <w:p>
            <w:pPr>
              <w:spacing w:line="240" w:lineRule="auto" w:after="40"/>
            </w:pPr>
            <w:r>
              <w:rPr>
                <w:rFonts w:ascii="Times New Roman" w:hAnsi="Times New Roman"/>
                <w:sz w:val="18"/>
              </w:rPr>
              <w:t>Use interpretable baseline models; distinguish association from causation; report limitations and compare explanation methods.</w:t>
            </w:r>
          </w:p>
        </w:tc>
      </w:tr>
    </w:tbl>
    <w:p>
      <w:pPr>
        <w:pStyle w:val="Heading1"/>
      </w:pPr>
      <w:r>
        <w:t>Challenges/Issues</w:t>
      </w:r>
    </w:p>
    <w:p>
      <w:r>
        <w:rPr>
          <w:b/>
        </w:rPr>
        <w:t xml:space="preserve">Data realism: </w:t>
      </w:r>
      <w:r>
        <w:t>The largest challenge is creating synthetic records that are realistic enough to support meaningful modeling without presenting them as actual taxpayer data. The distributions will need to be calibrated against authoritative IRS statistics and documented assumptions.</w:t>
      </w:r>
    </w:p>
    <w:p>
      <w:r>
        <w:rPr>
          <w:b/>
        </w:rPr>
        <w:t xml:space="preserve">Target leakage: </w:t>
      </w:r>
      <w:r>
        <w:t>Variables that directly encode the final balance, such as an already-calculated refund amount, could make the prediction trivial. These fields will be excluded from the predictor set. Inputs should represent information plausibly available before the final outcome is known.</w:t>
      </w:r>
    </w:p>
    <w:p>
      <w:r>
        <w:rPr>
          <w:b/>
        </w:rPr>
        <w:t xml:space="preserve">Changing tax rules: </w:t>
      </w:r>
      <w:r>
        <w:t>Federal tax brackets, deductions, credits, and other rules change over time. The project will define a specific tax-year assumption and avoid claiming that the model automatically applies to later tax years.</w:t>
      </w:r>
    </w:p>
    <w:p>
      <w:r>
        <w:rPr>
          <w:b/>
        </w:rPr>
        <w:t xml:space="preserve">Class imbalance: </w:t>
      </w:r>
      <w:r>
        <w:t>If synthetic records contain far more refunds than balances due, a model could appear accurate while performing poorly on the minority class. Stratified sampling, class weights, and precision/recall measures will be considered.</w:t>
      </w:r>
    </w:p>
    <w:p>
      <w:r>
        <w:rPr>
          <w:b/>
        </w:rPr>
        <w:t xml:space="preserve">Model interpretability: </w:t>
      </w:r>
      <w:r>
        <w:t>A highly accurate ensemble model may be harder to explain than Logistic Regression or a small Decision Tree. The project will compare predictive performance with interpretability rather than choosing a model on accuracy alone.</w:t>
      </w:r>
    </w:p>
    <w:p>
      <w:r>
        <w:rPr>
          <w:b/>
        </w:rPr>
        <w:t xml:space="preserve">Generalization: </w:t>
      </w:r>
      <w:r>
        <w:t>A model trained on synthetic profiles may not transfer directly to real taxpayers. This limitation will be stated explicitly in the final report and recommendations.</w:t>
      </w:r>
    </w:p>
    <w:p>
      <w:r>
        <w:rPr>
          <w:b/>
        </w:rPr>
        <w:t xml:space="preserve">Scope control: </w:t>
      </w:r>
      <w:r>
        <w:t>Tax law is complex. The model will focus on a simplified set of common income, withholding, deduction, credit, and financial-behavior variables instead of attempting to reproduce every federal tax rule.</w:t>
      </w:r>
    </w:p>
    <w:p>
      <w:pPr>
        <w:pStyle w:val="Heading1"/>
      </w:pPr>
      <w:r>
        <w:t>Expected Project Outcome</w:t>
      </w:r>
    </w:p>
    <w:p>
      <w:r>
        <w:t>The expected deliverable is a reproducible data-science workflow that creates or loads the synthetic dataset, performs exploratory analysis, engineers financial indicators, trains multiple classification models, compares their performance, examines subgroup results, and communicates the limitations of using synthetic financial data. The project should identify the predictors most associated with refund-versus-owed status and determine whether a more complex model provides enough improvement to justify reduced interpretability.</w:t>
      </w:r>
    </w:p>
    <w:p>
      <w:pPr>
        <w:pStyle w:val="Heading1"/>
      </w:pPr>
      <w:r>
        <w:t>References</w:t>
      </w:r>
    </w:p>
    <w:p>
      <w:pPr>
        <w:ind w:left="720" w:hanging="720"/>
      </w:pPr>
      <w:r>
        <w:t>Consumer Financial Protection Bureau. (2026). Privacy. https://www.consumerfinance.gov/privacy/</w:t>
      </w:r>
    </w:p>
    <w:p>
      <w:pPr>
        <w:ind w:left="720" w:hanging="720"/>
      </w:pPr>
      <w:r>
        <w:t>Internal Revenue Service. (n.d.-a). Tax Withholding Estimator FAQs. https://www.irs.gov/individuals/tax-withholding-estimator-faqs</w:t>
      </w:r>
    </w:p>
    <w:p>
      <w:pPr>
        <w:ind w:left="720" w:hanging="720"/>
      </w:pPr>
      <w:r>
        <w:t>Internal Revenue Service. (n.d.-b). SOI Tax Stats - Individual income tax returns complete report (Publication 1304). https://www.irs.gov/statistics/soi-tax-stats-individual-income-tax-returns-complete-report-publication-1304</w:t>
      </w:r>
    </w:p>
    <w:p>
      <w:pPr>
        <w:ind w:left="720" w:hanging="720"/>
      </w:pPr>
      <w:r>
        <w:t>Internal Revenue Service. (n.d.-c). SOI Tax Stats - Individual public-use microdata files. https://www.irs.gov/statistics/soi-tax-stats-individual-public-use-microdata-files</w:t>
      </w:r>
    </w:p>
    <w:p>
      <w:pPr>
        <w:ind w:left="720" w:hanging="720"/>
      </w:pPr>
      <w:r>
        <w:t>Internal Revenue Service. (2024). Statistics of Income - 2022 individual income tax returns, line item estimates (Publication 4801). https://www.irs.gov/pub/irs-pdf/p4801.pdf</w:t>
      </w:r>
    </w:p>
    <w:p>
      <w:pPr>
        <w:ind w:left="720" w:hanging="720"/>
      </w:pPr>
      <w:r>
        <w:t>Tabassi, E. (2023). Artificial Intelligence Risk Management Framework (AI RMF 1.0) (NIST AI 100-1). National Institute of Standards and Technology. https://doi.org/10.6028/NIST.AI.100-1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