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3" w:name="introduction"/>
      <w:bookmarkEnd w:id="23"/>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compares the techniques used by authors in the past, and the timeframe of their analysis.</w:t>
      </w:r>
    </w:p>
    <w:p>
      <w:pPr>
        <w:pStyle w:val="Heading2"/>
      </w:pPr>
      <w:bookmarkStart w:id="25" w:name="economic-voting-theory"/>
      <w:bookmarkEnd w:id="25"/>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proven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6"/>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7"/>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sets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28"/>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and per capita income are the ones that stick out specifically in the context of this paper.</w:t>
      </w:r>
      <w:r>
        <w:t xml:space="preserve"> </w:t>
      </w:r>
      <w:r>
        <w:rPr>
          <w:i/>
        </w:rPr>
        <w:t xml:space="preserve">more on justifying unemployment</w:t>
      </w:r>
      <w:r>
        <w:t xml:space="preserve"> </w:t>
      </w:r>
      <w:r>
        <w:rPr>
          <w:i/>
        </w:rPr>
        <w:t xml:space="preserve">per capita income</w:t>
      </w:r>
      <w:r>
        <w:t xml:space="preserve"> </w:t>
      </w:r>
      <w:r>
        <w:rPr>
          <w:i/>
        </w:rPr>
        <w:t xml:space="preserve">rep vote share</w:t>
      </w:r>
    </w:p>
    <w:p>
      <w:pPr>
        <w:pStyle w:val="BodyText"/>
      </w:pPr>
      <w:r>
        <w:t xml:space="preserve">The third question by Abrams will be discussed under the fourth section of the literature review.</w:t>
      </w:r>
    </w:p>
    <w:p>
      <w:pPr>
        <w:pStyle w:val="Heading2"/>
      </w:pPr>
      <w:bookmarkStart w:id="29" w:name="macro-level-analysis-vs-regional-analysis-a-case-for-counties"/>
      <w:bookmarkEnd w:id="29"/>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0"/>
      </w:r>
      <w:r>
        <w:t xml:space="preserve"> </w:t>
      </w:r>
      <w:r>
        <w:t xml:space="preserve">and Owens and Wade (1988)</w:t>
      </w:r>
      <w:r>
        <w:rPr>
          <w:rStyle w:val="FootnoteReference"/>
        </w:rPr>
        <w:footnoteReference w:id="31"/>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2"/>
      </w:r>
      <w:r>
        <w:t xml:space="preserve"> </w:t>
      </w:r>
      <w:r>
        <w:t xml:space="preserve">has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w:t>
      </w:r>
      <w:r>
        <w:t xml:space="preserve"> </w:t>
      </w:r>
      <w:r>
        <w:rPr>
          <w:i/>
        </w:rPr>
        <w:t xml:space="preserve">describe in own words what disaggregation means</w:t>
      </w:r>
      <w:r>
        <w:t xml:space="preserve"> </w:t>
      </w:r>
      <w:r>
        <w:t xml:space="preserve">(</w:t>
      </w:r>
      <w:r>
        <w:rPr>
          <w:b/>
        </w:rPr>
        <w:t xml:space="preserve">???</w:t>
      </w:r>
      <w:r>
        <w:t xml:space="preserve">)</w:t>
      </w:r>
      <w:r>
        <w:t xml:space="preserve"> </w:t>
      </w:r>
      <w:r>
        <w:t xml:space="preserve">provide further evidence through a separate study of the 1992 U.S. Presidential election underlining the significance of state-level economic conditions in the defeat of George W. Bush. While these studies do not make any claims on the county-level, they do provide the basis to further disaggregate the economic-conditions variable at a more lower geographical level and study the resulting impact. Following up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w:t>
      </w:r>
      <w:r>
        <w:t xml:space="preserve"> </w:t>
      </w:r>
      <w:r>
        <w:rPr>
          <w:i/>
        </w:rPr>
        <w:t xml:space="preserve">describe in own words</w:t>
      </w:r>
      <w:r>
        <w:t xml:space="preserve"> </w:t>
      </w:r>
      <w:r>
        <w:t xml:space="preserve">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much more complex and much less tangible.</w:t>
      </w:r>
    </w:p>
    <w:p>
      <w:pPr>
        <w:pStyle w:val="BodyText"/>
      </w:pP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election results from the past (1992 to 2012) and then carry a separate analysis with the same variables for years 2012 and 2016 to capture the highly touted pecualiarity of the 2016 election. This type of two-faceted county-level analysis will first test the hypothesis with the assumption that the Republican candidate is a generic Republican and second test the hypothesis if Trump is a generic Republican based on how the 2016 model compares to the model from previous years.</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change position of this para in this section</w:t>
      </w:r>
    </w:p>
    <w:p>
      <w:pPr>
        <w:pStyle w:val="Heading2"/>
      </w:pPr>
      <w:bookmarkStart w:id="33" w:name="political-and-demographic-factors"/>
      <w:bookmarkEnd w:id="33"/>
      <w:r>
        <w:t xml:space="preserve">Political and Demographic Factors: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to be red, blue, or swing for a specific reason - the fact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The purpose of this paper is not to verify or repudiate the party identification theory but to simply control for it in order to achieve the best estimates of the effects of economic indicators. The operationalization of party ID as a control can be done in several ways but the one that stands out it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voters are strongly tied to a particular party), the effect of the government's performance (which can be seen as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rPr>
          <w:i/>
        </w:rPr>
        <w:t xml:space="preserve">many say lagged DV is not good: shit!!!</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Although, this paper will analyze economic voting from the persepective of the Republican party and not from the incumbent party, it is nonetheless to control of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4"/>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helps the incumbent party or candidate and if it is doing bad it hurts them.</w:t>
      </w:r>
    </w:p>
    <w:p>
      <w:pPr>
        <w:pStyle w:val="Heading2"/>
      </w:pPr>
      <w:bookmarkStart w:id="35" w:name="timeframe-technique-and-other-peculiarities"/>
      <w:bookmarkEnd w:id="35"/>
      <w:r>
        <w:t xml:space="preserve">Timeframe, technique, and other peculiarities:</w:t>
      </w:r>
    </w:p>
    <w:p>
      <w:pPr>
        <w:pStyle w:val="FirstParagraph"/>
      </w:pPr>
      <w:r>
        <w:rPr>
          <w:i/>
        </w:rPr>
        <w:t xml:space="preserve">goes under part4</w:t>
      </w:r>
      <w:r>
        <w:t xml:space="preserve"> </w:t>
      </w:r>
      <w:r>
        <w:t xml:space="preserve">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rPr>
          <w:i/>
        </w:rPr>
        <w:t xml:space="preserve">why separate study for 2016. forecasts failed, etc.</w:t>
      </w:r>
      <w:r>
        <w:t xml:space="preserve"> </w:t>
      </w:r>
      <w:r>
        <w:rPr>
          <w:i/>
        </w:rPr>
        <w:t xml:space="preserve">what was the turnout find out</w:t>
      </w:r>
      <w:r>
        <w:t xml:space="preserve"> </w:t>
      </w:r>
    </w:p>
    <w:p>
      <w:pPr>
        <w:pStyle w:val="Heading1"/>
      </w:pPr>
      <w:bookmarkStart w:id="36" w:name="background"/>
      <w:bookmarkEnd w:id="36"/>
      <w:r>
        <w:t xml:space="preserve">Background:</w:t>
      </w:r>
    </w:p>
    <w:p>
      <w:pPr>
        <w:pStyle w:val="Heading2"/>
      </w:pPr>
      <w:bookmarkStart w:id="37" w:name="us-election-peculiarities"/>
      <w:bookmarkEnd w:id="37"/>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BodyText"/>
      </w:pPr>
    </w:p>
    <w:p>
      <w:pPr>
        <w:pStyle w:val="Heading1"/>
      </w:pPr>
      <w:bookmarkStart w:id="38" w:name="methodology"/>
      <w:bookmarkEnd w:id="38"/>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change in Republican voteshare from 2012 to 2016.</w:t>
      </w:r>
    </w:p>
    <w:p>
      <w:pPr>
        <w:pStyle w:val="Heading2"/>
      </w:pPr>
      <w:bookmarkStart w:id="39" w:name="part-i"/>
      <w:bookmarkEnd w:id="39"/>
      <w:r>
        <w:t xml:space="preserve">Part I:</w:t>
      </w:r>
    </w:p>
    <w:p>
      <w:pPr>
        <w:pStyle w:val="Heading3"/>
      </w:pPr>
      <w:bookmarkStart w:id="40" w:name="model-specification"/>
      <w:bookmarkEnd w:id="40"/>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Depending on the type of economic variable, its effect on the Presidential two-party vote share of the Republican party can be different. A rise in unemployment rate will have a negative impact on Republican vote share, since voters identify the Democratic party as the one more capable for tackling the issue of unemployment and for providing welfare and other benefits caused by the rise in unemployment. On the other hand, a rise in Per capita income should have a positive impact on Republican vote share because of the economic benefits through reduced taxation for rich that the party is known for</w:t>
      </w:r>
      <w:r>
        <w:t xml:space="preserve"> </w:t>
      </w:r>
      <w:r>
        <w:rPr>
          <w:i/>
        </w:rPr>
        <w:t xml:space="preserve">rephrase in better way</w:t>
      </w:r>
    </w:p>
    <w:p>
      <w:pPr>
        <w:pStyle w:val="Heading3"/>
      </w:pPr>
      <w:bookmarkStart w:id="41" w:name="regression-equation"/>
      <w:bookmarkEnd w:id="41"/>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2</m:t>
              </m:r>
            </m:sub>
          </m:sSub>
          <m:r>
            <m:t>(</m:t>
          </m:r>
          <m:r>
            <m:t>p</m:t>
          </m:r>
          <m:r>
            <m:t>c</m:t>
          </m:r>
          <m:r>
            <m:t>i</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2" w:name="dependent-variable"/>
      <w:bookmarkEnd w:id="42"/>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43" w:name="independent-variables"/>
      <w:bookmarkEnd w:id="43"/>
      <w:r>
        <w:t xml:space="preserve">Independent Variables:</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BodyText"/>
      </w:pPr>
      <m:oMath>
        <m:r>
          <m:t>p</m:t>
        </m:r>
        <m:r>
          <m:t>c</m:t>
        </m:r>
        <m:r>
          <m:t>i</m:t>
        </m:r>
        <m:r>
          <m:t>_</m:t>
        </m:r>
        <m:r>
          <m:t>g</m:t>
        </m:r>
        <m:r>
          <m:t>r</m:t>
        </m:r>
        <m:sSub>
          <m:e>
            <m:r>
              <m:t>o</m:t>
            </m:r>
          </m:e>
          <m:sub>
            <m:r>
              <m:t>i</m:t>
            </m:r>
            <m:r>
              <m:t>,</m:t>
            </m:r>
            <m:r>
              <m:t>t</m:t>
            </m:r>
          </m:sub>
        </m:sSub>
      </m:oMath>
      <w:r>
        <w:t xml:space="preserve">: The second independent variable, is the growth in per capita income for county (i) between election year (t) and the year before (t-1). It is calculated using the same method as the growth in unemployment rate.</w:t>
      </w:r>
      <w:r>
        <w:t xml:space="preserve"> </w:t>
      </w:r>
      <w:r>
        <w:rPr>
          <w:i/>
        </w:rPr>
        <w:t xml:space="preserve">justify the usage</w:t>
      </w:r>
      <w:r>
        <w:t xml:space="preserve"> </w:t>
      </w:r>
      <w:r>
        <w:t xml:space="preserve">and</w:t>
      </w:r>
      <w:r>
        <w:t xml:space="preserve"> </w:t>
      </w:r>
      <w:r>
        <w:rPr>
          <w:i/>
        </w:rPr>
        <w:t xml:space="preserve">cite</w:t>
      </w:r>
    </w:p>
    <w:p>
      <w:pPr>
        <w:pStyle w:val="BodyText"/>
      </w:pPr>
      <w:r>
        <w:rPr>
          <w:i/>
        </w:rPr>
        <w:t xml:space="preserve">collinearity between these two variables</w:t>
      </w:r>
      <w:r>
        <w:t xml:space="preserve"> </w:t>
      </w:r>
      <w:r>
        <w:t xml:space="preserve">and</w:t>
      </w:r>
      <w:r>
        <w:t xml:space="preserve"> </w:t>
      </w:r>
      <w:r>
        <w:rPr>
          <w:i/>
        </w:rPr>
        <w:t xml:space="preserve">justify the usage of both two together</w:t>
      </w:r>
      <w:r>
        <w:t xml:space="preserve"> </w:t>
      </w:r>
      <w:r>
        <w:t xml:space="preserve">and</w:t>
      </w:r>
      <w:r>
        <w:t xml:space="preserve"> </w:t>
      </w:r>
      <w:r>
        <w:rPr>
          <w:i/>
        </w:rPr>
        <w:t xml:space="preserve">list some other ones that they replace, for example unemployment substitutes output growth, etc.</w:t>
      </w:r>
    </w:p>
    <w:p>
      <w:pPr>
        <w:pStyle w:val="Heading3"/>
      </w:pPr>
      <w:bookmarkStart w:id="44" w:name="control-variables"/>
      <w:bookmarkEnd w:id="44"/>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sSub>
          <m:e>
            <m:r>
              <m:t>p</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r>
        <w:t xml:space="preserve"> </w:t>
      </w:r>
      <w:r>
        <w:rPr>
          <w:i/>
        </w:rPr>
        <w:t xml:space="preserve">was any age group chosen since the data is on all age groups</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sSub>
          <m:e>
            <m:r>
              <m:t>l</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50 percent or more people living in rural areas as a rural country and less than 50 percent of people living in rural areas as a urban county. 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45" w:name="estimation-technique"/>
      <w:bookmarkEnd w:id="45"/>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explains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46" w:name="part-ii"/>
      <w:bookmarkEnd w:id="46"/>
      <w:r>
        <w:t xml:space="preserve">Part II:</w:t>
      </w:r>
    </w:p>
    <w:p>
      <w:pPr>
        <w:pStyle w:val="Heading3"/>
      </w:pPr>
      <w:bookmarkStart w:id="47" w:name="model-specification-1"/>
      <w:bookmarkEnd w:id="47"/>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48" w:name="research-equation"/>
      <w:bookmarkEnd w:id="48"/>
      <w:r>
        <w:t xml:space="preserve">Research Equation:</w:t>
      </w:r>
    </w:p>
    <w:p>
      <w:pPr>
        <w:pStyle w:val="FirstParagraph"/>
      </w:pPr>
      <m:oMathPara>
        <m:oMathParaPr>
          <m:jc m:val="center"/>
        </m:oMathParaPr>
        <m:oMath>
          <m:r>
            <m:t>r</m:t>
          </m:r>
          <m:r>
            <m:t>e</m:t>
          </m:r>
          <m:r>
            <m:t>p</m:t>
          </m:r>
          <m:r>
            <m:t>.</m:t>
          </m:r>
          <m:r>
            <m:t>s</m:t>
          </m:r>
          <m:r>
            <m:t>h</m:t>
          </m:r>
          <m:r>
            <m:t>a</m:t>
          </m:r>
          <m:r>
            <m:t>r</m:t>
          </m:r>
          <m:r>
            <m:t>e</m:t>
          </m:r>
          <m:r>
            <m:t>.</m:t>
          </m:r>
          <m:r>
            <m:t>g</m:t>
          </m:r>
          <m:r>
            <m:t>r</m:t>
          </m:r>
          <m:r>
            <m:t>o</m:t>
          </m:r>
          <m:r>
            <m:t>=</m:t>
          </m:r>
          <m:r>
            <m:t>α</m:t>
          </m:r>
          <m:r>
            <m:t>+</m:t>
          </m:r>
          <m:sSub>
            <m:e>
              <m:r>
                <m:t>β</m:t>
              </m:r>
            </m:e>
            <m:sub>
              <m:r>
                <m:t>1</m:t>
              </m:r>
            </m:sub>
          </m:sSub>
          <m:r>
            <m:t>(</m:t>
          </m:r>
          <m:r>
            <m:t>u</m:t>
          </m:r>
          <m:r>
            <m:t>n</m:t>
          </m:r>
          <m:r>
            <m:t>e</m:t>
          </m:r>
          <m:r>
            <m:t>m</m:t>
          </m:r>
          <m:r>
            <m:t>p</m:t>
          </m:r>
          <m:r>
            <m:t>_</m:t>
          </m:r>
          <m:r>
            <m:t>g</m:t>
          </m:r>
          <m:r>
            <m:t>r</m:t>
          </m:r>
          <m:r>
            <m:t>o</m:t>
          </m:r>
          <m:r>
            <m:t>)</m:t>
          </m:r>
          <m:r>
            <m:t>+</m:t>
          </m:r>
          <m:sSub>
            <m:e>
              <m:r>
                <m:t>β</m:t>
              </m:r>
            </m:e>
            <m:sub>
              <m:r>
                <m:t>2</m:t>
              </m:r>
            </m:sub>
          </m:sSub>
          <m:r>
            <m:t>(</m:t>
          </m:r>
          <m:r>
            <m:t>p</m:t>
          </m:r>
          <m:r>
            <m:t>c</m:t>
          </m:r>
          <m:r>
            <m:t>i</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9" w:name="dependent-variable-1"/>
      <w:bookmarkEnd w:id="49"/>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50" w:name="independent-variables-1"/>
      <w:bookmarkEnd w:id="50"/>
      <w:r>
        <w:t xml:space="preserve">Independent Variables:</w:t>
      </w:r>
    </w:p>
    <w:p>
      <w:pPr>
        <w:pStyle w:val="FirstParagraph"/>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BodyText"/>
      </w:pPr>
      <m:oMath>
        <m:r>
          <m:t>p</m:t>
        </m:r>
        <m:r>
          <m:t>c</m:t>
        </m:r>
        <m:r>
          <m:t>i</m:t>
        </m:r>
        <m:r>
          <m:t>_</m:t>
        </m:r>
        <m:r>
          <m:t>g</m:t>
        </m:r>
        <m:r>
          <m:t>r</m:t>
        </m:r>
        <m:r>
          <m:t>o</m:t>
        </m:r>
      </m:oMath>
      <w:r>
        <w:t xml:space="preserve">: The second independent variable is the growth in per capita income for each county between 2015 and 2012. It is calculated using the same method as the growth in unemployment rate and with similar limitation in terms of the data for 2016. A positive value means that the per capita income in 2015 was greater than in 2012.</w:t>
      </w:r>
    </w:p>
    <w:p>
      <w:pPr>
        <w:pStyle w:val="BodyText"/>
      </w:pPr>
      <w:r>
        <w:rPr>
          <w:i/>
        </w:rPr>
        <w:t xml:space="preserve">collinearity between these two variables</w:t>
      </w:r>
    </w:p>
    <w:p>
      <w:pPr>
        <w:pStyle w:val="Heading3"/>
      </w:pPr>
      <w:bookmarkStart w:id="51" w:name="control-variables-1"/>
      <w:bookmarkEnd w:id="51"/>
      <w:r>
        <w:t xml:space="preserve">Control Variables:</w:t>
      </w:r>
    </w:p>
    <w:p>
      <w:pPr>
        <w:pStyle w:val="FirstParagraph"/>
      </w:pPr>
      <m:oMath>
        <m:r>
          <m:t>p</m:t>
        </m:r>
        <m:r>
          <m:t>o</m:t>
        </m:r>
        <m:r>
          <m:t>p</m:t>
        </m:r>
      </m:oMath>
      <w:r>
        <w:t xml:space="preserve">: The population of a county in 2015 is used as a demographic control variable. Like in the previous model, this variable is introduced to control for the size of the counties.</w:t>
      </w:r>
    </w:p>
    <w:p>
      <w:pPr>
        <w:pStyle w:val="BodyText"/>
      </w:pPr>
      <m:oMath>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BodyText"/>
      </w:pPr>
      <m:oMath>
        <m:r>
          <m:t>w</m:t>
        </m:r>
        <m:r>
          <m:t>h</m:t>
        </m:r>
        <m:r>
          <m:t>i</m:t>
        </m:r>
        <m:r>
          <m:t>t</m:t>
        </m:r>
        <m:r>
          <m:t>e</m:t>
        </m:r>
        <m:r>
          <m:t>.</m:t>
        </m:r>
        <m:r>
          <m:t>p</m:t>
        </m:r>
        <m:r>
          <m:t>e</m:t>
        </m:r>
        <m:r>
          <m:t>r</m:t>
        </m:r>
        <m:r>
          <m:t>c</m:t>
        </m:r>
        <m:r>
          <m:t>e</m:t>
        </m:r>
        <m:r>
          <m:t>n</m:t>
        </m:r>
        <m:r>
          <m:t>t</m:t>
        </m:r>
      </m:oMath>
      <w:r>
        <w:t xml:space="preserve">: The percentage of white people (both male and female combined) in a county in 2015 is used as another demographic control variable. Like in the previous model, this variable is introduced to control for race and the percentage is calculated by dividing the total number of white people in a county in 2015 by the total population of that county for the same year.</w:t>
      </w:r>
      <w:r>
        <w:t xml:space="preserve"> </w:t>
      </w:r>
      <w:r>
        <w:rPr>
          <w:i/>
        </w:rPr>
        <w:t xml:space="preserve">why white is used instead of black</w:t>
      </w:r>
    </w:p>
    <w:p>
      <w:pPr>
        <w:pStyle w:val="BodyText"/>
      </w:pPr>
      <m:oMath>
        <m:r>
          <m:t>r</m:t>
        </m:r>
        <m:r>
          <m:t>u</m:t>
        </m:r>
        <m:r>
          <m:t>r</m:t>
        </m:r>
        <m:r>
          <m:t>a</m:t>
        </m:r>
        <m:r>
          <m:t>l</m:t>
        </m:r>
      </m:oMath>
      <w:r>
        <w:t xml:space="preserve">: A dummy variable for rural is used, similar to the one in the model in Part I. A value of 1 means a county is rural and a value of 0 means it is urban.</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Heading3"/>
      </w:pPr>
      <w:bookmarkStart w:id="52" w:name="estimation-technique-1"/>
      <w:bookmarkEnd w:id="52"/>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53" w:name="data-sources-and-cleaning"/>
      <w:bookmarkEnd w:id="53"/>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54"/>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56"/>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58"/>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60"/>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w:t>
      </w:r>
      <w:r>
        <w:rPr>
          <w:rStyle w:val="FootnoteReference"/>
        </w:rPr>
        <w:footnoteReference w:id="62"/>
      </w:r>
      <w:r>
        <w:t xml:space="preserve"> </w:t>
      </w:r>
      <w:r>
        <w:t xml:space="preserve">The race data that included the number of whites in each county between 1992 to 2015 was obtained from the database of the National Cancer Institute.</w:t>
      </w:r>
      <w:r>
        <w:rPr>
          <w:rStyle w:val="FootnoteReference"/>
        </w:rPr>
        <w:footnoteReference w:id="64"/>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 There are a total of 3142 counties (or county-equivalents) in the United States. However, due to inconsistent nomenclature of counties and county-equivalents, and the matching problem it created since many counties have been reshaped over the years, some selected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remember if we do logit, we will do it for 3086 counties and if we do ols we will do it for 3112 counties</w:t>
      </w:r>
    </w:p>
    <w:p>
      <w:pPr>
        <w:pStyle w:val="BodyText"/>
      </w:pPr>
    </w:p>
    <w:p>
      <w:pPr>
        <w:pStyle w:val="Heading1"/>
      </w:pPr>
      <w:bookmarkStart w:id="66" w:name="analysis"/>
      <w:bookmarkEnd w:id="66"/>
      <w:r>
        <w:t xml:space="preserve">Analysis:</w:t>
      </w:r>
    </w:p>
    <w:p>
      <w:pPr>
        <w:pStyle w:val="Heading2"/>
      </w:pPr>
      <w:bookmarkStart w:id="67" w:name="first-question"/>
      <w:bookmarkEnd w:id="67"/>
      <w:r>
        <w:t xml:space="preserve">First Question:</w:t>
      </w:r>
    </w:p>
    <w:p>
      <w:pPr>
        <w:pStyle w:val="Heading2"/>
      </w:pPr>
      <w:bookmarkStart w:id="68" w:name="second-question"/>
      <w:bookmarkEnd w:id="68"/>
      <w:r>
        <w:t xml:space="preserve">Second Question:</w:t>
      </w:r>
    </w:p>
    <w:p>
      <w:pPr>
        <w:pStyle w:val="Heading2"/>
      </w:pPr>
      <w:bookmarkStart w:id="69" w:name="testing-the-hypothesis"/>
      <w:bookmarkEnd w:id="69"/>
      <w:r>
        <w:t xml:space="preserve">Testing the hypothesis:</w:t>
      </w:r>
    </w:p>
    <w:p>
      <w:pPr>
        <w:pStyle w:val="FirstParagraph"/>
      </w:pPr>
      <w:r>
        <w:rPr>
          <w:i/>
        </w:rPr>
        <w:t xml:space="preserve">Put the hand made table from the Lit. review note book</w:t>
      </w:r>
    </w:p>
    <w:p>
      <w:pPr>
        <w:pStyle w:val="BodyText"/>
      </w:pPr>
    </w:p>
    <w:p>
      <w:pPr>
        <w:pStyle w:val="Heading1"/>
      </w:pPr>
      <w:bookmarkStart w:id="70" w:name="conclusion"/>
      <w:bookmarkEnd w:id="70"/>
      <w:r>
        <w:t xml:space="preserve">Conclusion:</w:t>
      </w:r>
    </w:p>
    <w:p>
      <w:pPr>
        <w:pStyle w:val="FirstParagraph"/>
      </w:pPr>
    </w:p>
    <w:p>
      <w:pPr>
        <w:pStyle w:val="Heading1"/>
      </w:pPr>
      <w:bookmarkStart w:id="71" w:name="limitations-and-further-research"/>
      <w:bookmarkEnd w:id="71"/>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72" w:name="appendix"/>
      <w:bookmarkEnd w:id="72"/>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73" w:name="rough-notes"/>
      <w:bookmarkEnd w:id="73"/>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74" w:name="bibliography"/>
      <w:bookmarkEnd w:id="74"/>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7">
    <w:p>
      <w:pPr>
        <w:pStyle w:val="FootnoteText"/>
      </w:pPr>
      <w:r>
        <w:rPr>
          <w:rStyle w:val="FootnoteReference"/>
        </w:rPr>
        <w:footnoteRef/>
      </w:r>
      <w:r>
        <w:t xml:space="preserve"> </w:t>
      </w:r>
      <w:r>
        <w:t xml:space="preserve">_List all the authors like how it is done in the first one.</w:t>
      </w:r>
    </w:p>
  </w:footnote>
  <w:footnote w:id="28">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0">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1">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2">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4">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54">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55">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56">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57">
        <w:r>
          <w:rPr>
            <w:rStyle w:val="Hyperlink"/>
          </w:rPr>
          <w:t xml:space="preserve">https://www.bls.gov/lau/#cntyaa</w:t>
        </w:r>
      </w:hyperlink>
      <w:r>
        <w:t xml:space="preserve">).</w:t>
      </w:r>
    </w:p>
  </w:footnote>
  <w:footnote w:id="58">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59">
        <w:r>
          <w:rPr>
            <w:rStyle w:val="Hyperlink"/>
          </w:rPr>
          <w:t xml:space="preserve">https://www.bea.gov/API/signup/index.cfm</w:t>
        </w:r>
      </w:hyperlink>
      <w:r>
        <w:t xml:space="preserve">).</w:t>
      </w:r>
    </w:p>
  </w:footnote>
  <w:footnote w:id="60">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61">
        <w:r>
          <w:rPr>
            <w:rStyle w:val="Hyperlink"/>
          </w:rPr>
          <w:t xml:space="preserve">https://www2.census.gov/geo/docs/reference/ua/County_Rural_Lookup.xlsx</w:t>
        </w:r>
      </w:hyperlink>
      <w:r>
        <w:t xml:space="preserve">).</w:t>
      </w:r>
    </w:p>
  </w:footnote>
  <w:footnote w:id="62">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63">
        <w:r>
          <w:rPr>
            <w:rStyle w:val="Hyperlink"/>
          </w:rPr>
          <w:t xml:space="preserve">https://factfinder.census.gov/faces/tableservices/jsf/pages/productview.xhtml?pid=ACS_15_5YR_B15003&amp;prodType=table</w:t>
        </w:r>
      </w:hyperlink>
      <w:r>
        <w:t xml:space="preserve">).</w:t>
      </w:r>
    </w:p>
  </w:footnote>
  <w:footnote w:id="64">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65">
        <w:r>
          <w:rPr>
            <w:rStyle w:val="Hyperlink"/>
          </w:rPr>
          <w:t xml:space="preserve">https://seer.cancer.gov/popdata/download.html</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fd0b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4d4a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3" Target="https://factfinder.census.gov/faces/tableservices/jsf/pages/productview.xhtml?pid=ACS_15_5YR_B15003&amp;prodType=table" TargetMode="External" /><Relationship Type="http://schemas.openxmlformats.org/officeDocument/2006/relationships/hyperlink" Id="rId55" Target="https://github.com/cilekagaci/us-presidential-county-1960-2016" TargetMode="External" /><Relationship Type="http://schemas.openxmlformats.org/officeDocument/2006/relationships/hyperlink" Id="rId65" Target="https://seer.cancer.gov/popdata/download.html" TargetMode="External" /><Relationship Type="http://schemas.openxmlformats.org/officeDocument/2006/relationships/hyperlink" Id="rId59" Target="https://www.bea.gov/API/signup/index.cfm" TargetMode="External" /><Relationship Type="http://schemas.openxmlformats.org/officeDocument/2006/relationships/hyperlink" Id="rId57" Target="https://www.bls.gov/lau/#cntyaa" TargetMode="External" /><Relationship Type="http://schemas.openxmlformats.org/officeDocument/2006/relationships/hyperlink" Id="rId61"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63" Target="https://factfinder.census.gov/faces/tableservices/jsf/pages/productview.xhtml?pid=ACS_15_5YR_B15003&amp;prodType=table" TargetMode="External" /><Relationship Type="http://schemas.openxmlformats.org/officeDocument/2006/relationships/hyperlink" Id="rId55" Target="https://github.com/cilekagaci/us-presidential-county-1960-2016" TargetMode="External" /><Relationship Type="http://schemas.openxmlformats.org/officeDocument/2006/relationships/hyperlink" Id="rId65" Target="https://seer.cancer.gov/popdata/download.html" TargetMode="External" /><Relationship Type="http://schemas.openxmlformats.org/officeDocument/2006/relationships/hyperlink" Id="rId59" Target="https://www.bea.gov/API/signup/index.cfm" TargetMode="External" /><Relationship Type="http://schemas.openxmlformats.org/officeDocument/2006/relationships/hyperlink" Id="rId57" Target="https://www.bls.gov/lau/#cntyaa" TargetMode="External" /><Relationship Type="http://schemas.openxmlformats.org/officeDocument/2006/relationships/hyperlink" Id="rId61"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2017-04-17T21:31:04Z</dcterms:created>
  <dcterms:modified xsi:type="dcterms:W3CDTF">2017-04-17T21:31:04Z</dcterms:modified>
</cp:coreProperties>
</file>