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 The fact that wages for the poor have stagnated for many years could explain the frustration among voters and hence its expression through their votes.</w:t>
      </w:r>
      <w:r>
        <w:rPr>
          <w:rStyle w:val="FootnoteReference"/>
        </w:rPr>
        <w:footnoteReference w:id="42"/>
      </w:r>
      <w:r>
        <w:t xml:space="preserve"> </w:t>
      </w:r>
      <w:r>
        <w:rPr>
          <w:i/>
        </w:rPr>
        <w:t xml:space="preserve">why does he use natural log</w:t>
      </w:r>
    </w:p>
    <w:p>
      <w:pPr>
        <w:pStyle w:val="BodyText"/>
      </w:pPr>
      <w:r>
        <w:t xml:space="preserve">The third theory is the "inequality theory," 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44"/>
      </w:r>
      <w:r>
        <w:t xml:space="preserve"> </w:t>
      </w:r>
      <w:r>
        <w:t xml:space="preserve">Schneider-Petsinger (2016)</w:t>
      </w:r>
      <w:r>
        <w:rPr>
          <w:rStyle w:val="FootnoteReference"/>
        </w:rPr>
        <w:footnoteReference w:id="46"/>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 states were more likely to vote for him.</w:t>
      </w:r>
      <w:r>
        <w:rPr>
          <w:rStyle w:val="FootnoteReference"/>
        </w:rPr>
        <w:footnoteReference w:id="48"/>
      </w:r>
      <w:r>
        <w:t xml:space="preserve"> </w:t>
      </w:r>
      <w:r>
        <w:t xml:space="preserve">Their analysis and results provided with the necessary motivation to test the findings at a county-level.</w:t>
      </w:r>
    </w:p>
    <w:p>
      <w:pPr>
        <w:pStyle w:val="BodyText"/>
      </w:pPr>
      <w:r>
        <w:t xml:space="preserve">The fourth and one of the most important theories is non-economic in nature. I call this the "education theory"</w:t>
      </w:r>
      <w:r>
        <w:rPr>
          <w:rStyle w:val="FootnoteReference"/>
        </w:rPr>
        <w:footnoteReference w:id="50"/>
      </w:r>
      <w:r>
        <w:t xml:space="preserve"> </w:t>
      </w:r>
      <w:r>
        <w:t xml:space="preserve">and it is claims that the election outcome was influenced by difference in education level among the voters. The education theory indirectly also validates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51"/>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53"/>
      </w:r>
    </w:p>
    <w:p>
      <w:pPr>
        <w:pStyle w:val="Heading2"/>
      </w:pPr>
      <w:bookmarkStart w:id="55" w:name="timeframe-technique-and-other-peculiarities"/>
      <w:bookmarkEnd w:id="55"/>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56" w:name="methodology"/>
      <w:bookmarkEnd w:id="56"/>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Republican voteshare of 2016 that is not explained by the model in the first part. These two researches are carried out in three steps:</w:t>
      </w:r>
    </w:p>
    <w:p>
      <w:pPr>
        <w:pStyle w:val="BodyText"/>
      </w:pPr>
      <w:r>
        <w:rPr>
          <w:i/>
        </w:rPr>
        <w:t xml:space="preserve">Diagram</w:t>
      </w:r>
    </w:p>
    <w:p>
      <w:pPr>
        <w:pStyle w:val="Heading2"/>
      </w:pPr>
      <w:bookmarkStart w:id="57" w:name="step-i"/>
      <w:bookmarkEnd w:id="57"/>
      <w:r>
        <w:t xml:space="preserve">Step I:</w:t>
      </w:r>
    </w:p>
    <w:p>
      <w:pPr>
        <w:pStyle w:val="Heading3"/>
      </w:pPr>
      <w:bookmarkStart w:id="58" w:name="model-specification"/>
      <w:bookmarkEnd w:id="58"/>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caused by the rise in unemployment.</w:t>
      </w:r>
    </w:p>
    <w:p>
      <w:pPr>
        <w:pStyle w:val="Heading3"/>
      </w:pPr>
      <w:bookmarkStart w:id="59" w:name="regression-equation"/>
      <w:bookmarkEnd w:id="59"/>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0" w:name="dependent-variable"/>
      <w:bookmarkEnd w:id="60"/>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61" w:name="independent-variable"/>
      <w:bookmarkEnd w:id="61"/>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Heading3"/>
      </w:pPr>
      <w:bookmarkStart w:id="62" w:name="control-variables"/>
      <w:bookmarkEnd w:id="62"/>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r>
        <w:t xml:space="preserve"> </w:t>
      </w:r>
      <w:r>
        <w:rPr>
          <w:i/>
        </w:rPr>
        <w:t xml:space="preserve">was any age group chosen since the data is on all age groups</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r>
          <m:t>l</m:t>
        </m:r>
        <m:r>
          <m:t>.</m:t>
        </m:r>
        <m:r>
          <m:t>p</m:t>
        </m:r>
        <m:r>
          <m:t>e</m:t>
        </m:r>
        <m:r>
          <m:t>r</m:t>
        </m:r>
        <m:r>
          <m:t>c</m:t>
        </m:r>
        <m:r>
          <m:t>e</m:t>
        </m:r>
        <m:r>
          <m:t>n</m:t>
        </m:r>
        <m:sSub>
          <m:e>
            <m:r>
              <m:t>t</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50 percent or more people living in rural areas as a rural country and less than 50 percent of people living in rural areas as a urban county. 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63" w:name="estimation-technique"/>
      <w:bookmarkEnd w:id="63"/>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64" w:name="step-ii"/>
      <w:bookmarkEnd w:id="64"/>
      <w:r>
        <w:t xml:space="preserve">Step II:</w:t>
      </w:r>
    </w:p>
    <w:p>
      <w:pPr>
        <w:pStyle w:val="FirstParagraph"/>
      </w:pPr>
      <w:r>
        <w:rPr>
          <w:i/>
        </w:rPr>
        <w:t xml:space="preserve">Forecasting</w:t>
      </w:r>
    </w:p>
    <w:p>
      <w:pPr>
        <w:pStyle w:val="Heading2"/>
      </w:pPr>
      <w:bookmarkStart w:id="65" w:name="step-iii"/>
      <w:bookmarkEnd w:id="65"/>
      <w:r>
        <w:t xml:space="preserve">Step III:</w:t>
      </w:r>
    </w:p>
    <w:p>
      <w:pPr>
        <w:pStyle w:val="Heading3"/>
      </w:pPr>
      <w:bookmarkStart w:id="66" w:name="model-specification-1"/>
      <w:bookmarkEnd w:id="66"/>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67" w:name="research-equation"/>
      <w:bookmarkEnd w:id="67"/>
      <w:r>
        <w:t xml:space="preserve">Research Equation:</w:t>
      </w:r>
    </w:p>
    <w:p>
      <w:pPr>
        <w:pStyle w:val="FirstParagraph"/>
      </w:pPr>
      <m:oMathPara>
        <m:oMathParaPr>
          <m:jc m:val="center"/>
        </m:oMathParaPr>
        <m:oMath>
          <m:r>
            <m:t>r</m:t>
          </m:r>
          <m:r>
            <m:t>e</m:t>
          </m:r>
          <m:r>
            <m:t>s</m:t>
          </m:r>
          <m:r>
            <m:t>i</m:t>
          </m:r>
          <m:r>
            <m:t>d</m:t>
          </m:r>
          <m:r>
            <m:t>u</m:t>
          </m:r>
          <m:r>
            <m:t>a</m:t>
          </m:r>
          <m:r>
            <m:t>l</m:t>
          </m:r>
          <m:r>
            <m:t>=</m:t>
          </m:r>
          <m:r>
            <m:t>α</m:t>
          </m:r>
          <m:r>
            <m:t>+</m:t>
          </m:r>
          <m:sSub>
            <m:e>
              <m:r>
                <m:t>β</m:t>
              </m:r>
            </m:e>
            <m:sub>
              <m:r>
                <m:t>1</m:t>
              </m:r>
            </m:sub>
          </m:sSub>
          <m:r>
            <m:t>(</m:t>
          </m:r>
          <m:r>
            <m:t>u</m:t>
          </m:r>
          <m:r>
            <m:t>n</m:t>
          </m:r>
          <m:r>
            <m:t>e</m:t>
          </m:r>
          <m:r>
            <m:t>m</m:t>
          </m:r>
          <m:r>
            <m:t>p</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8" w:name="dependent-variable-1"/>
      <w:bookmarkEnd w:id="68"/>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69" w:name="independent-variables"/>
      <w:bookmarkEnd w:id="69"/>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Heading3"/>
      </w:pPr>
      <w:bookmarkStart w:id="70" w:name="control-variables-1"/>
      <w:bookmarkEnd w:id="70"/>
      <w:r>
        <w:t xml:space="preserve">Control Variables:</w:t>
      </w:r>
    </w:p>
    <w:p>
      <w:pPr>
        <w:pStyle w:val="FirstParagraph"/>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71" w:name="estimation-technique-1"/>
      <w:bookmarkEnd w:id="71"/>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72" w:name="data-sources-and-cleaning"/>
      <w:bookmarkEnd w:id="72"/>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73"/>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75"/>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77"/>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79"/>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81"/>
      </w:r>
      <w:r>
        <w:t xml:space="preserve"> </w:t>
      </w:r>
      <w:r>
        <w:t xml:space="preserve">The race data that included the number of whites in each county between 1992 to 2015 was obtained from the database of the National Cancer Institute.</w:t>
      </w:r>
      <w:r>
        <w:rPr>
          <w:rStyle w:val="FootnoteReference"/>
        </w:rPr>
        <w:footnoteReference w:id="83"/>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85" w:name="result-and-analysis"/>
      <w:bookmarkEnd w:id="85"/>
      <w:r>
        <w:t xml:space="preserve">Result and Analysis:</w:t>
      </w:r>
    </w:p>
    <w:p>
      <w:pPr>
        <w:pStyle w:val="Heading2"/>
      </w:pPr>
      <w:bookmarkStart w:id="86" w:name="first-part-descriptive-and-inferential"/>
      <w:bookmarkEnd w:id="86"/>
      <w:r>
        <w:t xml:space="preserve">First Part: Descriptive and Inferential</w:t>
      </w:r>
    </w:p>
    <w:p>
      <w:pPr>
        <w:pStyle w:val="Heading2"/>
      </w:pPr>
      <w:bookmarkStart w:id="87" w:name="second-part-descriptive-and-inferential"/>
      <w:bookmarkEnd w:id="87"/>
      <w:r>
        <w:t xml:space="preserve">Second Part: Descriptive and Inferential</w:t>
      </w:r>
    </w:p>
    <w:p>
      <w:pPr>
        <w:pStyle w:val="Heading2"/>
      </w:pPr>
      <w:bookmarkStart w:id="88" w:name="third-part-descriptive-and-inferential"/>
      <w:bookmarkEnd w:id="88"/>
      <w:r>
        <w:t xml:space="preserve">Third Part: Descriptive and Inferential</w:t>
      </w:r>
    </w:p>
    <w:p>
      <w:pPr>
        <w:pStyle w:val="FirstParagraph"/>
      </w:pPr>
      <w:r>
        <w:rPr>
          <w:i/>
        </w:rPr>
        <w:t xml:space="preserve">Put the hand made table from the Lit. review note book</w:t>
      </w:r>
    </w:p>
    <w:p>
      <w:pPr>
        <w:pStyle w:val="BodyText"/>
      </w:pPr>
    </w:p>
    <w:p>
      <w:pPr>
        <w:pStyle w:val="Heading1"/>
      </w:pPr>
      <w:bookmarkStart w:id="89" w:name="conclusion"/>
      <w:bookmarkEnd w:id="89"/>
      <w:r>
        <w:t xml:space="preserve">Conclusion:</w:t>
      </w:r>
    </w:p>
    <w:p>
      <w:pPr>
        <w:pStyle w:val="FirstParagraph"/>
      </w:pPr>
    </w:p>
    <w:p>
      <w:pPr>
        <w:pStyle w:val="Heading1"/>
      </w:pPr>
      <w:bookmarkStart w:id="90" w:name="limitations-and-further-research"/>
      <w:bookmarkEnd w:id="90"/>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91" w:name="appendix"/>
      <w:bookmarkEnd w:id="91"/>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92" w:name="rough-notes"/>
      <w:bookmarkEnd w:id="92"/>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93" w:name="bibliography"/>
      <w:bookmarkEnd w:id="93"/>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http://money.cnn.com/2016/12/22/news/economy/us-inequality-worse/</w:t>
        </w:r>
      </w:hyperlink>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http://www.independent.co.uk/news/business/news/wealth-gap-global-income-inequality-brexit-donald-trump-victory-threat-a7521286.html</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http://www.realclearworld.com/articles/2016/10/18/inequality_defines_the_american_election_112094.html</w:t>
        </w:r>
      </w:hyperlink>
    </w:p>
  </w:footnote>
  <w:footnote w:id="48">
    <w:p>
      <w:pPr>
        <w:pStyle w:val="FootnoteText"/>
      </w:pPr>
      <w:r>
        <w:rPr>
          <w:rStyle w:val="FootnoteReference"/>
        </w:rPr>
        <w:footnoteRef/>
      </w:r>
      <w:r>
        <w:t xml:space="preserve"> </w:t>
      </w:r>
      <w:r>
        <w:t xml:space="preserve">Source:</w:t>
      </w:r>
      <w:r>
        <w:t xml:space="preserve"> </w:t>
      </w:r>
      <w:hyperlink r:id="rId49">
        <w:r>
          <w:rPr>
            <w:rStyle w:val="Hyperlink"/>
          </w:rPr>
          <w:t xml:space="preserve">http://bruegel.org/2016/11/income-inequality-boosted-trump-vote/</w:t>
        </w:r>
      </w:hyperlink>
    </w:p>
  </w:footnote>
  <w:footnote w:id="5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51">
    <w:p>
      <w:pPr>
        <w:pStyle w:val="FootnoteText"/>
      </w:pPr>
      <w:r>
        <w:rPr>
          <w:rStyle w:val="FootnoteReference"/>
        </w:rPr>
        <w:footnoteRef/>
      </w:r>
      <w:r>
        <w:t xml:space="preserve"> </w:t>
      </w:r>
      <w:r>
        <w:t xml:space="preserve">Source:</w:t>
      </w:r>
      <w:r>
        <w:t xml:space="preserve"> </w:t>
      </w:r>
      <w:hyperlink r:id="rId52">
        <w:r>
          <w:rPr>
            <w:rStyle w:val="Hyperlink"/>
          </w:rPr>
          <w:t xml:space="preserve">http://fivethirtyeight.com/features/education-not-income-predicted-who-would-vote-for-trump/</w:t>
        </w:r>
      </w:hyperlink>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https://www.brookings.edu/blog/fixgov/2016/11/18/educational-rift-in-2016-election/</w:t>
        </w:r>
      </w:hyperlink>
    </w:p>
  </w:footnote>
  <w:footnote w:id="73">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74">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75">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76">
        <w:r>
          <w:rPr>
            <w:rStyle w:val="Hyperlink"/>
          </w:rPr>
          <w:t xml:space="preserve">https://www.bls.gov/lau/#cntyaa</w:t>
        </w:r>
      </w:hyperlink>
      <w:r>
        <w:t xml:space="preserve">).</w:t>
      </w:r>
    </w:p>
  </w:footnote>
  <w:footnote w:id="77">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8">
        <w:r>
          <w:rPr>
            <w:rStyle w:val="Hyperlink"/>
          </w:rPr>
          <w:t xml:space="preserve">https://www.bea.gov/API/signup/index.cfm</w:t>
        </w:r>
      </w:hyperlink>
      <w:r>
        <w:t xml:space="preserve">).</w:t>
      </w:r>
    </w:p>
  </w:footnote>
  <w:footnote w:id="79">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80">
        <w:r>
          <w:rPr>
            <w:rStyle w:val="Hyperlink"/>
          </w:rPr>
          <w:t xml:space="preserve">https://www2.census.gov/geo/docs/reference/ua/County_Rural_Lookup.xlsx</w:t>
        </w:r>
      </w:hyperlink>
      <w:r>
        <w:t xml:space="preserve">).</w:t>
      </w:r>
    </w:p>
  </w:footnote>
  <w:footnote w:id="81">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82">
        <w:r>
          <w:rPr>
            <w:rStyle w:val="Hyperlink"/>
          </w:rPr>
          <w:t xml:space="preserve">https://factfinder.census.gov/faces/tableservices/jsf/pages/productview.xhtml?pid=ACS_15_5YR_B15003&amp;prodType=table</w:t>
        </w:r>
      </w:hyperlink>
      <w:r>
        <w:t xml:space="preserve">).</w:t>
      </w:r>
    </w:p>
  </w:footnote>
  <w:footnote w:id="83">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84">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6f26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6bb0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2" Target="https://factfinder.census.gov/faces/tableservices/jsf/pages/productview.xhtml?pid=ACS_15_5YR_B15003&amp;prodType=table" TargetMode="External" /><Relationship Type="http://schemas.openxmlformats.org/officeDocument/2006/relationships/hyperlink" Id="rId74" Target="https://github.com/cilekagaci/us-presidential-county-1960-2016" TargetMode="External" /><Relationship Type="http://schemas.openxmlformats.org/officeDocument/2006/relationships/hyperlink" Id="rId84" Target="https://seer.cancer.gov/popdata/download.html" TargetMode="External" /><Relationship Type="http://schemas.openxmlformats.org/officeDocument/2006/relationships/hyperlink" Id="rId78"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6"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80"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2" Target="https://factfinder.census.gov/faces/tableservices/jsf/pages/productview.xhtml?pid=ACS_15_5YR_B15003&amp;prodType=table" TargetMode="External" /><Relationship Type="http://schemas.openxmlformats.org/officeDocument/2006/relationships/hyperlink" Id="rId74" Target="https://github.com/cilekagaci/us-presidential-county-1960-2016" TargetMode="External" /><Relationship Type="http://schemas.openxmlformats.org/officeDocument/2006/relationships/hyperlink" Id="rId84" Target="https://seer.cancer.gov/popdata/download.html" TargetMode="External" /><Relationship Type="http://schemas.openxmlformats.org/officeDocument/2006/relationships/hyperlink" Id="rId78"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6"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80"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2017-04-22T18:23:57Z</dcterms:created>
  <dcterms:modified xsi:type="dcterms:W3CDTF">2017-04-22T18:23:57Z</dcterms:modified>
</cp:coreProperties>
</file>