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56"/>
        </w:rPr>
        <w:t>FoodFlow AI — Annual Sustainability Report 2025</w:t>
      </w:r>
    </w:p>
    <w:p>
      <w:r>
        <w:rPr>
          <w:rFonts w:ascii="Calibri" w:hAnsi="Calibri"/>
          <w:i/>
          <w:color w:val="666666"/>
          <w:sz w:val="24"/>
        </w:rPr>
        <w:t>AI-Powered Food Waste Reduction Platform | Demand Prediction • Distribution Optimization • Carbon Impact Tracking | Report Generated: February 2026</w:t>
      </w:r>
    </w:p>
    <w:p>
      <w:pPr>
        <w:pStyle w:val="Heading2"/>
        <w:pBdr>
          <w:bottom w:val="single" w:sz="4" w:space="0" w:color="000000"/>
        </w:pBdr>
      </w:pPr>
      <w:r>
        <w:rPr>
          <w:rFonts w:ascii="Calibri" w:hAnsi="Calibri"/>
          <w:b/>
        </w:rPr>
        <w:t>1. Executive Summary</w:t>
      </w:r>
    </w:p>
    <w:p>
      <w:r>
        <w:rPr>
          <w:rFonts w:ascii="Calibri" w:hAnsi="Calibri"/>
          <w:sz w:val="22"/>
        </w:rPr>
        <w:t>In 2025, FoodFlow AI managed 15 stores with 148 products from 20 suppliers, processing 202,340 transactions and achieving $25.28 million in total revenue ($69,258 average daily). Total food sold reached 7,916,383 kg across a full year of operations (January 1 – December 31, 2025). The platform's waste tracking system identified 912,132 kg of food waste (10.33% waste rate), costing $1,632,679 in lost value. Average daily waste was 2,499 kg. The AI ensemble demand forecaster (Prophet + XGBoost) achieved MAE of 6.72 and MAPE of 18.9%, enabling proactive inventory management. The waste cascade optimizer redirected 1,633 kg of surplus food through 186 actions, saving 7,583 kg of CO₂ emissions and $1,849 in costs. Route optimization consolidated food redistribution deliveries into efficient multi-stop routes using OR-Tools VRP, covering 50.1 km across 6 stops.</w:t>
      </w:r>
    </w:p>
    <w:p>
      <w:pPr>
        <w:pStyle w:val="Heading3"/>
      </w:pPr>
      <w:r>
        <w:rPr>
          <w:rFonts w:ascii="Calibri" w:hAnsi="Calibri"/>
          <w:b/>
        </w:rPr>
        <w:t>Key Performance Indicators</w:t>
      </w:r>
    </w:p>
    <w:tbl>
      <w:tblPr>
        <w:tblStyle w:val="TableGrid"/>
        <w:tblW w:type="auto" w:w="0"/>
        <w:tblLook w:firstColumn="1" w:firstRow="1" w:lastColumn="0" w:lastRow="0" w:noHBand="0" w:noVBand="1" w:val="04A0"/>
      </w:tblPr>
      <w:tblGrid>
        <w:gridCol w:w="4320"/>
        <w:gridCol w:w="4320"/>
      </w:tblGrid>
      <w:tr>
        <w:tc>
          <w:tcPr>
            <w:tcW w:type="dxa" w:w="4320"/>
            <w:shd w:val="clear" w:color="auto" w:fill="FFFFFF"/>
          </w:tcPr>
          <w:p>
            <w:r>
              <w:rPr>
                <w:b/>
                <w:color w:val="FFFFFF"/>
              </w:rPr>
              <w:t>Metric</w:t>
            </w:r>
          </w:p>
        </w:tc>
        <w:tc>
          <w:tcPr>
            <w:tcW w:type="dxa" w:w="4320"/>
            <w:shd w:val="clear" w:color="auto" w:fill="FFFFFF"/>
          </w:tcPr>
          <w:p>
            <w:r>
              <w:rPr>
                <w:b/>
                <w:color w:val="FFFFFF"/>
              </w:rPr>
              <w:t>Value</w:t>
            </w:r>
          </w:p>
        </w:tc>
      </w:tr>
      <w:tr>
        <w:tc>
          <w:tcPr>
            <w:tcW w:type="dxa" w:w="4320"/>
            <w:shd w:val="clear" w:color="auto" w:fill="E8F5E9"/>
          </w:tcPr>
          <w:p>
            <w:r>
              <w:t>Total Revenue</w:t>
            </w:r>
          </w:p>
        </w:tc>
        <w:tc>
          <w:tcPr>
            <w:tcW w:type="dxa" w:w="4320"/>
            <w:shd w:val="clear" w:color="auto" w:fill="E8F5E9"/>
          </w:tcPr>
          <w:p>
            <w:r>
              <w:t>$25,279,036</w:t>
            </w:r>
          </w:p>
        </w:tc>
      </w:tr>
      <w:tr>
        <w:tc>
          <w:tcPr>
            <w:tcW w:type="dxa" w:w="4320"/>
            <w:shd w:val="clear" w:color="auto" w:fill="FFFFFF"/>
          </w:tcPr>
          <w:p>
            <w:r>
              <w:t>Total Food Sold</w:t>
            </w:r>
          </w:p>
        </w:tc>
        <w:tc>
          <w:tcPr>
            <w:tcW w:type="dxa" w:w="4320"/>
            <w:shd w:val="clear" w:color="auto" w:fill="FFFFFF"/>
          </w:tcPr>
          <w:p>
            <w:r>
              <w:t>7,916,383 kg</w:t>
            </w:r>
          </w:p>
        </w:tc>
      </w:tr>
      <w:tr>
        <w:tc>
          <w:tcPr>
            <w:tcW w:type="dxa" w:w="4320"/>
            <w:shd w:val="clear" w:color="auto" w:fill="E8F5E9"/>
          </w:tcPr>
          <w:p>
            <w:r>
              <w:t>Total Waste</w:t>
            </w:r>
          </w:p>
        </w:tc>
        <w:tc>
          <w:tcPr>
            <w:tcW w:type="dxa" w:w="4320"/>
            <w:shd w:val="clear" w:color="auto" w:fill="E8F5E9"/>
          </w:tcPr>
          <w:p>
            <w:r>
              <w:t>912,132 kg</w:t>
            </w:r>
          </w:p>
        </w:tc>
      </w:tr>
      <w:tr>
        <w:tc>
          <w:tcPr>
            <w:tcW w:type="dxa" w:w="4320"/>
            <w:shd w:val="clear" w:color="auto" w:fill="FFFFFF"/>
          </w:tcPr>
          <w:p>
            <w:r>
              <w:t>Waste Rate</w:t>
            </w:r>
          </w:p>
        </w:tc>
        <w:tc>
          <w:tcPr>
            <w:tcW w:type="dxa" w:w="4320"/>
            <w:shd w:val="clear" w:color="auto" w:fill="FFFFFF"/>
          </w:tcPr>
          <w:p>
            <w:r>
              <w:t>10.33%</w:t>
            </w:r>
          </w:p>
        </w:tc>
      </w:tr>
      <w:tr>
        <w:tc>
          <w:tcPr>
            <w:tcW w:type="dxa" w:w="4320"/>
            <w:shd w:val="clear" w:color="auto" w:fill="E8F5E9"/>
          </w:tcPr>
          <w:p>
            <w:r>
              <w:t>Waste Cost</w:t>
            </w:r>
          </w:p>
        </w:tc>
        <w:tc>
          <w:tcPr>
            <w:tcW w:type="dxa" w:w="4320"/>
            <w:shd w:val="clear" w:color="auto" w:fill="E8F5E9"/>
          </w:tcPr>
          <w:p>
            <w:r>
              <w:t>$1,632,679</w:t>
            </w:r>
          </w:p>
        </w:tc>
      </w:tr>
      <w:tr>
        <w:tc>
          <w:tcPr>
            <w:tcW w:type="dxa" w:w="4320"/>
            <w:shd w:val="clear" w:color="auto" w:fill="FFFFFF"/>
          </w:tcPr>
          <w:p>
            <w:r>
              <w:t>Avg Daily Revenue</w:t>
            </w:r>
          </w:p>
        </w:tc>
        <w:tc>
          <w:tcPr>
            <w:tcW w:type="dxa" w:w="4320"/>
            <w:shd w:val="clear" w:color="auto" w:fill="FFFFFF"/>
          </w:tcPr>
          <w:p>
            <w:r>
              <w:t>$69,258</w:t>
            </w:r>
          </w:p>
        </w:tc>
      </w:tr>
      <w:tr>
        <w:tc>
          <w:tcPr>
            <w:tcW w:type="dxa" w:w="4320"/>
            <w:shd w:val="clear" w:color="auto" w:fill="E8F5E9"/>
          </w:tcPr>
          <w:p>
            <w:r>
              <w:t>Avg Daily Waste</w:t>
            </w:r>
          </w:p>
        </w:tc>
        <w:tc>
          <w:tcPr>
            <w:tcW w:type="dxa" w:w="4320"/>
            <w:shd w:val="clear" w:color="auto" w:fill="E8F5E9"/>
          </w:tcPr>
          <w:p>
            <w:r>
              <w:t>2,499 kg</w:t>
            </w:r>
          </w:p>
        </w:tc>
      </w:tr>
      <w:tr>
        <w:tc>
          <w:tcPr>
            <w:tcW w:type="dxa" w:w="4320"/>
            <w:shd w:val="clear" w:color="auto" w:fill="FFFFFF"/>
          </w:tcPr>
          <w:p>
            <w:r>
              <w:t>Stores</w:t>
            </w:r>
          </w:p>
        </w:tc>
        <w:tc>
          <w:tcPr>
            <w:tcW w:type="dxa" w:w="4320"/>
            <w:shd w:val="clear" w:color="auto" w:fill="FFFFFF"/>
          </w:tcPr>
          <w:p>
            <w:r>
              <w:t>15</w:t>
            </w:r>
          </w:p>
        </w:tc>
      </w:tr>
      <w:tr>
        <w:tc>
          <w:tcPr>
            <w:tcW w:type="dxa" w:w="4320"/>
            <w:shd w:val="clear" w:color="auto" w:fill="E8F5E9"/>
          </w:tcPr>
          <w:p>
            <w:r>
              <w:t>Products</w:t>
            </w:r>
          </w:p>
        </w:tc>
        <w:tc>
          <w:tcPr>
            <w:tcW w:type="dxa" w:w="4320"/>
            <w:shd w:val="clear" w:color="auto" w:fill="E8F5E9"/>
          </w:tcPr>
          <w:p>
            <w:r>
              <w:t>148</w:t>
            </w:r>
          </w:p>
        </w:tc>
      </w:tr>
      <w:tr>
        <w:tc>
          <w:tcPr>
            <w:tcW w:type="dxa" w:w="4320"/>
            <w:shd w:val="clear" w:color="auto" w:fill="FFFFFF"/>
          </w:tcPr>
          <w:p>
            <w:r>
              <w:t>Suppliers</w:t>
            </w:r>
          </w:p>
        </w:tc>
        <w:tc>
          <w:tcPr>
            <w:tcW w:type="dxa" w:w="4320"/>
            <w:shd w:val="clear" w:color="auto" w:fill="FFFFFF"/>
          </w:tcPr>
          <w:p>
            <w:r>
              <w:t>20</w:t>
            </w:r>
          </w:p>
        </w:tc>
      </w:tr>
      <w:tr>
        <w:tc>
          <w:tcPr>
            <w:tcW w:type="dxa" w:w="4320"/>
            <w:shd w:val="clear" w:color="auto" w:fill="E8F5E9"/>
          </w:tcPr>
          <w:p>
            <w:r>
              <w:t>AI Forecast MAE</w:t>
            </w:r>
          </w:p>
        </w:tc>
        <w:tc>
          <w:tcPr>
            <w:tcW w:type="dxa" w:w="4320"/>
            <w:shd w:val="clear" w:color="auto" w:fill="E8F5E9"/>
          </w:tcPr>
          <w:p>
            <w:r>
              <w:t>6.72</w:t>
            </w:r>
          </w:p>
        </w:tc>
      </w:tr>
      <w:tr>
        <w:tc>
          <w:tcPr>
            <w:tcW w:type="dxa" w:w="4320"/>
            <w:shd w:val="clear" w:color="auto" w:fill="FFFFFF"/>
          </w:tcPr>
          <w:p>
            <w:r>
              <w:t>AI Forecast MAPE</w:t>
            </w:r>
          </w:p>
        </w:tc>
        <w:tc>
          <w:tcPr>
            <w:tcW w:type="dxa" w:w="4320"/>
            <w:shd w:val="clear" w:color="auto" w:fill="FFFFFF"/>
          </w:tcPr>
          <w:p>
            <w:r>
              <w:t>18.9%</w:t>
            </w:r>
          </w:p>
        </w:tc>
      </w:tr>
      <w:tr>
        <w:tc>
          <w:tcPr>
            <w:tcW w:type="dxa" w:w="4320"/>
            <w:shd w:val="clear" w:color="auto" w:fill="E8F5E9"/>
          </w:tcPr>
          <w:p>
            <w:r>
              <w:t>Cascade Actions</w:t>
            </w:r>
          </w:p>
        </w:tc>
        <w:tc>
          <w:tcPr>
            <w:tcW w:type="dxa" w:w="4320"/>
            <w:shd w:val="clear" w:color="auto" w:fill="E8F5E9"/>
          </w:tcPr>
          <w:p>
            <w:r>
              <w:t>186</w:t>
            </w:r>
          </w:p>
        </w:tc>
      </w:tr>
      <w:tr>
        <w:tc>
          <w:tcPr>
            <w:tcW w:type="dxa" w:w="4320"/>
            <w:shd w:val="clear" w:color="auto" w:fill="FFFFFF"/>
          </w:tcPr>
          <w:p>
            <w:r>
              <w:t>CO₂ Saved</w:t>
            </w:r>
          </w:p>
        </w:tc>
        <w:tc>
          <w:tcPr>
            <w:tcW w:type="dxa" w:w="4320"/>
            <w:shd w:val="clear" w:color="auto" w:fill="FFFFFF"/>
          </w:tcPr>
          <w:p>
            <w:r>
              <w:t>7,583 kg</w:t>
            </w:r>
          </w:p>
        </w:tc>
      </w:tr>
      <w:tr>
        <w:tc>
          <w:tcPr>
            <w:tcW w:type="dxa" w:w="4320"/>
            <w:shd w:val="clear" w:color="auto" w:fill="E8F5E9"/>
          </w:tcPr>
          <w:p>
            <w:r>
              <w:t>Food Redirected</w:t>
            </w:r>
          </w:p>
        </w:tc>
        <w:tc>
          <w:tcPr>
            <w:tcW w:type="dxa" w:w="4320"/>
            <w:shd w:val="clear" w:color="auto" w:fill="E8F5E9"/>
          </w:tcPr>
          <w:p>
            <w:r>
              <w:t>1,633 kg</w:t>
            </w:r>
          </w:p>
        </w:tc>
      </w:tr>
    </w:tbl>
    <w:p>
      <w:pPr>
        <w:pStyle w:val="Heading2"/>
        <w:pBdr>
          <w:bottom w:val="single" w:sz="4" w:space="0" w:color="000000"/>
        </w:pBdr>
      </w:pPr>
      <w:r>
        <w:rPr>
          <w:rFonts w:ascii="Calibri" w:hAnsi="Calibri"/>
          <w:b/>
        </w:rPr>
        <w:t>2. Waste Analysis by Product Category</w:t>
      </w:r>
    </w:p>
    <w:p>
      <w:r>
        <w:rPr>
          <w:rFonts w:ascii="Calibri" w:hAnsi="Calibri"/>
          <w:sz w:val="22"/>
        </w:rPr>
        <w:t>The total waste for 2025 was 912,132 kg, with a waste rate of 10.33%. Vegetables had the highest waste at 265,091 kg ($276,722 cost), followed by fruits at 184,739 kg ($309,800) and dairy at 144,783 kg ($227,257). High perishability drives the waste rate for vegetables, fruits, and dairy to approximately 13% each. Beverages, pantry, snacks, and frozen categories maintained much lower waste rates (0.6%–6.9%) due to longer shelf lives. Meat, despite lower total volume, generated the highest waste cost per kilogram at $3.49/kg wasted, making it the most expensive category for waste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FFF"/>
          </w:tcPr>
          <w:p>
            <w:r>
              <w:rPr>
                <w:b/>
                <w:color w:val="FFFFFF"/>
              </w:rPr>
              <w:t>Category</w:t>
            </w:r>
          </w:p>
        </w:tc>
        <w:tc>
          <w:tcPr>
            <w:tcW w:type="dxa" w:w="1728"/>
            <w:shd w:val="clear" w:color="auto" w:fill="FFFFFF"/>
          </w:tcPr>
          <w:p>
            <w:r>
              <w:rPr>
                <w:b/>
                <w:color w:val="FFFFFF"/>
              </w:rPr>
              <w:t>Waste (kg)</w:t>
            </w:r>
          </w:p>
        </w:tc>
        <w:tc>
          <w:tcPr>
            <w:tcW w:type="dxa" w:w="1728"/>
            <w:shd w:val="clear" w:color="auto" w:fill="FFFFFF"/>
          </w:tcPr>
          <w:p>
            <w:r>
              <w:rPr>
                <w:b/>
                <w:color w:val="FFFFFF"/>
              </w:rPr>
              <w:t>Waste Cost</w:t>
            </w:r>
          </w:p>
        </w:tc>
        <w:tc>
          <w:tcPr>
            <w:tcW w:type="dxa" w:w="1728"/>
            <w:shd w:val="clear" w:color="auto" w:fill="FFFFFF"/>
          </w:tcPr>
          <w:p>
            <w:r>
              <w:rPr>
                <w:b/>
                <w:color w:val="FFFFFF"/>
              </w:rPr>
              <w:t>Waste Rate</w:t>
            </w:r>
          </w:p>
        </w:tc>
        <w:tc>
          <w:tcPr>
            <w:tcW w:type="dxa" w:w="1728"/>
            <w:shd w:val="clear" w:color="auto" w:fill="FFFFFF"/>
          </w:tcPr>
          <w:p>
            <w:r>
              <w:rPr>
                <w:b/>
                <w:color w:val="FFFFFF"/>
              </w:rPr>
              <w:t>Revenue</w:t>
            </w:r>
          </w:p>
        </w:tc>
      </w:tr>
      <w:tr>
        <w:tc>
          <w:tcPr>
            <w:tcW w:type="dxa" w:w="1728"/>
            <w:shd w:val="clear" w:color="auto" w:fill="E8F5E9"/>
          </w:tcPr>
          <w:p>
            <w:r>
              <w:t>Vegetables</w:t>
            </w:r>
          </w:p>
        </w:tc>
        <w:tc>
          <w:tcPr>
            <w:tcW w:type="dxa" w:w="1728"/>
            <w:shd w:val="clear" w:color="auto" w:fill="E8F5E9"/>
          </w:tcPr>
          <w:p>
            <w:r>
              <w:t>265,091</w:t>
            </w:r>
          </w:p>
        </w:tc>
        <w:tc>
          <w:tcPr>
            <w:tcW w:type="dxa" w:w="1728"/>
            <w:shd w:val="clear" w:color="auto" w:fill="E8F5E9"/>
          </w:tcPr>
          <w:p>
            <w:r>
              <w:t>$276,722</w:t>
            </w:r>
          </w:p>
        </w:tc>
        <w:tc>
          <w:tcPr>
            <w:tcW w:type="dxa" w:w="1728"/>
            <w:shd w:val="clear" w:color="auto" w:fill="E8F5E9"/>
          </w:tcPr>
          <w:p>
            <w:r>
              <w:t>13.1%</w:t>
            </w:r>
          </w:p>
        </w:tc>
        <w:tc>
          <w:tcPr>
            <w:tcW w:type="dxa" w:w="1728"/>
            <w:shd w:val="clear" w:color="auto" w:fill="E8F5E9"/>
          </w:tcPr>
          <w:p>
            <w:r>
              <w:t>$3,491,218</w:t>
            </w:r>
          </w:p>
        </w:tc>
      </w:tr>
      <w:tr>
        <w:tc>
          <w:tcPr>
            <w:tcW w:type="dxa" w:w="1728"/>
            <w:shd w:val="clear" w:color="auto" w:fill="FFFFFF"/>
          </w:tcPr>
          <w:p>
            <w:r>
              <w:t>Fruits</w:t>
            </w:r>
          </w:p>
        </w:tc>
        <w:tc>
          <w:tcPr>
            <w:tcW w:type="dxa" w:w="1728"/>
            <w:shd w:val="clear" w:color="auto" w:fill="FFFFFF"/>
          </w:tcPr>
          <w:p>
            <w:r>
              <w:t>184,739</w:t>
            </w:r>
          </w:p>
        </w:tc>
        <w:tc>
          <w:tcPr>
            <w:tcW w:type="dxa" w:w="1728"/>
            <w:shd w:val="clear" w:color="auto" w:fill="FFFFFF"/>
          </w:tcPr>
          <w:p>
            <w:r>
              <w:t>$309,800</w:t>
            </w:r>
          </w:p>
        </w:tc>
        <w:tc>
          <w:tcPr>
            <w:tcW w:type="dxa" w:w="1728"/>
            <w:shd w:val="clear" w:color="auto" w:fill="FFFFFF"/>
          </w:tcPr>
          <w:p>
            <w:r>
              <w:t>13.0%</w:t>
            </w:r>
          </w:p>
        </w:tc>
        <w:tc>
          <w:tcPr>
            <w:tcW w:type="dxa" w:w="1728"/>
            <w:shd w:val="clear" w:color="auto" w:fill="FFFFFF"/>
          </w:tcPr>
          <w:p>
            <w:r>
              <w:t>$3,552,037</w:t>
            </w:r>
          </w:p>
        </w:tc>
      </w:tr>
      <w:tr>
        <w:tc>
          <w:tcPr>
            <w:tcW w:type="dxa" w:w="1728"/>
            <w:shd w:val="clear" w:color="auto" w:fill="E8F5E9"/>
          </w:tcPr>
          <w:p>
            <w:r>
              <w:t>Dairy</w:t>
            </w:r>
          </w:p>
        </w:tc>
        <w:tc>
          <w:tcPr>
            <w:tcW w:type="dxa" w:w="1728"/>
            <w:shd w:val="clear" w:color="auto" w:fill="E8F5E9"/>
          </w:tcPr>
          <w:p>
            <w:r>
              <w:t>144,783</w:t>
            </w:r>
          </w:p>
        </w:tc>
        <w:tc>
          <w:tcPr>
            <w:tcW w:type="dxa" w:w="1728"/>
            <w:shd w:val="clear" w:color="auto" w:fill="E8F5E9"/>
          </w:tcPr>
          <w:p>
            <w:r>
              <w:t>$227,257</w:t>
            </w:r>
          </w:p>
        </w:tc>
        <w:tc>
          <w:tcPr>
            <w:tcW w:type="dxa" w:w="1728"/>
            <w:shd w:val="clear" w:color="auto" w:fill="E8F5E9"/>
          </w:tcPr>
          <w:p>
            <w:r>
              <w:t>13.0%</w:t>
            </w:r>
          </w:p>
        </w:tc>
        <w:tc>
          <w:tcPr>
            <w:tcW w:type="dxa" w:w="1728"/>
            <w:shd w:val="clear" w:color="auto" w:fill="E8F5E9"/>
          </w:tcPr>
          <w:p>
            <w:r>
              <w:t>$2,700,182</w:t>
            </w:r>
          </w:p>
        </w:tc>
      </w:tr>
      <w:tr>
        <w:tc>
          <w:tcPr>
            <w:tcW w:type="dxa" w:w="1728"/>
            <w:shd w:val="clear" w:color="auto" w:fill="FFFFFF"/>
          </w:tcPr>
          <w:p>
            <w:r>
              <w:t>Meat</w:t>
            </w:r>
          </w:p>
        </w:tc>
        <w:tc>
          <w:tcPr>
            <w:tcW w:type="dxa" w:w="1728"/>
            <w:shd w:val="clear" w:color="auto" w:fill="FFFFFF"/>
          </w:tcPr>
          <w:p>
            <w:r>
              <w:t>103,097</w:t>
            </w:r>
          </w:p>
        </w:tc>
        <w:tc>
          <w:tcPr>
            <w:tcW w:type="dxa" w:w="1728"/>
            <w:shd w:val="clear" w:color="auto" w:fill="FFFFFF"/>
          </w:tcPr>
          <w:p>
            <w:r>
              <w:t>$359,229</w:t>
            </w:r>
          </w:p>
        </w:tc>
        <w:tc>
          <w:tcPr>
            <w:tcW w:type="dxa" w:w="1728"/>
            <w:shd w:val="clear" w:color="auto" w:fill="FFFFFF"/>
          </w:tcPr>
          <w:p>
            <w:r>
              <w:t>13.1%</w:t>
            </w:r>
          </w:p>
        </w:tc>
        <w:tc>
          <w:tcPr>
            <w:tcW w:type="dxa" w:w="1728"/>
            <w:shd w:val="clear" w:color="auto" w:fill="FFFFFF"/>
          </w:tcPr>
          <w:p>
            <w:r>
              <w:t>$4,287,172</w:t>
            </w:r>
          </w:p>
        </w:tc>
      </w:tr>
      <w:tr>
        <w:tc>
          <w:tcPr>
            <w:tcW w:type="dxa" w:w="1728"/>
            <w:shd w:val="clear" w:color="auto" w:fill="E8F5E9"/>
          </w:tcPr>
          <w:p>
            <w:r>
              <w:t>Bakery</w:t>
            </w:r>
          </w:p>
        </w:tc>
        <w:tc>
          <w:tcPr>
            <w:tcW w:type="dxa" w:w="1728"/>
            <w:shd w:val="clear" w:color="auto" w:fill="E8F5E9"/>
          </w:tcPr>
          <w:p>
            <w:r>
              <w:t>87,112</w:t>
            </w:r>
          </w:p>
        </w:tc>
        <w:tc>
          <w:tcPr>
            <w:tcW w:type="dxa" w:w="1728"/>
            <w:shd w:val="clear" w:color="auto" w:fill="E8F5E9"/>
          </w:tcPr>
          <w:p>
            <w:r>
              <w:t>$152,125</w:t>
            </w:r>
          </w:p>
        </w:tc>
        <w:tc>
          <w:tcPr>
            <w:tcW w:type="dxa" w:w="1728"/>
            <w:shd w:val="clear" w:color="auto" w:fill="E8F5E9"/>
          </w:tcPr>
          <w:p>
            <w:r>
              <w:t>13.1%</w:t>
            </w:r>
          </w:p>
        </w:tc>
        <w:tc>
          <w:tcPr>
            <w:tcW w:type="dxa" w:w="1728"/>
            <w:shd w:val="clear" w:color="auto" w:fill="E8F5E9"/>
          </w:tcPr>
          <w:p>
            <w:r>
              <w:t>$1,805,800</w:t>
            </w:r>
          </w:p>
        </w:tc>
      </w:tr>
      <w:tr>
        <w:tc>
          <w:tcPr>
            <w:tcW w:type="dxa" w:w="1728"/>
            <w:shd w:val="clear" w:color="auto" w:fill="FFFFFF"/>
          </w:tcPr>
          <w:p>
            <w:r>
              <w:t>Deli</w:t>
            </w:r>
          </w:p>
        </w:tc>
        <w:tc>
          <w:tcPr>
            <w:tcW w:type="dxa" w:w="1728"/>
            <w:shd w:val="clear" w:color="auto" w:fill="FFFFFF"/>
          </w:tcPr>
          <w:p>
            <w:r>
              <w:t>47,604</w:t>
            </w:r>
          </w:p>
        </w:tc>
        <w:tc>
          <w:tcPr>
            <w:tcW w:type="dxa" w:w="1728"/>
            <w:shd w:val="clear" w:color="auto" w:fill="FFFFFF"/>
          </w:tcPr>
          <w:p>
            <w:r>
              <w:t>$109,725</w:t>
            </w:r>
          </w:p>
        </w:tc>
        <w:tc>
          <w:tcPr>
            <w:tcW w:type="dxa" w:w="1728"/>
            <w:shd w:val="clear" w:color="auto" w:fill="FFFFFF"/>
          </w:tcPr>
          <w:p>
            <w:r>
              <w:t>13.1%</w:t>
            </w:r>
          </w:p>
        </w:tc>
        <w:tc>
          <w:tcPr>
            <w:tcW w:type="dxa" w:w="1728"/>
            <w:shd w:val="clear" w:color="auto" w:fill="FFFFFF"/>
          </w:tcPr>
          <w:p>
            <w:r>
              <w:t>$1,324,400</w:t>
            </w:r>
          </w:p>
        </w:tc>
      </w:tr>
      <w:tr>
        <w:tc>
          <w:tcPr>
            <w:tcW w:type="dxa" w:w="1728"/>
            <w:shd w:val="clear" w:color="auto" w:fill="E8F5E9"/>
          </w:tcPr>
          <w:p>
            <w:r>
              <w:t>Beverages</w:t>
            </w:r>
          </w:p>
        </w:tc>
        <w:tc>
          <w:tcPr>
            <w:tcW w:type="dxa" w:w="1728"/>
            <w:shd w:val="clear" w:color="auto" w:fill="E8F5E9"/>
          </w:tcPr>
          <w:p>
            <w:r>
              <w:t>36,696</w:t>
            </w:r>
          </w:p>
        </w:tc>
        <w:tc>
          <w:tcPr>
            <w:tcW w:type="dxa" w:w="1728"/>
            <w:shd w:val="clear" w:color="auto" w:fill="E8F5E9"/>
          </w:tcPr>
          <w:p>
            <w:r>
              <w:t>$58,385</w:t>
            </w:r>
          </w:p>
        </w:tc>
        <w:tc>
          <w:tcPr>
            <w:tcW w:type="dxa" w:w="1728"/>
            <w:shd w:val="clear" w:color="auto" w:fill="E8F5E9"/>
          </w:tcPr>
          <w:p>
            <w:r>
              <w:t>6.9%</w:t>
            </w:r>
          </w:p>
        </w:tc>
        <w:tc>
          <w:tcPr>
            <w:tcW w:type="dxa" w:w="1728"/>
            <w:shd w:val="clear" w:color="auto" w:fill="E8F5E9"/>
          </w:tcPr>
          <w:p>
            <w:r>
              <w:t>$1,307,540</w:t>
            </w:r>
          </w:p>
        </w:tc>
      </w:tr>
      <w:tr>
        <w:tc>
          <w:tcPr>
            <w:tcW w:type="dxa" w:w="1728"/>
            <w:shd w:val="clear" w:color="auto" w:fill="FFFFFF"/>
          </w:tcPr>
          <w:p>
            <w:r>
              <w:t>Seafood</w:t>
            </w:r>
          </w:p>
        </w:tc>
        <w:tc>
          <w:tcPr>
            <w:tcW w:type="dxa" w:w="1728"/>
            <w:shd w:val="clear" w:color="auto" w:fill="FFFFFF"/>
          </w:tcPr>
          <w:p>
            <w:r>
              <w:t>23,332</w:t>
            </w:r>
          </w:p>
        </w:tc>
        <w:tc>
          <w:tcPr>
            <w:tcW w:type="dxa" w:w="1728"/>
            <w:shd w:val="clear" w:color="auto" w:fill="FFFFFF"/>
          </w:tcPr>
          <w:p>
            <w:r>
              <w:t>$107,604</w:t>
            </w:r>
          </w:p>
        </w:tc>
        <w:tc>
          <w:tcPr>
            <w:tcW w:type="dxa" w:w="1728"/>
            <w:shd w:val="clear" w:color="auto" w:fill="FFFFFF"/>
          </w:tcPr>
          <w:p>
            <w:r>
              <w:t>9.4%</w:t>
            </w:r>
          </w:p>
        </w:tc>
        <w:tc>
          <w:tcPr>
            <w:tcW w:type="dxa" w:w="1728"/>
            <w:shd w:val="clear" w:color="auto" w:fill="FFFFFF"/>
          </w:tcPr>
          <w:p>
            <w:r>
              <w:t>$1,493,848</w:t>
            </w:r>
          </w:p>
        </w:tc>
      </w:tr>
      <w:tr>
        <w:tc>
          <w:tcPr>
            <w:tcW w:type="dxa" w:w="1728"/>
            <w:shd w:val="clear" w:color="auto" w:fill="E8F5E9"/>
          </w:tcPr>
          <w:p>
            <w:r>
              <w:t>Pantry</w:t>
            </w:r>
          </w:p>
        </w:tc>
        <w:tc>
          <w:tcPr>
            <w:tcW w:type="dxa" w:w="1728"/>
            <w:shd w:val="clear" w:color="auto" w:fill="E8F5E9"/>
          </w:tcPr>
          <w:p>
            <w:r>
              <w:t>14,568</w:t>
            </w:r>
          </w:p>
        </w:tc>
        <w:tc>
          <w:tcPr>
            <w:tcW w:type="dxa" w:w="1728"/>
            <w:shd w:val="clear" w:color="auto" w:fill="E8F5E9"/>
          </w:tcPr>
          <w:p>
            <w:r>
              <w:t>$20,377</w:t>
            </w:r>
          </w:p>
        </w:tc>
        <w:tc>
          <w:tcPr>
            <w:tcW w:type="dxa" w:w="1728"/>
            <w:shd w:val="clear" w:color="auto" w:fill="E8F5E9"/>
          </w:tcPr>
          <w:p>
            <w:r>
              <w:t>1.2%</w:t>
            </w:r>
          </w:p>
        </w:tc>
        <w:tc>
          <w:tcPr>
            <w:tcW w:type="dxa" w:w="1728"/>
            <w:shd w:val="clear" w:color="auto" w:fill="E8F5E9"/>
          </w:tcPr>
          <w:p>
            <w:r>
              <w:t>$2,700,119</w:t>
            </w:r>
          </w:p>
        </w:tc>
      </w:tr>
      <w:tr>
        <w:tc>
          <w:tcPr>
            <w:tcW w:type="dxa" w:w="1728"/>
            <w:shd w:val="clear" w:color="auto" w:fill="FFFFFF"/>
          </w:tcPr>
          <w:p>
            <w:r>
              <w:t>Snacks</w:t>
            </w:r>
          </w:p>
        </w:tc>
        <w:tc>
          <w:tcPr>
            <w:tcW w:type="dxa" w:w="1728"/>
            <w:shd w:val="clear" w:color="auto" w:fill="FFFFFF"/>
          </w:tcPr>
          <w:p>
            <w:r>
              <w:t>2,507</w:t>
            </w:r>
          </w:p>
        </w:tc>
        <w:tc>
          <w:tcPr>
            <w:tcW w:type="dxa" w:w="1728"/>
            <w:shd w:val="clear" w:color="auto" w:fill="FFFFFF"/>
          </w:tcPr>
          <w:p>
            <w:r>
              <w:t>$4,666</w:t>
            </w:r>
          </w:p>
        </w:tc>
        <w:tc>
          <w:tcPr>
            <w:tcW w:type="dxa" w:w="1728"/>
            <w:shd w:val="clear" w:color="auto" w:fill="FFFFFF"/>
          </w:tcPr>
          <w:p>
            <w:r>
              <w:t>0.6%</w:t>
            </w:r>
          </w:p>
        </w:tc>
        <w:tc>
          <w:tcPr>
            <w:tcW w:type="dxa" w:w="1728"/>
            <w:shd w:val="clear" w:color="auto" w:fill="FFFFFF"/>
          </w:tcPr>
          <w:p>
            <w:r>
              <w:t>$1,087,932</w:t>
            </w:r>
          </w:p>
        </w:tc>
      </w:tr>
      <w:tr>
        <w:tc>
          <w:tcPr>
            <w:tcW w:type="dxa" w:w="1728"/>
            <w:shd w:val="clear" w:color="auto" w:fill="E8F5E9"/>
          </w:tcPr>
          <w:p>
            <w:r>
              <w:t>Frozen</w:t>
            </w:r>
          </w:p>
        </w:tc>
        <w:tc>
          <w:tcPr>
            <w:tcW w:type="dxa" w:w="1728"/>
            <w:shd w:val="clear" w:color="auto" w:fill="E8F5E9"/>
          </w:tcPr>
          <w:p>
            <w:r>
              <w:t>2,378</w:t>
            </w:r>
          </w:p>
        </w:tc>
        <w:tc>
          <w:tcPr>
            <w:tcW w:type="dxa" w:w="1728"/>
            <w:shd w:val="clear" w:color="auto" w:fill="E8F5E9"/>
          </w:tcPr>
          <w:p>
            <w:r>
              <w:t>$5,545</w:t>
            </w:r>
          </w:p>
        </w:tc>
        <w:tc>
          <w:tcPr>
            <w:tcW w:type="dxa" w:w="1728"/>
            <w:shd w:val="clear" w:color="auto" w:fill="E8F5E9"/>
          </w:tcPr>
          <w:p>
            <w:r>
              <w:t>0.6%</w:t>
            </w:r>
          </w:p>
        </w:tc>
        <w:tc>
          <w:tcPr>
            <w:tcW w:type="dxa" w:w="1728"/>
            <w:shd w:val="clear" w:color="auto" w:fill="E8F5E9"/>
          </w:tcPr>
          <w:p>
            <w:r>
              <w:t>$1,255,239</w:t>
            </w:r>
          </w:p>
        </w:tc>
      </w:tr>
      <w:tr>
        <w:tc>
          <w:tcPr>
            <w:tcW w:type="dxa" w:w="1728"/>
            <w:shd w:val="clear" w:color="auto" w:fill="FFFFFF"/>
          </w:tcPr>
          <w:p>
            <w:r>
              <w:t>Baby</w:t>
            </w:r>
          </w:p>
        </w:tc>
        <w:tc>
          <w:tcPr>
            <w:tcW w:type="dxa" w:w="1728"/>
            <w:shd w:val="clear" w:color="auto" w:fill="FFFFFF"/>
          </w:tcPr>
          <w:p>
            <w:r>
              <w:t>225</w:t>
            </w:r>
          </w:p>
        </w:tc>
        <w:tc>
          <w:tcPr>
            <w:tcW w:type="dxa" w:w="1728"/>
            <w:shd w:val="clear" w:color="auto" w:fill="FFFFFF"/>
          </w:tcPr>
          <w:p>
            <w:r>
              <w:t>$1,245</w:t>
            </w:r>
          </w:p>
        </w:tc>
        <w:tc>
          <w:tcPr>
            <w:tcW w:type="dxa" w:w="1728"/>
            <w:shd w:val="clear" w:color="auto" w:fill="FFFFFF"/>
          </w:tcPr>
          <w:p>
            <w:r>
              <w:t>0.6%</w:t>
            </w:r>
          </w:p>
        </w:tc>
        <w:tc>
          <w:tcPr>
            <w:tcW w:type="dxa" w:w="1728"/>
            <w:shd w:val="clear" w:color="auto" w:fill="FFFFFF"/>
          </w:tcPr>
          <w:p>
            <w:r>
              <w:t>$273,549</w:t>
            </w:r>
          </w:p>
        </w:tc>
      </w:tr>
    </w:tbl>
    <w:p>
      <w:pPr>
        <w:pStyle w:val="Heading2"/>
        <w:pBdr>
          <w:bottom w:val="single" w:sz="4" w:space="0" w:color="000000"/>
        </w:pBdr>
      </w:pPr>
      <w:r>
        <w:rPr>
          <w:rFonts w:ascii="Calibri" w:hAnsi="Calibri"/>
          <w:b/>
        </w:rPr>
        <w:t>3. Store Performance Comparison</w:t>
      </w:r>
    </w:p>
    <w:p>
      <w:r>
        <w:rPr>
          <w:rFonts w:ascii="Calibri" w:hAnsi="Calibri"/>
          <w:sz w:val="22"/>
        </w:rPr>
        <w:t>All 10 retail stores maintained consistent waste rates near 9.2%, demonstrating uniform operational standards across the network. SuperSave East in Metro City led in both revenue ($3,600,423) and total waste (129,670 kg), reflecting its position as the highest-volume store. Waste rates were remarkably stable across stores (9.2%–9.3%), suggesting waste is driven more by product category mix and demand variance than by individual store management practices. The three Metro City stores collectively generated the highest revenue cluster, while Green Valley stores showed proportionally similar waste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4F"/>
          </w:tcPr>
          <w:p>
            <w:r>
              <w:rPr>
                <w:b/>
                <w:color w:val="FFFFFF"/>
              </w:rPr>
              <w:t>Store</w:t>
            </w:r>
          </w:p>
        </w:tc>
        <w:tc>
          <w:tcPr>
            <w:tcW w:type="dxa" w:w="2160"/>
            <w:shd w:val="clear" w:color="auto" w:fill="2D6A4F"/>
          </w:tcPr>
          <w:p>
            <w:r>
              <w:rPr>
                <w:b/>
                <w:color w:val="FFFFFF"/>
              </w:rPr>
              <w:t>City</w:t>
            </w:r>
          </w:p>
        </w:tc>
        <w:tc>
          <w:tcPr>
            <w:tcW w:type="dxa" w:w="2160"/>
            <w:shd w:val="clear" w:color="auto" w:fill="2D6A4F"/>
          </w:tcPr>
          <w:p>
            <w:r>
              <w:rPr>
                <w:b/>
                <w:color w:val="FFFFFF"/>
              </w:rPr>
              <w:t>Revenue</w:t>
            </w:r>
          </w:p>
        </w:tc>
        <w:tc>
          <w:tcPr>
            <w:tcW w:type="dxa" w:w="2160"/>
            <w:shd w:val="clear" w:color="auto" w:fill="2D6A4F"/>
          </w:tcPr>
          <w:p>
            <w:r>
              <w:rPr>
                <w:b/>
                <w:color w:val="FFFFFF"/>
              </w:rPr>
              <w:t>Waste (kg)</w:t>
            </w:r>
          </w:p>
        </w:tc>
      </w:tr>
      <w:tr>
        <w:tc>
          <w:tcPr>
            <w:tcW w:type="dxa" w:w="2160"/>
          </w:tcPr>
          <w:p>
            <w:r>
              <w:t>SuperSave East</w:t>
            </w:r>
          </w:p>
        </w:tc>
        <w:tc>
          <w:tcPr>
            <w:tcW w:type="dxa" w:w="2160"/>
          </w:tcPr>
          <w:p>
            <w:r>
              <w:t>Metro City</w:t>
            </w:r>
          </w:p>
        </w:tc>
        <w:tc>
          <w:tcPr>
            <w:tcW w:type="dxa" w:w="2160"/>
          </w:tcPr>
          <w:p>
            <w:r>
              <w:t>$3,600,423</w:t>
            </w:r>
          </w:p>
        </w:tc>
        <w:tc>
          <w:tcPr>
            <w:tcW w:type="dxa" w:w="2160"/>
          </w:tcPr>
          <w:p>
            <w:r>
              <w:t>129,670</w:t>
            </w:r>
          </w:p>
        </w:tc>
      </w:tr>
      <w:tr>
        <w:tc>
          <w:tcPr>
            <w:tcW w:type="dxa" w:w="2160"/>
          </w:tcPr>
          <w:p>
            <w:r>
              <w:t>FreshMart Downtown</w:t>
            </w:r>
          </w:p>
        </w:tc>
        <w:tc>
          <w:tcPr>
            <w:tcW w:type="dxa" w:w="2160"/>
          </w:tcPr>
          <w:p>
            <w:r>
              <w:t>Metro City</w:t>
            </w:r>
          </w:p>
        </w:tc>
        <w:tc>
          <w:tcPr>
            <w:tcW w:type="dxa" w:w="2160"/>
          </w:tcPr>
          <w:p>
            <w:r>
              <w:t>$2,997,845</w:t>
            </w:r>
          </w:p>
        </w:tc>
        <w:tc>
          <w:tcPr>
            <w:tcW w:type="dxa" w:w="2160"/>
          </w:tcPr>
          <w:p>
            <w:r>
              <w:t>107,899</w:t>
            </w:r>
          </w:p>
        </w:tc>
      </w:tr>
      <w:tr>
        <w:tc>
          <w:tcPr>
            <w:tcW w:type="dxa" w:w="2160"/>
          </w:tcPr>
          <w:p>
            <w:r>
              <w:t>Harbor Fresh</w:t>
            </w:r>
          </w:p>
        </w:tc>
        <w:tc>
          <w:tcPr>
            <w:tcW w:type="dxa" w:w="2160"/>
          </w:tcPr>
          <w:p>
            <w:r>
              <w:t>Harbor Town</w:t>
            </w:r>
          </w:p>
        </w:tc>
        <w:tc>
          <w:tcPr>
            <w:tcW w:type="dxa" w:w="2160"/>
          </w:tcPr>
          <w:p>
            <w:r>
              <w:t>$2,876,993</w:t>
            </w:r>
          </w:p>
        </w:tc>
        <w:tc>
          <w:tcPr>
            <w:tcW w:type="dxa" w:w="2160"/>
          </w:tcPr>
          <w:p>
            <w:r>
              <w:t>102,609</w:t>
            </w:r>
          </w:p>
        </w:tc>
      </w:tr>
      <w:tr>
        <w:tc>
          <w:tcPr>
            <w:tcW w:type="dxa" w:w="2160"/>
          </w:tcPr>
          <w:p>
            <w:r>
              <w:t>FreshMart Valley</w:t>
            </w:r>
          </w:p>
        </w:tc>
        <w:tc>
          <w:tcPr>
            <w:tcW w:type="dxa" w:w="2160"/>
          </w:tcPr>
          <w:p>
            <w:r>
              <w:t>Green Valley</w:t>
            </w:r>
          </w:p>
        </w:tc>
        <w:tc>
          <w:tcPr>
            <w:tcW w:type="dxa" w:w="2160"/>
          </w:tcPr>
          <w:p>
            <w:r>
              <w:t>$2,639,211</w:t>
            </w:r>
          </w:p>
        </w:tc>
        <w:tc>
          <w:tcPr>
            <w:tcW w:type="dxa" w:w="2160"/>
          </w:tcPr>
          <w:p>
            <w:r>
              <w:t>95,582</w:t>
            </w:r>
          </w:p>
        </w:tc>
      </w:tr>
      <w:tr>
        <w:tc>
          <w:tcPr>
            <w:tcW w:type="dxa" w:w="2160"/>
          </w:tcPr>
          <w:p>
            <w:r>
              <w:t>Seaside Market</w:t>
            </w:r>
          </w:p>
        </w:tc>
        <w:tc>
          <w:tcPr>
            <w:tcW w:type="dxa" w:w="2160"/>
          </w:tcPr>
          <w:p>
            <w:r>
              <w:t>Harbor Town</w:t>
            </w:r>
          </w:p>
        </w:tc>
        <w:tc>
          <w:tcPr>
            <w:tcW w:type="dxa" w:w="2160"/>
          </w:tcPr>
          <w:p>
            <w:r>
              <w:t>$2,549,533</w:t>
            </w:r>
          </w:p>
        </w:tc>
        <w:tc>
          <w:tcPr>
            <w:tcW w:type="dxa" w:w="2160"/>
          </w:tcPr>
          <w:p>
            <w:r>
              <w:t>91,484</w:t>
            </w:r>
          </w:p>
        </w:tc>
      </w:tr>
      <w:tr>
        <w:tc>
          <w:tcPr>
            <w:tcW w:type="dxa" w:w="2160"/>
          </w:tcPr>
          <w:p>
            <w:r>
              <w:t>FreshMart Uptown</w:t>
            </w:r>
          </w:p>
        </w:tc>
        <w:tc>
          <w:tcPr>
            <w:tcW w:type="dxa" w:w="2160"/>
          </w:tcPr>
          <w:p>
            <w:r>
              <w:t>Metro City</w:t>
            </w:r>
          </w:p>
        </w:tc>
        <w:tc>
          <w:tcPr>
            <w:tcW w:type="dxa" w:w="2160"/>
          </w:tcPr>
          <w:p>
            <w:r>
              <w:t>$2,402,479</w:t>
            </w:r>
          </w:p>
        </w:tc>
        <w:tc>
          <w:tcPr>
            <w:tcW w:type="dxa" w:w="2160"/>
          </w:tcPr>
          <w:p>
            <w:r>
              <w:t>86,779</w:t>
            </w:r>
          </w:p>
        </w:tc>
      </w:tr>
      <w:tr>
        <w:tc>
          <w:tcPr>
            <w:tcW w:type="dxa" w:w="2160"/>
          </w:tcPr>
          <w:p>
            <w:r>
              <w:t>Nature's Best</w:t>
            </w:r>
          </w:p>
        </w:tc>
        <w:tc>
          <w:tcPr>
            <w:tcW w:type="dxa" w:w="2160"/>
          </w:tcPr>
          <w:p>
            <w:r>
              <w:t>Green Valley</w:t>
            </w:r>
          </w:p>
        </w:tc>
        <w:tc>
          <w:tcPr>
            <w:tcW w:type="dxa" w:w="2160"/>
          </w:tcPr>
          <w:p>
            <w:r>
              <w:t>$2,231,208</w:t>
            </w:r>
          </w:p>
        </w:tc>
        <w:tc>
          <w:tcPr>
            <w:tcW w:type="dxa" w:w="2160"/>
          </w:tcPr>
          <w:p>
            <w:r>
              <w:t>81,299</w:t>
            </w:r>
          </w:p>
        </w:tc>
      </w:tr>
      <w:tr>
        <w:tc>
          <w:tcPr>
            <w:tcW w:type="dxa" w:w="2160"/>
          </w:tcPr>
          <w:p>
            <w:r>
              <w:t>GreenGrocer Central</w:t>
            </w:r>
          </w:p>
        </w:tc>
        <w:tc>
          <w:tcPr>
            <w:tcW w:type="dxa" w:w="2160"/>
          </w:tcPr>
          <w:p>
            <w:r>
              <w:t>Metro City</w:t>
            </w:r>
          </w:p>
        </w:tc>
        <w:tc>
          <w:tcPr>
            <w:tcW w:type="dxa" w:w="2160"/>
          </w:tcPr>
          <w:p>
            <w:r>
              <w:t>$2,133,535</w:t>
            </w:r>
          </w:p>
        </w:tc>
        <w:tc>
          <w:tcPr>
            <w:tcW w:type="dxa" w:w="2160"/>
          </w:tcPr>
          <w:p>
            <w:r>
              <w:t>77,268</w:t>
            </w:r>
          </w:p>
        </w:tc>
      </w:tr>
      <w:tr>
        <w:tc>
          <w:tcPr>
            <w:tcW w:type="dxa" w:w="2160"/>
          </w:tcPr>
          <w:p>
            <w:r>
              <w:t>Dock Street Grocery</w:t>
            </w:r>
          </w:p>
        </w:tc>
        <w:tc>
          <w:tcPr>
            <w:tcW w:type="dxa" w:w="2160"/>
          </w:tcPr>
          <w:p>
            <w:r>
              <w:t>Harbor Town</w:t>
            </w:r>
          </w:p>
        </w:tc>
        <w:tc>
          <w:tcPr>
            <w:tcW w:type="dxa" w:w="2160"/>
          </w:tcPr>
          <w:p>
            <w:r>
              <w:t>$2,088,103</w:t>
            </w:r>
          </w:p>
        </w:tc>
        <w:tc>
          <w:tcPr>
            <w:tcW w:type="dxa" w:w="2160"/>
          </w:tcPr>
          <w:p>
            <w:r>
              <w:t>76,045</w:t>
            </w:r>
          </w:p>
        </w:tc>
      </w:tr>
      <w:tr>
        <w:tc>
          <w:tcPr>
            <w:tcW w:type="dxa" w:w="2160"/>
          </w:tcPr>
          <w:p>
            <w:r>
              <w:t>Valley Organics</w:t>
            </w:r>
          </w:p>
        </w:tc>
        <w:tc>
          <w:tcPr>
            <w:tcW w:type="dxa" w:w="2160"/>
          </w:tcPr>
          <w:p>
            <w:r>
              <w:t>Green Valley</w:t>
            </w:r>
          </w:p>
        </w:tc>
        <w:tc>
          <w:tcPr>
            <w:tcW w:type="dxa" w:w="2160"/>
          </w:tcPr>
          <w:p>
            <w:r>
              <w:t>$1,759,705</w:t>
            </w:r>
          </w:p>
        </w:tc>
        <w:tc>
          <w:tcPr>
            <w:tcW w:type="dxa" w:w="2160"/>
          </w:tcPr>
          <w:p>
            <w:r>
              <w:t>63,496</w:t>
            </w:r>
          </w:p>
        </w:tc>
      </w:tr>
    </w:tbl>
    <w:p>
      <w:pPr>
        <w:pStyle w:val="Heading2"/>
        <w:pBdr>
          <w:bottom w:val="single" w:sz="4" w:space="0" w:color="000000"/>
        </w:pBdr>
      </w:pPr>
      <w:r>
        <w:rPr>
          <w:rFonts w:ascii="Calibri" w:hAnsi="Calibri"/>
          <w:b/>
        </w:rPr>
        <w:t>4. Carbon Impact Assessment</w:t>
      </w:r>
    </w:p>
    <w:p>
      <w:r>
        <w:rPr>
          <w:rFonts w:ascii="Calibri" w:hAnsi="Calibri"/>
          <w:sz w:val="22"/>
        </w:rPr>
        <w:t>Food waste carries a significant carbon footprint. From the 912,132 kg of food wasted in 2025, meat generated the highest carbon impact at 13,803 kg CO₂ (from 103,097 kg wasted), reflecting meat's intensive production cycle. Dairy contributed 6,546 kg CO₂, followed by seafood at 2,237 kg CO₂. Vegetables, while the highest in weight wasted, contributed 2,120 kg CO₂ due to lower per-unit carbon intensity. Through the waste cascade optimization, FoodFlow AI saved 7,583 kg of CO₂ — equivalent to approximately 30,000 km of car travel avoided. Route optimization emissions were minimal at 3.23 kg CO₂ for all redistribution deliveries, making the net carbon benefit overwhelmingly positive.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6A4F"/>
          </w:tcPr>
          <w:p>
            <w:r>
              <w:rPr>
                <w:b/>
                <w:color w:val="FFFFFF"/>
              </w:rPr>
              <w:t>Category</w:t>
            </w:r>
          </w:p>
        </w:tc>
        <w:tc>
          <w:tcPr>
            <w:tcW w:type="dxa" w:w="2880"/>
            <w:shd w:val="clear" w:color="auto" w:fill="2D6A4F"/>
          </w:tcPr>
          <w:p>
            <w:r>
              <w:rPr>
                <w:b/>
                <w:color w:val="FFFFFF"/>
              </w:rPr>
              <w:t>Waste (kg)</w:t>
            </w:r>
          </w:p>
        </w:tc>
        <w:tc>
          <w:tcPr>
            <w:tcW w:type="dxa" w:w="2880"/>
            <w:shd w:val="clear" w:color="auto" w:fill="2D6A4F"/>
          </w:tcPr>
          <w:p>
            <w:r>
              <w:rPr>
                <w:b/>
                <w:color w:val="FFFFFF"/>
              </w:rPr>
              <w:t>CO₂ Impact (kg)</w:t>
            </w:r>
          </w:p>
        </w:tc>
      </w:tr>
      <w:tr>
        <w:tc>
          <w:tcPr>
            <w:tcW w:type="dxa" w:w="2880"/>
          </w:tcPr>
          <w:p>
            <w:r>
              <w:t>Meat</w:t>
            </w:r>
          </w:p>
        </w:tc>
        <w:tc>
          <w:tcPr>
            <w:tcW w:type="dxa" w:w="2880"/>
          </w:tcPr>
          <w:p>
            <w:r>
              <w:t>103,097</w:t>
            </w:r>
          </w:p>
        </w:tc>
        <w:tc>
          <w:tcPr>
            <w:tcW w:type="dxa" w:w="2880"/>
          </w:tcPr>
          <w:p>
            <w:r>
              <w:t>13,803</w:t>
            </w:r>
          </w:p>
        </w:tc>
      </w:tr>
      <w:tr>
        <w:tc>
          <w:tcPr>
            <w:tcW w:type="dxa" w:w="2880"/>
          </w:tcPr>
          <w:p>
            <w:r>
              <w:t>Dairy</w:t>
            </w:r>
          </w:p>
        </w:tc>
        <w:tc>
          <w:tcPr>
            <w:tcW w:type="dxa" w:w="2880"/>
          </w:tcPr>
          <w:p>
            <w:r>
              <w:t>144,783</w:t>
            </w:r>
          </w:p>
        </w:tc>
        <w:tc>
          <w:tcPr>
            <w:tcW w:type="dxa" w:w="2880"/>
          </w:tcPr>
          <w:p>
            <w:r>
              <w:t>6,546</w:t>
            </w:r>
          </w:p>
        </w:tc>
      </w:tr>
      <w:tr>
        <w:tc>
          <w:tcPr>
            <w:tcW w:type="dxa" w:w="2880"/>
          </w:tcPr>
          <w:p>
            <w:r>
              <w:t>Seafood</w:t>
            </w:r>
          </w:p>
        </w:tc>
        <w:tc>
          <w:tcPr>
            <w:tcW w:type="dxa" w:w="2880"/>
          </w:tcPr>
          <w:p>
            <w:r>
              <w:t>23,332</w:t>
            </w:r>
          </w:p>
        </w:tc>
        <w:tc>
          <w:tcPr>
            <w:tcW w:type="dxa" w:w="2880"/>
          </w:tcPr>
          <w:p>
            <w:r>
              <w:t>2,237</w:t>
            </w:r>
          </w:p>
        </w:tc>
      </w:tr>
      <w:tr>
        <w:tc>
          <w:tcPr>
            <w:tcW w:type="dxa" w:w="2880"/>
          </w:tcPr>
          <w:p>
            <w:r>
              <w:t>Vegetables</w:t>
            </w:r>
          </w:p>
        </w:tc>
        <w:tc>
          <w:tcPr>
            <w:tcW w:type="dxa" w:w="2880"/>
          </w:tcPr>
          <w:p>
            <w:r>
              <w:t>265,091</w:t>
            </w:r>
          </w:p>
        </w:tc>
        <w:tc>
          <w:tcPr>
            <w:tcW w:type="dxa" w:w="2880"/>
          </w:tcPr>
          <w:p>
            <w:r>
              <w:t>2,120</w:t>
            </w:r>
          </w:p>
        </w:tc>
      </w:tr>
      <w:tr>
        <w:tc>
          <w:tcPr>
            <w:tcW w:type="dxa" w:w="2880"/>
          </w:tcPr>
          <w:p>
            <w:r>
              <w:t>Fruits</w:t>
            </w:r>
          </w:p>
        </w:tc>
        <w:tc>
          <w:tcPr>
            <w:tcW w:type="dxa" w:w="2880"/>
          </w:tcPr>
          <w:p>
            <w:r>
              <w:t>184,739</w:t>
            </w:r>
          </w:p>
        </w:tc>
        <w:tc>
          <w:tcPr>
            <w:tcW w:type="dxa" w:w="2880"/>
          </w:tcPr>
          <w:p>
            <w:r>
              <w:t>1,848</w:t>
            </w:r>
          </w:p>
        </w:tc>
      </w:tr>
      <w:tr>
        <w:tc>
          <w:tcPr>
            <w:tcW w:type="dxa" w:w="2880"/>
          </w:tcPr>
          <w:p>
            <w:r>
              <w:t>Deli</w:t>
            </w:r>
          </w:p>
        </w:tc>
        <w:tc>
          <w:tcPr>
            <w:tcW w:type="dxa" w:w="2880"/>
          </w:tcPr>
          <w:p>
            <w:r>
              <w:t>47,604</w:t>
            </w:r>
          </w:p>
        </w:tc>
        <w:tc>
          <w:tcPr>
            <w:tcW w:type="dxa" w:w="2880"/>
          </w:tcPr>
          <w:p>
            <w:r>
              <w:t>1,666</w:t>
            </w:r>
          </w:p>
        </w:tc>
      </w:tr>
      <w:tr>
        <w:tc>
          <w:tcPr>
            <w:tcW w:type="dxa" w:w="2880"/>
          </w:tcPr>
          <w:p>
            <w:r>
              <w:t>Bakery</w:t>
            </w:r>
          </w:p>
        </w:tc>
        <w:tc>
          <w:tcPr>
            <w:tcW w:type="dxa" w:w="2880"/>
          </w:tcPr>
          <w:p>
            <w:r>
              <w:t>87,112</w:t>
            </w:r>
          </w:p>
        </w:tc>
        <w:tc>
          <w:tcPr>
            <w:tcW w:type="dxa" w:w="2880"/>
          </w:tcPr>
          <w:p>
            <w:r>
              <w:t>871</w:t>
            </w:r>
          </w:p>
        </w:tc>
      </w:tr>
      <w:tr>
        <w:tc>
          <w:tcPr>
            <w:tcW w:type="dxa" w:w="2880"/>
          </w:tcPr>
          <w:p>
            <w:r>
              <w:t>Beverages</w:t>
            </w:r>
          </w:p>
        </w:tc>
        <w:tc>
          <w:tcPr>
            <w:tcW w:type="dxa" w:w="2880"/>
          </w:tcPr>
          <w:p>
            <w:r>
              <w:t>36,696</w:t>
            </w:r>
          </w:p>
        </w:tc>
        <w:tc>
          <w:tcPr>
            <w:tcW w:type="dxa" w:w="2880"/>
          </w:tcPr>
          <w:p>
            <w:r>
              <w:t>367</w:t>
            </w:r>
          </w:p>
        </w:tc>
      </w:tr>
      <w:tr>
        <w:tc>
          <w:tcPr>
            <w:tcW w:type="dxa" w:w="2880"/>
          </w:tcPr>
          <w:p>
            <w:r>
              <w:t>Pantry</w:t>
            </w:r>
          </w:p>
        </w:tc>
        <w:tc>
          <w:tcPr>
            <w:tcW w:type="dxa" w:w="2880"/>
          </w:tcPr>
          <w:p>
            <w:r>
              <w:t>14,568</w:t>
            </w:r>
          </w:p>
        </w:tc>
        <w:tc>
          <w:tcPr>
            <w:tcW w:type="dxa" w:w="2880"/>
          </w:tcPr>
          <w:p>
            <w:r>
              <w:t>146</w:t>
            </w:r>
          </w:p>
        </w:tc>
      </w:tr>
      <w:tr>
        <w:tc>
          <w:tcPr>
            <w:tcW w:type="dxa" w:w="2880"/>
          </w:tcPr>
          <w:p>
            <w:r>
              <w:t>Snacks</w:t>
            </w:r>
          </w:p>
        </w:tc>
        <w:tc>
          <w:tcPr>
            <w:tcW w:type="dxa" w:w="2880"/>
          </w:tcPr>
          <w:p>
            <w:r>
              <w:t>2,507</w:t>
            </w:r>
          </w:p>
        </w:tc>
        <w:tc>
          <w:tcPr>
            <w:tcW w:type="dxa" w:w="2880"/>
          </w:tcPr>
          <w:p>
            <w:r>
              <w:t>75</w:t>
            </w:r>
          </w:p>
        </w:tc>
      </w:tr>
      <w:tr>
        <w:tc>
          <w:tcPr>
            <w:tcW w:type="dxa" w:w="2880"/>
          </w:tcPr>
          <w:p>
            <w:r>
              <w:t>Frozen</w:t>
            </w:r>
          </w:p>
        </w:tc>
        <w:tc>
          <w:tcPr>
            <w:tcW w:type="dxa" w:w="2880"/>
          </w:tcPr>
          <w:p>
            <w:r>
              <w:t>2,378</w:t>
            </w:r>
          </w:p>
        </w:tc>
        <w:tc>
          <w:tcPr>
            <w:tcW w:type="dxa" w:w="2880"/>
          </w:tcPr>
          <w:p>
            <w:r>
              <w:t>71</w:t>
            </w:r>
          </w:p>
        </w:tc>
      </w:tr>
      <w:tr>
        <w:tc>
          <w:tcPr>
            <w:tcW w:type="dxa" w:w="2880"/>
          </w:tcPr>
          <w:p>
            <w:r>
              <w:t>Baby</w:t>
            </w:r>
          </w:p>
        </w:tc>
        <w:tc>
          <w:tcPr>
            <w:tcW w:type="dxa" w:w="2880"/>
          </w:tcPr>
          <w:p>
            <w:r>
              <w:t>225</w:t>
            </w:r>
          </w:p>
        </w:tc>
        <w:tc>
          <w:tcPr>
            <w:tcW w:type="dxa" w:w="2880"/>
          </w:tcPr>
          <w:p>
            <w:r>
              <w:t>7</w:t>
            </w:r>
          </w:p>
        </w:tc>
      </w:tr>
    </w:tbl>
    <w:p>
      <w:pPr>
        <w:pStyle w:val="Heading2"/>
        <w:pBdr>
          <w:bottom w:val="single" w:sz="4" w:space="0" w:color="000000"/>
        </w:pBdr>
      </w:pPr>
      <w:r>
        <w:rPr>
          <w:rFonts w:ascii="Calibri" w:hAnsi="Calibri"/>
          <w:b/>
        </w:rPr>
        <w:t>5. AI Demand Forecasting Performance</w:t>
      </w:r>
    </w:p>
    <w:p>
      <w:r>
        <w:rPr>
          <w:rFonts w:ascii="Calibri" w:hAnsi="Calibri"/>
          <w:sz w:val="22"/>
        </w:rPr>
        <w:t>FoodFlow AI employs an ensemble demand forecasting model combining Facebook Prophet (for seasonality detection) and XGBoost (for feature-rich regression). The model was trained on 143,234 transaction records with a test set of 35,809 records, using 35 engineered features including temporal patterns, lag features, rolling statistics, weather data, and event indicators. The model achieved a Mean Absolute Error (MAE) of 6.72 kg and Mean Absolute Percentage Error (MAPE) of 18.9%, with 81.1% average confidence in predictions. The top predictive features were rolling_mean_14 (14-day moving average), rolling_mean_7 (7-day moving average), is_weekend, and cyclical day-of-week encodings. Weekend demand is consistently 20-30% higher than weekday demand, a pattern well-captured by the model.</w:t>
      </w:r>
    </w:p>
    <w:p>
      <w:pPr>
        <w:pStyle w:val="Heading2"/>
        <w:pBdr>
          <w:bottom w:val="single" w:sz="4" w:space="0" w:color="000000"/>
        </w:pBdr>
      </w:pPr>
      <w:r>
        <w:rPr>
          <w:rFonts w:ascii="Calibri" w:hAnsi="Calibri"/>
          <w:b/>
        </w:rPr>
        <w:t>6. Waste Cascade Optimization Results</w:t>
      </w:r>
    </w:p>
    <w:p>
      <w:r>
        <w:rPr>
          <w:rFonts w:ascii="Calibri" w:hAnsi="Calibri"/>
          <w:sz w:val="22"/>
        </w:rPr>
        <w:t>The waste cascade optimizer identified 113 surplus items across 10 stores with 1,633 kg of total surplus and generated 186 redistribution actions. The cascade follows a tiered approach: Tier 1 (Retailer-to-Retailer transfer), Tier 2 (Food Bank donation — 855 kg), and Tier 3 (Composting/Animal Feed — 778 kg). Total carbon saved through these cascade actions was 7,583 kg CO₂, with a cost saving of $1,849. Route optimization for the redistribution deliveries used Google OR-Tools Vehicle Routing Problem (VRP) solver, producing 1 optimized route covering 6 stops, 50.1 km distance, in approximately 75 minutes with 644.6 kg total load and only 3.23 kg CO₂ in transport emissions.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4F"/>
          </w:tcPr>
          <w:p>
            <w:r>
              <w:rPr>
                <w:b/>
                <w:color w:val="FFFFFF"/>
              </w:rPr>
              <w:t>Cascade Tier</w:t>
            </w:r>
          </w:p>
        </w:tc>
        <w:tc>
          <w:tcPr>
            <w:tcW w:type="dxa" w:w="2160"/>
            <w:shd w:val="clear" w:color="auto" w:fill="2D6A4F"/>
          </w:tcPr>
          <w:p>
            <w:r>
              <w:rPr>
                <w:b/>
                <w:color w:val="FFFFFF"/>
              </w:rPr>
              <w:t>Actions</w:t>
            </w:r>
          </w:p>
        </w:tc>
        <w:tc>
          <w:tcPr>
            <w:tcW w:type="dxa" w:w="2160"/>
            <w:shd w:val="clear" w:color="auto" w:fill="2D6A4F"/>
          </w:tcPr>
          <w:p>
            <w:r>
              <w:rPr>
                <w:b/>
                <w:color w:val="FFFFFF"/>
              </w:rPr>
              <w:t>Food (kg)</w:t>
            </w:r>
          </w:p>
        </w:tc>
        <w:tc>
          <w:tcPr>
            <w:tcW w:type="dxa" w:w="2160"/>
            <w:shd w:val="clear" w:color="auto" w:fill="2D6A4F"/>
          </w:tcPr>
          <w:p>
            <w:r>
              <w:rPr>
                <w:b/>
                <w:color w:val="FFFFFF"/>
              </w:rPr>
              <w:t>CO₂ Saved (kg)</w:t>
            </w:r>
          </w:p>
        </w:tc>
      </w:tr>
      <w:tr>
        <w:tc>
          <w:tcPr>
            <w:tcW w:type="dxa" w:w="2160"/>
          </w:tcPr>
          <w:p>
            <w:r>
              <w:t>Tier 2 — Food Banks</w:t>
            </w:r>
          </w:p>
        </w:tc>
        <w:tc>
          <w:tcPr>
            <w:tcW w:type="dxa" w:w="2160"/>
          </w:tcPr>
          <w:p>
            <w:r>
              <w:t>93</w:t>
            </w:r>
          </w:p>
        </w:tc>
        <w:tc>
          <w:tcPr>
            <w:tcW w:type="dxa" w:w="2160"/>
          </w:tcPr>
          <w:p>
            <w:r>
              <w:t>855</w:t>
            </w:r>
          </w:p>
        </w:tc>
        <w:tc>
          <w:tcPr>
            <w:tcW w:type="dxa" w:w="2160"/>
          </w:tcPr>
          <w:p>
            <w:r>
              <w:t>4,088</w:t>
            </w:r>
          </w:p>
        </w:tc>
      </w:tr>
      <w:tr>
        <w:tc>
          <w:tcPr>
            <w:tcW w:type="dxa" w:w="2160"/>
          </w:tcPr>
          <w:p>
            <w:r>
              <w:t>Tier 3 — Composting</w:t>
            </w:r>
          </w:p>
        </w:tc>
        <w:tc>
          <w:tcPr>
            <w:tcW w:type="dxa" w:w="2160"/>
          </w:tcPr>
          <w:p>
            <w:r>
              <w:t>93</w:t>
            </w:r>
          </w:p>
        </w:tc>
        <w:tc>
          <w:tcPr>
            <w:tcW w:type="dxa" w:w="2160"/>
          </w:tcPr>
          <w:p>
            <w:r>
              <w:t>778</w:t>
            </w:r>
          </w:p>
        </w:tc>
        <w:tc>
          <w:tcPr>
            <w:tcW w:type="dxa" w:w="2160"/>
          </w:tcPr>
          <w:p>
            <w:r>
              <w:t>3,495</w:t>
            </w:r>
          </w:p>
        </w:tc>
      </w:tr>
      <w:tr>
        <w:tc>
          <w:tcPr>
            <w:tcW w:type="dxa" w:w="2160"/>
          </w:tcPr>
          <w:p>
            <w:r>
              <w:t>Total</w:t>
            </w:r>
          </w:p>
        </w:tc>
        <w:tc>
          <w:tcPr>
            <w:tcW w:type="dxa" w:w="2160"/>
          </w:tcPr>
          <w:p>
            <w:r>
              <w:t>186</w:t>
            </w:r>
          </w:p>
        </w:tc>
        <w:tc>
          <w:tcPr>
            <w:tcW w:type="dxa" w:w="2160"/>
          </w:tcPr>
          <w:p>
            <w:r>
              <w:t>1,633</w:t>
            </w:r>
          </w:p>
        </w:tc>
        <w:tc>
          <w:tcPr>
            <w:tcW w:type="dxa" w:w="2160"/>
          </w:tcPr>
          <w:p>
            <w:r>
              <w:t>7,583</w:t>
            </w:r>
          </w:p>
        </w:tc>
      </w:tr>
    </w:tbl>
    <w:p>
      <w:pPr>
        <w:pStyle w:val="Heading2"/>
        <w:pBdr>
          <w:bottom w:val="single" w:sz="4" w:space="0" w:color="000000"/>
        </w:pBdr>
      </w:pPr>
      <w:r>
        <w:rPr>
          <w:rFonts w:ascii="Calibri" w:hAnsi="Calibri"/>
          <w:b/>
        </w:rPr>
        <w:t>7. Seasonal &amp; Weather Impact Analysis</w:t>
      </w:r>
    </w:p>
    <w:p>
      <w:r>
        <w:rPr>
          <w:rFonts w:ascii="Calibri" w:hAnsi="Calibri"/>
          <w:sz w:val="22"/>
        </w:rPr>
        <w:t>Day-of-week analysis reveals clear demand patterns: weekday sales average 31–41 kg per transaction while weekends surge to 47 kg (Saturday and Sunday). Correspondingly, weekend waste rises to 5.4 kg versus 3.6–4.6 kg on weekdays. Monthly trends remained stable throughout 2025, with waste rates fluctuating between 10.0% (February) and 10.6% (June). Weather conditions had a measurable impact: fog days showed slightly elevated waste at 4.6 kg average despite similar sales to sunny/partly cloudy days (38.9 vs 39.3–39.4 kg). These patterns inform the demand forecaster's feature engineering, where is_weekend, day_of_week, and weather_temp are among the top predictive signals.</w:t>
      </w:r>
    </w:p>
    <w:p>
      <w:pPr>
        <w:pStyle w:val="Heading2"/>
        <w:pBdr>
          <w:bottom w:val="single" w:sz="4" w:space="0" w:color="000000"/>
        </w:pBdr>
      </w:pPr>
      <w:r>
        <w:rPr>
          <w:rFonts w:ascii="Calibri" w:hAnsi="Calibri"/>
          <w:b/>
        </w:rPr>
        <w:t>8. Inventory Health &amp; Risk Assessment</w:t>
      </w:r>
    </w:p>
    <w:p>
      <w:r>
        <w:rPr>
          <w:rFonts w:ascii="Calibri" w:hAnsi="Calibri"/>
          <w:sz w:val="22"/>
        </w:rPr>
        <w:t>As of December 31, 2025, the inventory snapshot contained 579 active items with 6,638 kg total quantity on hand. Average freshness score was 0.495 (on a 0–1 scale). Critically, 187 items (32.3%) were flagged as critical (freshness below 0.3), and 150 items were expiring within 2 days. These items represent the highest priority for cascade actions and demand attention from store managers. The inventory health metrics highlight the ongoing need for tighter demand–supply alignment, particularly for short shelf-life products like chicken breast (3 days), white bread (5 days), and fresh herbs (5–7 days). AI-driven replenishment recommendations could reduce critical inventory levels by an estimated 25–40%.</w:t>
      </w:r>
    </w:p>
    <w:p>
      <w:pPr>
        <w:pStyle w:val="Heading2"/>
        <w:pBdr>
          <w:bottom w:val="single" w:sz="4" w:space="0" w:color="000000"/>
        </w:pBdr>
      </w:pPr>
      <w:r>
        <w:rPr>
          <w:rFonts w:ascii="Calibri" w:hAnsi="Calibri"/>
          <w:b/>
        </w:rPr>
        <w:t>9. Strategic Recommendations</w:t>
      </w:r>
    </w:p>
    <w:p>
      <w:r>
        <w:rPr>
          <w:rFonts w:ascii="Calibri" w:hAnsi="Calibri"/>
          <w:b/>
          <w:sz w:val="22"/>
        </w:rPr>
        <w:t>1. Target High-Waste Categories First</w:t>
      </w:r>
    </w:p>
    <w:p>
      <w:r>
        <w:rPr>
          <w:rFonts w:ascii="Calibri" w:hAnsi="Calibri"/>
          <w:sz w:val="22"/>
        </w:rPr>
        <w:t>Focus waste reduction efforts on vegetables (265,091 kg), fruits (184,739 kg), and dairy (144,783 kg) — these three categories account for 65% of all waste. Implement dynamic pricing for items approaching expiry, reduce order quantities by 10% for consistently oversupplied SKUs, and consider smaller, more frequent deliveries for perishables. Expected impact: 15-20% reduction in category waste = 90,000-120,000 kg saved annually.</w:t>
      </w:r>
    </w:p>
    <w:p>
      <w:r>
        <w:rPr>
          <w:rFonts w:ascii="Calibri" w:hAnsi="Calibri"/>
          <w:b/>
          <w:sz w:val="22"/>
        </w:rPr>
        <w:t>2. Scale Cascade Operations</w:t>
      </w:r>
    </w:p>
    <w:p>
      <w:r>
        <w:rPr>
          <w:rFonts w:ascii="Calibri" w:hAnsi="Calibri"/>
          <w:sz w:val="22"/>
        </w:rPr>
        <w:t>Current cascade operations saved 7,583 kg CO₂ and redirected 1,633 kg of food. Scaling by running daily cascade cycles (instead of on-demand) could capture 10x more surplus, targeting 15,000 kg monthly redistribution. Partner with 3-5 additional food banks and establish Tier 1 retailer-to-retailer transfers. Projected annual carbon savings: 75,000+ kg CO₂.</w:t>
      </w:r>
    </w:p>
    <w:p>
      <w:r>
        <w:rPr>
          <w:rFonts w:ascii="Calibri" w:hAnsi="Calibri"/>
          <w:b/>
          <w:sz w:val="22"/>
        </w:rPr>
        <w:t>3. Enhance Weekend Inventory Planning</w:t>
      </w:r>
    </w:p>
    <w:p>
      <w:r>
        <w:rPr>
          <w:rFonts w:ascii="Calibri" w:hAnsi="Calibri"/>
          <w:sz w:val="22"/>
        </w:rPr>
        <w:t>Weekend demand is 20-30% higher than weekday demand with correspondingly higher waste. Implement AI-driven weekend ordering using the forecast model's weekend demand predictions. Adjust Thursday/Friday receiving schedules to align with weekend peaks. This alone could reduce weekend waste by 15%, saving approximately $150,000 annually in waste costs.</w:t>
      </w:r>
    </w:p>
    <w:p>
      <w:r>
        <w:rPr>
          <w:rFonts w:ascii="Calibri" w:hAnsi="Calibri"/>
          <w:b/>
          <w:sz w:val="22"/>
        </w:rPr>
        <w:t>4. Address Top Wasted Products</w:t>
      </w:r>
    </w:p>
    <w:p>
      <w:r>
        <w:rPr>
          <w:rFonts w:ascii="Calibri" w:hAnsi="Calibri"/>
          <w:sz w:val="22"/>
        </w:rPr>
        <w:t>The top 5 wasted products alone account for 120,595 kg of waste ($104,585 cost): Whole Milk 1L (30,723 kg), Potatoes (25,081 kg), Bananas (23,388 kg), Onions (21,435 kg), and Eggs (20,068 kg). These SKUs should receive individual demand forecasting with tighter confidence intervals, automated markdown triggers at 48 hours before expiry, and supplier order adjustments. Chicken Breast (16,190 kg wasted, $56,667 cost) deserves special attention as the highest waste-cost-per-kg product.</w:t>
      </w:r>
    </w:p>
    <w:p>
      <w:r>
        <w:rPr>
          <w:rFonts w:ascii="Calibri" w:hAnsi="Calibri"/>
          <w:b/>
          <w:sz w:val="22"/>
        </w:rPr>
        <w:t>5. Improve Forecast Accuracy</w:t>
      </w:r>
    </w:p>
    <w:p>
      <w:r>
        <w:rPr>
          <w:rFonts w:ascii="Calibri" w:hAnsi="Calibri"/>
          <w:sz w:val="22"/>
        </w:rPr>
        <w:t>Current MAPE of 18.9% means predictions deviate by ~19% from actual demand. Target MAPE below 15% by incorporating additional data sources: loyalty card data for customer-level demand, competitor pricing, promotional calendars, and local event data. Fine-tune the XGBoost hyperparameters per product category and increase Prophet's changepoint sensitivity for trending items. Each 1% improvement in MAPE translates to approximately $50,000 in reduced waste costs annually.</w:t>
      </w:r>
    </w:p>
    <w:p>
      <w:pPr>
        <w:pStyle w:val="Heading2"/>
        <w:pBdr>
          <w:bottom w:val="single" w:sz="4" w:space="0" w:color="000000"/>
        </w:pBdr>
      </w:pPr>
      <w:r>
        <w:rPr>
          <w:rFonts w:ascii="Calibri" w:hAnsi="Calibri"/>
          <w:b/>
        </w:rPr>
        <w:t>10. Conclusion</w:t>
      </w:r>
    </w:p>
    <w:p>
      <w:r>
        <w:rPr>
          <w:rFonts w:ascii="Calibri" w:hAnsi="Calibri"/>
          <w:sz w:val="22"/>
        </w:rPr>
        <w:t>FoodFlow AI has established a comprehensive data-driven platform for food waste reduction across 15 stores and 148 products. The 2025 baseline data (202,340 transactions, $25.28M revenue, 10.33% waste rate) provides a strong foundation for measuring future improvements. The AI ensemble forecaster demonstrates viable commercial accuracy (MAE 6.72, MAPE 18.9%), and the waste cascade optimizer has proven its ability to redirect surplus food while saving 7,583 kg CO₂. By implementing the five strategic recommendations above — targeting high-waste categories, scaling cascade operations, optimizing weekend planning, addressing top-wasted products, and improving forecast accuracy — FoodFlow AI projects a 20-25% reduction in waste (saving 180,000-230,000 kg annually), $400,000-$500,000 in waste cost savings, and 75,000+ kg CO₂ reduction. This report was generated by FoodFlow AI's agentic analytics engine powered by Mistral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FoodFlow AI — Annual Sustainability &amp; Waste Reduction Report 2025</dc:title>
  <dc:subject/>
  <dc:creator>FoodFlow AI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