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Legacy CBS → .NET 10 Migration</w:t>
      </w:r>
    </w:p>
    <w:p>
      <w:pPr>
        <w:spacing w:after="120"/>
      </w:pPr>
      <w:r>
        <w:rPr>
          <w:color w:val="595959"/>
          <w:sz w:val="24"/>
          <w:szCs w:val="24"/>
        </w:rPr>
        <w:t xml:space="preserve">Estimated effort, timeline, and phasing for management review</w:t>
      </w:r>
    </w:p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Prepared 17 June 2026  ·  Basis: automated scan of the legacy codebase + velocity from delivered pilot screens</w:t>
      </w:r>
    </w:p>
    <w:p>
      <w:pPr>
        <w:pBdr>
          <w:bottom w:val="single" w:color="2E75B6" w:sz="6" w:space="1"/>
        </w:pBdr>
      </w:pP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t xml:space="preserve">TrustBank CBS is a large core-banking system — 1,458 web screens, ~890 report definitions, and 5,317 stored procedures. Migrating it to the new .NET 10 / C# MVC platform is estimated at roughly 10,550 person-days (~48 person-years), most likely delivered over 2.5–3 years with a team of about 20 (developers, QA, BA, PM).</w:t>
      </w:r>
    </w:p>
    <w:p>
      <w:pPr>
        <w:spacing w:after="120"/>
      </w:pPr>
      <w:r>
        <w:t xml:space="preserve">The reusable foundation — application framework, authentication/session, menu and fail-closed access control, multi-database data-access layer, a library of reusable UI components, and a repeatable per-screen migration recipe — is already built and proven on six delivered screens. That work (typically 15–20% of such a programme) is excluded from the build figures below and materially de-risks delivery; the strangler-fig approach lets us cut over module-by-module rather than in a single big-bang.</w:t>
      </w:r>
    </w:p>
    <w:p>
      <w:pPr>
        <w:spacing w:after="120"/>
      </w:pPr>
      <w:r>
        <w:t xml:space="preserve">This is a Rough Order of Magnitude (ROM) estimate, accurate to about ±40%. A focused 4–6 week discovery (the attached screen-by-screen inventory) would firm it to roughly ±15% and produce a committed Phase-1 budget.</w:t>
      </w:r>
    </w:p>
    <w:p>
      <w:pP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Likely effort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Indicative timeline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Team size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~10,550 person-days (~48 PY)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~2.5–3 years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~20 (incl. QA / BA / PM)</w:t>
            </w:r>
          </w:p>
        </w:tc>
      </w:tr>
    </w:tbl>
    <w:p>
      <w:pPr>
        <w:pStyle w:val="Heading1"/>
      </w:pPr>
      <w:r>
        <w:t xml:space="preserve">1. Measured scope</w:t>
      </w:r>
    </w:p>
    <w:p>
      <w:pPr>
        <w:spacing w:after="120"/>
      </w:pPr>
      <w:r>
        <w:t xml:space="preserve">Counts come from an automated scan of the legacy source (Trust.Bank.Publish and the SQL procedure set):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Artifact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Count</w:t>
            </w:r>
          </w:p>
        </w:tc>
      </w:tr>
      <w:t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ASPX screens (total)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1,458</w:t>
            </w:r>
          </w:p>
        </w:tc>
      </w:tr>
      <w:t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  — of which Reports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399</w:t>
            </w:r>
          </w:p>
        </w:tc>
      </w:tr>
      <w:t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  — functional (non-report) screens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1,059</w:t>
            </w:r>
          </w:p>
        </w:tc>
      </w:tr>
      <w:t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Report definitions (.rdlc / .rpt)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892</w:t>
            </w:r>
          </w:p>
        </w:tc>
      </w:tr>
      <w:t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Reusable user controls (.ascx)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19</w:t>
            </w:r>
          </w:p>
        </w:tc>
      </w:tr>
      <w:t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Stored procedures (.sql)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5,317</w:t>
            </w:r>
          </w:p>
        </w:tc>
      </w:tr>
      <w:t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VB code-behind files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1,497</w:t>
            </w:r>
          </w:p>
        </w:tc>
      </w:tr>
    </w:tbl>
    <w:p>
      <w:pPr>
        <w:spacing w:after="120"/>
      </w:pPr>
      <w:r>
        <w:rPr>
          <w:color w:val="595959"/>
          <w:sz w:val="18"/>
          <w:szCs w:val="18"/>
        </w:rPr>
        <w:t xml:space="preserve">Largest modules by screen count: RetailBanking 667, Reports 362, HO 203, Reconciliation 74, Inventory 23, HR / Helpdesk / EmployeeDemand 21 each, Lockers 15.</w:t>
      </w:r>
    </w:p>
    <w:p>
      <w:pPr>
        <w:pStyle w:val="Heading1"/>
      </w:pPr>
      <w:r>
        <w:t xml:space="preserve">2. Method and assumptions</w:t>
      </w:r>
    </w:p>
    <w:p>
      <w:pPr>
        <w:spacing w:after="120"/>
      </w:pPr>
      <w:r>
        <w:t xml:space="preserve">Bottom-up: each functional screen is classified Simple / Medium / Complex and costed at a per-screen rate calibrated to the six screens already delivered; reports are costed separately; cross-cutting workstreams are added explicitly. Calendar = total effort ÷ (team size × 220 productive days per year).</w:t>
      </w:r>
    </w:p>
    <w:p>
      <w:pPr>
        <w:pStyle w:val="Heading2"/>
      </w:pPr>
      <w:r>
        <w:t xml:space="preserve">Key assumptions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Foundation already built</w:t>
      </w:r>
      <w:r>
        <w:t xml:space="preserve"> (excluded from build figures): framework, auth/session, menu + access guard, multi-provider data layer, reusable components (record / account / date pickers, search modal, notifications, opaque row tokens), the per-screen recipe, and six reference screens.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Stored procedures are migrated </w:t>
      </w:r>
      <w:r>
        <w:rPr>
          <w:b/>
          <w:bCs/>
        </w:rPr>
        <w:t xml:space="preserve">with their consuming screen</w:t>
      </w:r>
      <w:r>
        <w:t xml:space="preserve"> (master CRUD → repository pattern; heavy transactional logic → C# service); only shared “engine” procedures are a separate 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blended team of developers, QA, business analysts, and project management.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Strangler-fig coexistence → incremental, module-by-module cutover (value delivered early, no big-bang).</w:t>
      </w:r>
    </w:p>
    <w:p>
      <w:pPr>
        <w:pStyle w:val="Heading1"/>
      </w:pPr>
      <w:r>
        <w:t xml:space="preserve">3. Effort breakdown (likely case)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0"/>
        <w:gridCol w:w="1300"/>
        <w:gridCol w:w="1300"/>
        <w:gridCol w:w="2000"/>
      </w:tblGrid>
      <w:tr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Workstream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Count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Rate (pd)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Effort (pd)</w:t>
            </w:r>
          </w:p>
        </w:tc>
      </w:tr>
      <w:tr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Simple screens (masters, config, lookups, inquiries)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121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1.5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182</w:t>
            </w:r>
          </w:p>
        </w:tc>
      </w:tr>
      <w:tr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 screens (search/list, multi-tab, dependent pickers)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751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4.0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3,004</w:t>
            </w:r>
          </w:p>
        </w:tc>
      </w:tr>
      <w:tr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Complex screens (transactions, maker-checker, calc, batch)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187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10.0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1,870</w:t>
            </w:r>
          </w:p>
        </w:tc>
      </w:tr>
      <w:tr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Reports (re-implement)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399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2.0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798</w:t>
            </w:r>
          </w:p>
        </w:tc>
      </w:tr>
      <w:tr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Reporting platform setup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40</w:t>
            </w:r>
          </w:p>
        </w:tc>
      </w:tr>
      <w:tr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Core engine procedures (interest, balance, day-end, GL, clearing)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40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15.0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600</w:t>
            </w:r>
          </w:p>
        </w:tc>
      </w:tr>
      <w:tr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 migration + parallel-run tooling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200</w:t>
            </w:r>
          </w:p>
        </w:tc>
      </w:tr>
      <w:tr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Foundation remaining + cross-provider hardening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240</w:t>
            </w:r>
          </w:p>
        </w:tc>
      </w:tr>
      <w:tr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Build subtotal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6,934</w:t>
            </w:r>
          </w:p>
        </w:tc>
      </w:tr>
      <w:tr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QA + UAT (30% of build)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2,080</w:t>
            </w:r>
          </w:p>
        </w:tc>
      </w:tr>
      <w:tr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PM / BA / DevOps / training / docs (20% of build)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1,387</w:t>
            </w:r>
          </w:p>
        </w:tc>
      </w:tr>
      <w:tr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Security review + performance hardening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150</w:t>
            </w:r>
          </w:p>
        </w:tc>
      </w:tr>
      <w:tr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TOTAL — likely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~10,550 pd  (~48 PY)</w:t>
            </w:r>
          </w:p>
        </w:tc>
      </w:tr>
    </w:tbl>
    <w:p>
      <w:pPr>
        <w:pStyle w:val="Heading1"/>
      </w:pPr>
      <w:r>
        <w:t xml:space="preserve">4. Estimate range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1200"/>
        <w:gridCol w:w="120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Drivers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pd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PY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Optimistic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Single-DB, reports rehosted, strong reuse, senior team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~7,400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~34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Likely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Multi-DB, reports re-implemented, normal parallel-run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~10,550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~48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Pessimistic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Multi-DB hardening, full report rebuild, deep parallel-run, scope growth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~14,800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~67</w:t>
            </w:r>
          </w:p>
        </w:tc>
      </w:tr>
    </w:tbl>
    <w:p>
      <w:pPr>
        <w:pStyle w:val="Heading1"/>
      </w:pPr>
      <w:r>
        <w:t xml:space="preserve">5. Indicative timeline by team size (likely effort)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Team (incl. QA / BA / PM)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People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Duration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Lean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~3.2 years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Balanced (recommended)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~2.4 years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Accelerated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25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~1.9 years</w:t>
            </w:r>
          </w:p>
        </w:tc>
      </w:tr>
    </w:tbl>
    <w:p>
      <w:pPr>
        <w:spacing w:after="120"/>
      </w:pPr>
      <w:r>
        <w:rPr>
          <w:color w:val="595959"/>
          <w:sz w:val="18"/>
          <w:szCs w:val="18"/>
        </w:rPr>
        <w:t xml:space="preserve">Add ramp-up and final UAT/cutover — a realistic window is ~2.5–3 years at ~20 people.</w:t>
      </w:r>
    </w:p>
    <w:p>
      <w:pPr>
        <w:pStyle w:val="Heading1"/>
      </w:pPr>
      <w:r>
        <w:t xml:space="preserve">6. Phased roadmap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Phase 0 — done:</w:t>
      </w:r>
      <w:r>
        <w:t xml:space="preserve"> foundation, reusable components, pilot screens, migration recipe.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Phase 1 — Discovery &amp; inventory (4–6 weeks):</w:t>
      </w:r>
      <w:r>
        <w:t xml:space="preserve"> screen-by-screen catalogue → firm the estimate to ±15%.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Phase 2 — Masters &amp; config</w:t>
      </w:r>
      <w:r>
        <w:t xml:space="preserve"> (HO, Config, Lockers, HR): quick wins, prove velocity.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Phase 3 — Reporting platform + reports</w:t>
      </w:r>
      <w:r>
        <w:t xml:space="preserve"> (parallel workstream).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Phase 4 — RetailBanking transactions</w:t>
      </w:r>
      <w:r>
        <w:t xml:space="preserve"> (the bulk), by sub-module: deposits → loans → clearing → cash → day-end.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Phase 5 — Reconciliation, Inventory, Helpdesk, EmployeeDemand, Customer360.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Phase 6 — Data migration, parallel run, cutover, hardening, training.</w:t>
      </w:r>
    </w:p>
    <w:p>
      <w:pPr>
        <w:pStyle w:val="Heading1"/>
      </w:pPr>
      <w:r>
        <w:t xml:space="preserve">7. Key risks and cost drivers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Cross-provider SQL (Oracle / PostgreSQL):</w:t>
      </w:r>
      <w:r>
        <w:t xml:space="preserve"> raw-SQL screens are written in SQL-Server dialect; a single-database target removes ~120–150 pd and de-risks delivery.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Reports (362 screens + 892 definitions):</w:t>
      </w:r>
      <w:r>
        <w:t xml:space="preserve"> “rehost” vs “rebuild” swings the total by ~500–700 pd — the single biggest decision.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5,317 stored procedures</w:t>
      </w:r>
      <w:r>
        <w:t xml:space="preserve"> indicate deep embedded business logic (interest, GL, day-end) — the highest-risk, highest-value engines; require senior attention and rigorous parallel-run validation.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Banking correctness &amp; compliance</w:t>
      </w:r>
      <w:r>
        <w:t xml:space="preserve"> mandate reconciliation and likely regulator sign-off, which lengthens UAT.</w:t>
      </w:r>
    </w:p>
    <w:p>
      <w:pPr>
        <w:pStyle w:val="Heading1"/>
      </w:pPr>
      <w:r>
        <w:t xml:space="preserve">8. Recommendation</w:t>
      </w:r>
    </w:p>
    <w:p>
      <w:pPr>
        <w:spacing w:after="120"/>
      </w:pPr>
      <w:r>
        <w:t xml:space="preserve">Approve a 4–6 week discovery phase now. It converts this ROM into a committed plan (±15%), confirms the per-screen complexity in the attached inventory, settles the reports and database-target decisions, and produces a firm Phase-1 budget — all before any large build commitment. The proven foundation means the team can begin delivering migrated screens in Phase 2 immediately afterward.</w:t>
      </w:r>
    </w:p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Supporting workbook: TrustBank-Migration-Estimate.xlsx (editable assumptions, module inventory, and the full 1,458-screen list).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Confidential — ROM estimate ±40%  ·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TrustBank CBS — Migration Estimate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2026-06-17T11:35:22.191Z</dcterms:created>
  <dcterms:modified xsi:type="dcterms:W3CDTF">2026-06-17T11:35:22.192Z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