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With Great Skills Come Great Responsibilities</w:t>
      </w:r>
    </w:p>
    <w:p>
      <w:pPr>
        <w:jc w:val="center"/>
      </w:pPr>
      <w:r>
        <w:rPr>
          <w:i/>
          <w:sz w:val="28"/>
        </w:rPr>
        <w:t>Measuring Security Semantic Drift in Portable AI Agent Skills</w:t>
      </w:r>
    </w:p>
    <w:p>
      <w:pPr>
        <w:jc w:val="center"/>
      </w:pPr>
      <w:r>
        <w:rPr>
          <w:sz w:val="20"/>
        </w:rPr>
        <w:t>Prepared for: Adhithya Rajasekaran</w:t>
        <w:br/>
        <w:t>Date: 18 May 2026</w:t>
      </w:r>
    </w:p>
    <w:p>
      <w:pPr>
        <w:pStyle w:val="Heading2"/>
      </w:pPr>
      <w:r>
        <w:t>Recommended working title:</w:t>
      </w:r>
    </w:p>
    <w:p>
      <w:pPr>
        <w:pStyle w:val="ResearchBox"/>
      </w:pPr>
      <w:r>
        <w:t>With Great Skills Come Great Responsibilities: Measuring Security Semantic Drift in Portable AI Agent Skills</w:t>
      </w:r>
    </w:p>
    <w:p>
      <w:pPr>
        <w:pStyle w:val="Heading2"/>
      </w:pPr>
      <w:r>
        <w:t>Positioning statement:</w:t>
      </w:r>
    </w:p>
    <w:p>
      <w:pPr>
        <w:pStyle w:val="ResearchBox"/>
      </w:pPr>
      <w:r>
        <w:t>This paper studies how the same reusable AI-agent skill can acquire different effective privileges, activation behavior, side effects, approval semantics, and data-flow risks when deployed across heterogeneous runtimes such as Claude-style skills, local coding agents, MCP-connected agents, and plugin-like skill ecosystems.</w:t>
      </w:r>
    </w:p>
    <w:p>
      <w:r>
        <w:br w:type="page"/>
      </w:r>
    </w:p>
    <w:p>
      <w:pPr>
        <w:pStyle w:val="Heading1"/>
      </w:pPr>
      <w:r>
        <w:t>1. Alternative Titles</w:t>
      </w:r>
    </w:p>
    <w:p>
      <w:r>
        <w:t>Avoid branded tool-style names because recent papers already use similar names for adjacent agent-skill security systems. The current title is intentionally generic, memorable, and slightly humorous while still sounding acceptable for a top-tier security venue.</w:t>
      </w:r>
    </w:p>
    <w:tbl>
      <w:tblPr>
        <w:tblStyle w:val="TableGrid"/>
        <w:tblW w:type="auto" w:w="0"/>
        <w:jc w:val="center"/>
        <w:tblLook w:firstColumn="1" w:firstRow="1" w:lastColumn="0" w:lastRow="0" w:noHBand="0" w:noVBand="1" w:val="04A0"/>
      </w:tblPr>
      <w:tblGrid>
        <w:gridCol w:w="3360"/>
        <w:gridCol w:w="3360"/>
        <w:gridCol w:w="3360"/>
      </w:tblGrid>
      <w:tr>
        <w:tc>
          <w:tcPr>
            <w:tcW w:type="dxa" w:w="720"/>
            <w:vAlign w:val="top"/>
            <w:shd w:fill="D9EAF7"/>
          </w:tcPr>
          <w:p>
            <w:r/>
            <w:r>
              <w:rPr>
                <w:rFonts w:ascii="Arial" w:hAnsi="Arial"/>
                <w:b/>
                <w:sz w:val="18"/>
              </w:rPr>
              <w:t>Rank</w:t>
            </w:r>
          </w:p>
        </w:tc>
        <w:tc>
          <w:tcPr>
            <w:tcW w:type="dxa" w:w="3456"/>
            <w:vAlign w:val="top"/>
            <w:shd w:fill="D9EAF7"/>
          </w:tcPr>
          <w:p>
            <w:r/>
            <w:r>
              <w:rPr>
                <w:rFonts w:ascii="Arial" w:hAnsi="Arial"/>
                <w:b/>
                <w:sz w:val="18"/>
              </w:rPr>
              <w:t>Title</w:t>
            </w:r>
          </w:p>
        </w:tc>
        <w:tc>
          <w:tcPr>
            <w:tcW w:type="dxa" w:w="4464"/>
            <w:vAlign w:val="top"/>
            <w:shd w:fill="D9EAF7"/>
          </w:tcPr>
          <w:p>
            <w:r/>
            <w:r>
              <w:rPr>
                <w:rFonts w:ascii="Arial" w:hAnsi="Arial"/>
                <w:b/>
                <w:sz w:val="18"/>
              </w:rPr>
              <w:t>Why it works</w:t>
            </w:r>
          </w:p>
        </w:tc>
      </w:tr>
      <w:tr>
        <w:tc>
          <w:tcPr>
            <w:tcW w:type="dxa" w:w="720"/>
            <w:vAlign w:val="top"/>
          </w:tcPr>
          <w:p>
            <w:r/>
            <w:r>
              <w:rPr>
                <w:rFonts w:ascii="Arial" w:hAnsi="Arial"/>
                <w:b w:val="0"/>
                <w:sz w:val="18"/>
              </w:rPr>
              <w:t>1</w:t>
            </w:r>
          </w:p>
        </w:tc>
        <w:tc>
          <w:tcPr>
            <w:tcW w:type="dxa" w:w="3456"/>
            <w:vAlign w:val="top"/>
          </w:tcPr>
          <w:p>
            <w:r>
              <w:t>With Great Skills Come Great Responsibilities: Measuring Security Semantic Drift in Portable AI Agent Skills</w:t>
            </w:r>
            <w:r>
              <w:rPr>
                <w:rFonts w:ascii="Arial" w:hAnsi="Arial"/>
                <w:b w:val="0"/>
                <w:sz w:val="18"/>
              </w:rPr>
            </w:r>
          </w:p>
        </w:tc>
        <w:tc>
          <w:tcPr>
            <w:tcW w:type="dxa" w:w="4464"/>
            <w:vAlign w:val="top"/>
          </w:tcPr>
          <w:p>
            <w:r/>
            <w:r>
              <w:rPr>
                <w:rFonts w:ascii="Arial" w:hAnsi="Arial"/>
                <w:b w:val="0"/>
                <w:sz w:val="18"/>
              </w:rPr>
              <w:t>Catchy, memorable, and directly captures the novelty: security behavior shifts across runtimes.</w:t>
            </w:r>
          </w:p>
        </w:tc>
      </w:tr>
      <w:tr>
        <w:tc>
          <w:tcPr>
            <w:tcW w:type="dxa" w:w="720"/>
            <w:vAlign w:val="top"/>
          </w:tcPr>
          <w:p>
            <w:r/>
            <w:r>
              <w:rPr>
                <w:rFonts w:ascii="Arial" w:hAnsi="Arial"/>
                <w:b w:val="0"/>
                <w:sz w:val="18"/>
              </w:rPr>
              <w:t>2</w:t>
            </w:r>
          </w:p>
        </w:tc>
        <w:tc>
          <w:tcPr>
            <w:tcW w:type="dxa" w:w="3456"/>
            <w:vAlign w:val="top"/>
          </w:tcPr>
          <w:p>
            <w:r/>
            <w:r>
              <w:rPr>
                <w:rFonts w:ascii="Arial" w:hAnsi="Arial"/>
                <w:b w:val="0"/>
                <w:sz w:val="18"/>
              </w:rPr>
              <w:t>SkillSem: Portable Security Semantics for AI Agent Skills</w:t>
            </w:r>
          </w:p>
        </w:tc>
        <w:tc>
          <w:tcPr>
            <w:tcW w:type="dxa" w:w="4464"/>
            <w:vAlign w:val="top"/>
          </w:tcPr>
          <w:p>
            <w:r/>
            <w:r>
              <w:rPr>
                <w:rFonts w:ascii="Arial" w:hAnsi="Arial"/>
                <w:b w:val="0"/>
                <w:sz w:val="18"/>
              </w:rPr>
              <w:t>More formal and systems-oriented; suitable for a top-tier security paper.</w:t>
            </w:r>
          </w:p>
        </w:tc>
      </w:tr>
      <w:tr>
        <w:tc>
          <w:tcPr>
            <w:tcW w:type="dxa" w:w="720"/>
            <w:vAlign w:val="top"/>
          </w:tcPr>
          <w:p>
            <w:r/>
            <w:r>
              <w:rPr>
                <w:rFonts w:ascii="Arial" w:hAnsi="Arial"/>
                <w:b w:val="0"/>
                <w:sz w:val="18"/>
              </w:rPr>
              <w:t>3</w:t>
            </w:r>
          </w:p>
        </w:tc>
        <w:tc>
          <w:tcPr>
            <w:tcW w:type="dxa" w:w="3456"/>
            <w:vAlign w:val="top"/>
          </w:tcPr>
          <w:p>
            <w:r/>
            <w:r>
              <w:rPr>
                <w:rFonts w:ascii="Arial" w:hAnsi="Arial"/>
                <w:b w:val="0"/>
                <w:sz w:val="18"/>
              </w:rPr>
              <w:t>SkillFlow: Tracking Privilege and Data-Flow Drift in Agent Skill Ecosystems</w:t>
            </w:r>
          </w:p>
        </w:tc>
        <w:tc>
          <w:tcPr>
            <w:tcW w:type="dxa" w:w="4464"/>
            <w:vAlign w:val="top"/>
          </w:tcPr>
          <w:p>
            <w:r/>
            <w:r>
              <w:rPr>
                <w:rFonts w:ascii="Arial" w:hAnsi="Arial"/>
                <w:b w:val="0"/>
                <w:sz w:val="18"/>
              </w:rPr>
              <w:t>Strong if the paper emphasizes taint tracking and exfiltration.</w:t>
            </w:r>
          </w:p>
        </w:tc>
      </w:tr>
      <w:tr>
        <w:tc>
          <w:tcPr>
            <w:tcW w:type="dxa" w:w="720"/>
            <w:vAlign w:val="top"/>
          </w:tcPr>
          <w:p>
            <w:r/>
            <w:r>
              <w:rPr>
                <w:rFonts w:ascii="Arial" w:hAnsi="Arial"/>
                <w:b w:val="0"/>
                <w:sz w:val="18"/>
              </w:rPr>
              <w:t>4</w:t>
            </w:r>
          </w:p>
        </w:tc>
        <w:tc>
          <w:tcPr>
            <w:tcW w:type="dxa" w:w="3456"/>
            <w:vAlign w:val="top"/>
          </w:tcPr>
          <w:p>
            <w:r/>
            <w:r>
              <w:rPr>
                <w:rFonts w:ascii="Arial" w:hAnsi="Arial"/>
                <w:b w:val="0"/>
                <w:sz w:val="18"/>
              </w:rPr>
              <w:t>SkillPort: Secure Portability for AI Agent Skills</w:t>
            </w:r>
          </w:p>
        </w:tc>
        <w:tc>
          <w:tcPr>
            <w:tcW w:type="dxa" w:w="4464"/>
            <w:vAlign w:val="top"/>
          </w:tcPr>
          <w:p>
            <w:r/>
            <w:r>
              <w:rPr>
                <w:rFonts w:ascii="Arial" w:hAnsi="Arial"/>
                <w:b w:val="0"/>
                <w:sz w:val="18"/>
              </w:rPr>
              <w:t>Broad, clean, and easy to brand as a framework.</w:t>
            </w:r>
          </w:p>
        </w:tc>
      </w:tr>
      <w:tr>
        <w:tc>
          <w:tcPr>
            <w:tcW w:type="dxa" w:w="720"/>
            <w:vAlign w:val="top"/>
          </w:tcPr>
          <w:p>
            <w:r/>
            <w:r>
              <w:rPr>
                <w:rFonts w:ascii="Arial" w:hAnsi="Arial"/>
                <w:b w:val="0"/>
                <w:sz w:val="18"/>
              </w:rPr>
              <w:t>5</w:t>
            </w:r>
          </w:p>
        </w:tc>
        <w:tc>
          <w:tcPr>
            <w:tcW w:type="dxa" w:w="3456"/>
            <w:vAlign w:val="top"/>
          </w:tcPr>
          <w:p>
            <w:r/>
            <w:r>
              <w:rPr>
                <w:rFonts w:ascii="Arial" w:hAnsi="Arial"/>
                <w:b w:val="0"/>
                <w:sz w:val="18"/>
              </w:rPr>
              <w:t>Semantic Sandboxes for AI Agent Skills</w:t>
            </w:r>
          </w:p>
        </w:tc>
        <w:tc>
          <w:tcPr>
            <w:tcW w:type="dxa" w:w="4464"/>
            <w:vAlign w:val="top"/>
          </w:tcPr>
          <w:p>
            <w:r/>
            <w:r>
              <w:rPr>
                <w:rFonts w:ascii="Arial" w:hAnsi="Arial"/>
                <w:b w:val="0"/>
                <w:sz w:val="18"/>
              </w:rPr>
              <w:t>Defense-focused and technically mature; less catchy but highly academic.</w:t>
            </w:r>
          </w:p>
        </w:tc>
      </w:tr>
      <w:tr>
        <w:tc>
          <w:tcPr>
            <w:tcW w:type="dxa" w:w="720"/>
            <w:vAlign w:val="top"/>
          </w:tcPr>
          <w:p>
            <w:r/>
            <w:r>
              <w:rPr>
                <w:rFonts w:ascii="Arial" w:hAnsi="Arial"/>
                <w:b w:val="0"/>
                <w:sz w:val="18"/>
              </w:rPr>
              <w:t>6</w:t>
            </w:r>
          </w:p>
        </w:tc>
        <w:tc>
          <w:tcPr>
            <w:tcW w:type="dxa" w:w="3456"/>
            <w:vAlign w:val="top"/>
          </w:tcPr>
          <w:p>
            <w:r/>
            <w:r>
              <w:rPr>
                <w:rFonts w:ascii="Arial" w:hAnsi="Arial"/>
                <w:b w:val="0"/>
                <w:sz w:val="18"/>
              </w:rPr>
              <w:t>One Skill, Many Risks: Security Drift in Agent Skill Runtimes</w:t>
            </w:r>
          </w:p>
        </w:tc>
        <w:tc>
          <w:tcPr>
            <w:tcW w:type="dxa" w:w="4464"/>
            <w:vAlign w:val="top"/>
          </w:tcPr>
          <w:p>
            <w:r/>
            <w:r>
              <w:rPr>
                <w:rFonts w:ascii="Arial" w:hAnsi="Arial"/>
                <w:b w:val="0"/>
                <w:sz w:val="18"/>
              </w:rPr>
              <w:t>Clear and accessible; good for workshop or magazine version.</w:t>
            </w:r>
          </w:p>
        </w:tc>
      </w:tr>
      <w:tr>
        <w:tc>
          <w:tcPr>
            <w:tcW w:type="dxa" w:w="720"/>
            <w:vAlign w:val="top"/>
          </w:tcPr>
          <w:p>
            <w:r/>
            <w:r>
              <w:rPr>
                <w:rFonts w:ascii="Arial" w:hAnsi="Arial"/>
                <w:b w:val="0"/>
                <w:sz w:val="18"/>
              </w:rPr>
              <w:t>7</w:t>
            </w:r>
          </w:p>
        </w:tc>
        <w:tc>
          <w:tcPr>
            <w:tcW w:type="dxa" w:w="3456"/>
            <w:vAlign w:val="top"/>
          </w:tcPr>
          <w:p>
            <w:r/>
            <w:r>
              <w:rPr>
                <w:rFonts w:ascii="Arial" w:hAnsi="Arial"/>
                <w:b w:val="0"/>
                <w:sz w:val="18"/>
              </w:rPr>
              <w:t>SkillSeal: Attesting and Enforcing Security Contracts for Agent Skills</w:t>
            </w:r>
          </w:p>
        </w:tc>
        <w:tc>
          <w:tcPr>
            <w:tcW w:type="dxa" w:w="4464"/>
            <w:vAlign w:val="top"/>
          </w:tcPr>
          <w:p>
            <w:r/>
            <w:r>
              <w:rPr>
                <w:rFonts w:ascii="Arial" w:hAnsi="Arial"/>
                <w:b w:val="0"/>
                <w:sz w:val="18"/>
              </w:rPr>
              <w:t>Good if the final contribution becomes signing, attestation, and manifest enforcement.</w:t>
            </w:r>
          </w:p>
        </w:tc>
      </w:tr>
      <w:tr>
        <w:tc>
          <w:tcPr>
            <w:tcW w:type="dxa" w:w="720"/>
            <w:vAlign w:val="top"/>
          </w:tcPr>
          <w:p>
            <w:r/>
            <w:r>
              <w:rPr>
                <w:rFonts w:ascii="Arial" w:hAnsi="Arial"/>
                <w:b w:val="0"/>
                <w:sz w:val="18"/>
              </w:rPr>
              <w:t>8</w:t>
            </w:r>
          </w:p>
        </w:tc>
        <w:tc>
          <w:tcPr>
            <w:tcW w:type="dxa" w:w="3456"/>
            <w:vAlign w:val="top"/>
          </w:tcPr>
          <w:p>
            <w:r/>
            <w:r>
              <w:rPr>
                <w:rFonts w:ascii="Arial" w:hAnsi="Arial"/>
                <w:b w:val="0"/>
                <w:sz w:val="18"/>
              </w:rPr>
              <w:t>SkillIR: A Security Intermediate Representation for Portable Agent Skills</w:t>
            </w:r>
          </w:p>
        </w:tc>
        <w:tc>
          <w:tcPr>
            <w:tcW w:type="dxa" w:w="4464"/>
            <w:vAlign w:val="top"/>
          </w:tcPr>
          <w:p>
            <w:r/>
            <w:r>
              <w:rPr>
                <w:rFonts w:ascii="Arial" w:hAnsi="Arial"/>
                <w:b w:val="0"/>
                <w:sz w:val="18"/>
              </w:rPr>
              <w:t>Best if the contribution becomes a compiler/IR paper.</w:t>
            </w:r>
          </w:p>
        </w:tc>
      </w:tr>
    </w:tbl>
    <w:p>
      <w:pPr>
        <w:pStyle w:val="Heading1"/>
      </w:pPr>
      <w:r>
        <w:t>2. Highly Technical Abstract</w:t>
      </w:r>
    </w:p>
    <w:p>
      <w:r>
        <w:t>AI agents increasingly rely on reusable skills: modular capability packages containing natural-language instructions, activation metadata, executable scripts, dependency declarations, resources, and tool-use procedures. These packages are designed for portability across agent runtimes, including hosted assistant environments, local coding agents, plugin-style ecosystems, and MCP-connected tool clients. However, current portability is largely syntactic and operational rather than security-preserving. A skill that is benign under one runtime policy may become over-privileged, silently activated, exfiltrative, or approval-bypassing under another because runtimes differ in filesystem scope, shell execution, network egress, credential propagation, persistent state, tool composition, and user-consent semantics.</w:t>
      </w:r>
    </w:p>
    <w:p>
      <w:r>
        <w:t>This paper presents a measurement and mitigation framework for cross-runtime security semantic drift in AI agent skills. The framework defines a runtime-independent security semantic model that normalizes activation behavior, requested and observed capabilities, side effects, data flows, persistence, and approval gates into a capability intermediate representation. We construct the benchmark, a benchmark of benign and adversarial skills spanning document automation, repository maintenance, data extraction, API workflows, MCP-mediated tools, and local file operations. For each skill, we generate semantically equivalent tasks across multiple runtime configurations and measure five drift classes: activation drift, privilege drift, side-effect drift, approval drift, and data-flow drift.</w:t>
      </w:r>
    </w:p>
    <w:p>
      <w:r>
        <w:t>The paper also introduces a policy compiler that maps the intermediate representation into runtime-specific controls, including filesystem mount restrictions, shell-command allowlists, network egress policies, tool allowlists, taint-aware sink restrictions, and approval rules. We evaluate whether compiled policies reduce adversarial success and hidden side effects while preserving benign task completion. By treating agent skills as supply-chain artifacts with runtime-dependent security semantics, this work provides a reproducible benchmark, taxonomy, and enforcement architecture for safer skill ecosystems.</w:t>
      </w:r>
    </w:p>
    <w:p>
      <w:pPr>
        <w:pStyle w:val="Heading1"/>
      </w:pPr>
      <w:r>
        <w:t>3. Why This Is a Good Research Idea</w:t>
      </w:r>
    </w:p>
    <w:p>
      <w:r>
        <w:t>This is a strong research idea, but only if it avoids duplicating recent papers that already scan skills, classify malicious skills, or enforce least privilege. The strongest unexplored angle is not simply that skills are vulnerable; it is that skill security semantics are not portable. The same skill can be safe in a hosted environment and dangerous in a local agent with broad shell, file, network, or MCP access.</w:t>
      </w:r>
    </w:p>
    <w:p>
      <w:pPr>
        <w:pStyle w:val="ListBullet"/>
      </w:pPr>
      <w:r>
        <w:t>Recent empirical work shows agent skills are already a measurable security problem. One large-scale study collected 42,447 skills and analyzed 31,132, reporting that 26.1% contained at least one vulnerability, including prompt injection, data exfiltration, privilege escalation, and supply-chain risks.</w:t>
      </w:r>
    </w:p>
    <w:p>
      <w:pPr>
        <w:pStyle w:val="ListBullet"/>
      </w:pPr>
      <w:r>
        <w:t>Another 2026 study verified 157 malicious skills with 632 vulnerabilities, observing data-theft and agent-hijacking archetypes in real skill registries.</w:t>
      </w:r>
    </w:p>
    <w:p>
      <w:pPr>
        <w:pStyle w:val="ListBullet"/>
      </w:pPr>
      <w:r>
        <w:t>Very recent work already covers least-privilege enforcement and robust pre-load auditing. Therefore, this project should focus on cross-runtime drift, portable security semantics, and runtime policy compilation.</w:t>
      </w:r>
    </w:p>
    <w:p>
      <w:pPr>
        <w:pStyle w:val="ListBullet"/>
      </w:pPr>
      <w:r>
        <w:t>MCP security research shows related risks in tool metadata, tool poisoning, shadowing, rug pulls, and protocol-level trust propagation. This strengthens the motivation because many skill systems use tools and MCP-like connectors as execution surfaces.</w:t>
      </w:r>
    </w:p>
    <w:p>
      <w:pPr>
        <w:pStyle w:val="Heading1"/>
      </w:pPr>
      <w:r>
        <w:t>4. Research Questions</w:t>
      </w:r>
    </w:p>
    <w:tbl>
      <w:tblPr>
        <w:tblStyle w:val="TableGrid"/>
        <w:tblW w:type="auto" w:w="0"/>
        <w:jc w:val="center"/>
        <w:tblLook w:firstColumn="1" w:firstRow="1" w:lastColumn="0" w:lastRow="0" w:noHBand="0" w:noVBand="1" w:val="04A0"/>
      </w:tblPr>
      <w:tblGrid>
        <w:gridCol w:w="3360"/>
        <w:gridCol w:w="3360"/>
        <w:gridCol w:w="3360"/>
      </w:tblGrid>
      <w:tr>
        <w:tc>
          <w:tcPr>
            <w:tcW w:type="dxa" w:w="864"/>
            <w:vAlign w:val="top"/>
            <w:shd w:fill="D9EAF7"/>
          </w:tcPr>
          <w:p>
            <w:r/>
            <w:r>
              <w:rPr>
                <w:rFonts w:ascii="Arial" w:hAnsi="Arial"/>
                <w:b/>
                <w:sz w:val="18"/>
              </w:rPr>
              <w:t>RQ</w:t>
            </w:r>
          </w:p>
        </w:tc>
        <w:tc>
          <w:tcPr>
            <w:tcW w:type="dxa" w:w="4320"/>
            <w:vAlign w:val="top"/>
            <w:shd w:fill="D9EAF7"/>
          </w:tcPr>
          <w:p>
            <w:r/>
            <w:r>
              <w:rPr>
                <w:rFonts w:ascii="Arial" w:hAnsi="Arial"/>
                <w:b/>
                <w:sz w:val="18"/>
              </w:rPr>
              <w:t>Question</w:t>
            </w:r>
          </w:p>
        </w:tc>
        <w:tc>
          <w:tcPr>
            <w:tcW w:type="dxa" w:w="3456"/>
            <w:vAlign w:val="top"/>
            <w:shd w:fill="D9EAF7"/>
          </w:tcPr>
          <w:p>
            <w:r/>
            <w:r>
              <w:rPr>
                <w:rFonts w:ascii="Arial" w:hAnsi="Arial"/>
                <w:b/>
                <w:sz w:val="18"/>
              </w:rPr>
              <w:t>Expected Contribution</w:t>
            </w:r>
          </w:p>
        </w:tc>
      </w:tr>
      <w:tr>
        <w:tc>
          <w:tcPr>
            <w:tcW w:type="dxa" w:w="864"/>
            <w:vAlign w:val="top"/>
          </w:tcPr>
          <w:p>
            <w:r/>
            <w:r>
              <w:rPr>
                <w:rFonts w:ascii="Arial" w:hAnsi="Arial"/>
                <w:b w:val="0"/>
                <w:sz w:val="18"/>
              </w:rPr>
              <w:t>RQ1</w:t>
            </w:r>
          </w:p>
        </w:tc>
        <w:tc>
          <w:tcPr>
            <w:tcW w:type="dxa" w:w="4320"/>
            <w:vAlign w:val="top"/>
          </w:tcPr>
          <w:p>
            <w:r/>
            <w:r>
              <w:rPr>
                <w:rFonts w:ascii="Arial" w:hAnsi="Arial"/>
                <w:b w:val="0"/>
                <w:sz w:val="18"/>
              </w:rPr>
              <w:t>How often does a skill’s effective security behavior change across runtimes?</w:t>
            </w:r>
          </w:p>
        </w:tc>
        <w:tc>
          <w:tcPr>
            <w:tcW w:type="dxa" w:w="3456"/>
            <w:vAlign w:val="top"/>
          </w:tcPr>
          <w:p>
            <w:r/>
            <w:r>
              <w:rPr>
                <w:rFonts w:ascii="Arial" w:hAnsi="Arial"/>
                <w:b w:val="0"/>
                <w:sz w:val="18"/>
              </w:rPr>
              <w:t>A quantitative definition and measurement of security semantic drift.</w:t>
            </w:r>
          </w:p>
        </w:tc>
      </w:tr>
      <w:tr>
        <w:tc>
          <w:tcPr>
            <w:tcW w:type="dxa" w:w="864"/>
            <w:vAlign w:val="top"/>
          </w:tcPr>
          <w:p>
            <w:r/>
            <w:r>
              <w:rPr>
                <w:rFonts w:ascii="Arial" w:hAnsi="Arial"/>
                <w:b w:val="0"/>
                <w:sz w:val="18"/>
              </w:rPr>
              <w:t>RQ2</w:t>
            </w:r>
          </w:p>
        </w:tc>
        <w:tc>
          <w:tcPr>
            <w:tcW w:type="dxa" w:w="4320"/>
            <w:vAlign w:val="top"/>
          </w:tcPr>
          <w:p>
            <w:r/>
            <w:r>
              <w:rPr>
                <w:rFonts w:ascii="Arial" w:hAnsi="Arial"/>
                <w:b w:val="0"/>
                <w:sz w:val="18"/>
              </w:rPr>
              <w:t>Which runtime features most amplify skill risk?</w:t>
            </w:r>
          </w:p>
        </w:tc>
        <w:tc>
          <w:tcPr>
            <w:tcW w:type="dxa" w:w="3456"/>
            <w:vAlign w:val="top"/>
          </w:tcPr>
          <w:p>
            <w:r/>
            <w:r>
              <w:rPr>
                <w:rFonts w:ascii="Arial" w:hAnsi="Arial"/>
                <w:b w:val="0"/>
                <w:sz w:val="18"/>
              </w:rPr>
              <w:t>A ranked analysis of shell, network, filesystem, MCP, persistence, and approval mechanisms.</w:t>
            </w:r>
          </w:p>
        </w:tc>
      </w:tr>
      <w:tr>
        <w:tc>
          <w:tcPr>
            <w:tcW w:type="dxa" w:w="864"/>
            <w:vAlign w:val="top"/>
          </w:tcPr>
          <w:p>
            <w:r/>
            <w:r>
              <w:rPr>
                <w:rFonts w:ascii="Arial" w:hAnsi="Arial"/>
                <w:b w:val="0"/>
                <w:sz w:val="18"/>
              </w:rPr>
              <w:t>RQ3</w:t>
            </w:r>
          </w:p>
        </w:tc>
        <w:tc>
          <w:tcPr>
            <w:tcW w:type="dxa" w:w="4320"/>
            <w:vAlign w:val="top"/>
          </w:tcPr>
          <w:p>
            <w:r/>
            <w:r>
              <w:rPr>
                <w:rFonts w:ascii="Arial" w:hAnsi="Arial"/>
                <w:b w:val="0"/>
                <w:sz w:val="18"/>
              </w:rPr>
              <w:t>Do metadata and SKILL.md instructions cause activation or selection drift?</w:t>
            </w:r>
          </w:p>
        </w:tc>
        <w:tc>
          <w:tcPr>
            <w:tcW w:type="dxa" w:w="3456"/>
            <w:vAlign w:val="top"/>
          </w:tcPr>
          <w:p>
            <w:r/>
            <w:r>
              <w:rPr>
                <w:rFonts w:ascii="Arial" w:hAnsi="Arial"/>
                <w:b w:val="0"/>
                <w:sz w:val="18"/>
              </w:rPr>
              <w:t>Evidence that skill documentation is operational control text, not passive documentation.</w:t>
            </w:r>
          </w:p>
        </w:tc>
      </w:tr>
      <w:tr>
        <w:tc>
          <w:tcPr>
            <w:tcW w:type="dxa" w:w="864"/>
            <w:vAlign w:val="top"/>
          </w:tcPr>
          <w:p>
            <w:r/>
            <w:r>
              <w:rPr>
                <w:rFonts w:ascii="Arial" w:hAnsi="Arial"/>
                <w:b w:val="0"/>
                <w:sz w:val="18"/>
              </w:rPr>
              <w:t>RQ4</w:t>
            </w:r>
          </w:p>
        </w:tc>
        <w:tc>
          <w:tcPr>
            <w:tcW w:type="dxa" w:w="4320"/>
            <w:vAlign w:val="top"/>
          </w:tcPr>
          <w:p>
            <w:r/>
            <w:r>
              <w:rPr>
                <w:rFonts w:ascii="Arial" w:hAnsi="Arial"/>
                <w:b w:val="0"/>
                <w:sz w:val="18"/>
              </w:rPr>
              <w:t>Can a runtime-independent capability IR predict unsafe behavior across platforms?</w:t>
            </w:r>
          </w:p>
        </w:tc>
        <w:tc>
          <w:tcPr>
            <w:tcW w:type="dxa" w:w="3456"/>
            <w:vAlign w:val="top"/>
          </w:tcPr>
          <w:p>
            <w:r/>
            <w:r>
              <w:rPr>
                <w:rFonts w:ascii="Arial" w:hAnsi="Arial"/>
                <w:b w:val="0"/>
                <w:sz w:val="18"/>
              </w:rPr>
              <w:t>A formal model that separates skill intent from runtime-specific controls.</w:t>
            </w:r>
          </w:p>
        </w:tc>
      </w:tr>
      <w:tr>
        <w:tc>
          <w:tcPr>
            <w:tcW w:type="dxa" w:w="864"/>
            <w:vAlign w:val="top"/>
          </w:tcPr>
          <w:p>
            <w:r/>
            <w:r>
              <w:rPr>
                <w:rFonts w:ascii="Arial" w:hAnsi="Arial"/>
                <w:b w:val="0"/>
                <w:sz w:val="18"/>
              </w:rPr>
              <w:t>RQ5</w:t>
            </w:r>
          </w:p>
        </w:tc>
        <w:tc>
          <w:tcPr>
            <w:tcW w:type="dxa" w:w="4320"/>
            <w:vAlign w:val="top"/>
          </w:tcPr>
          <w:p>
            <w:r/>
            <w:r>
              <w:rPr>
                <w:rFonts w:ascii="Arial" w:hAnsi="Arial"/>
                <w:b w:val="0"/>
                <w:sz w:val="18"/>
              </w:rPr>
              <w:t>Can compiled policies reduce attack success while preserving benign utility?</w:t>
            </w:r>
          </w:p>
        </w:tc>
        <w:tc>
          <w:tcPr>
            <w:tcW w:type="dxa" w:w="3456"/>
            <w:vAlign w:val="top"/>
          </w:tcPr>
          <w:p>
            <w:r/>
            <w:r>
              <w:rPr>
                <w:rFonts w:ascii="Arial" w:hAnsi="Arial"/>
                <w:b w:val="0"/>
                <w:sz w:val="18"/>
              </w:rPr>
              <w:t>A practical defense with task success and security metrics.</w:t>
            </w:r>
          </w:p>
        </w:tc>
      </w:tr>
    </w:tbl>
    <w:p>
      <w:pPr>
        <w:pStyle w:val="Heading1"/>
      </w:pPr>
      <w:r>
        <w:t>5. Threat Model</w:t>
      </w:r>
    </w:p>
    <w:p>
      <w:pPr>
        <w:pStyle w:val="Heading2"/>
      </w:pPr>
      <w:r>
        <w:t>Attacker Capabilities</w:t>
      </w:r>
    </w:p>
    <w:p>
      <w:pPr>
        <w:pStyle w:val="ListBullet"/>
      </w:pPr>
      <w:r>
        <w:t>The attacker can publish, modify, or distribute an agent skill containing SKILL.md instructions, metadata, scripts, resources, or dependencies.</w:t>
      </w:r>
    </w:p>
    <w:p>
      <w:pPr>
        <w:pStyle w:val="ListBullet"/>
      </w:pPr>
      <w:r>
        <w:t>The attacker may use benign-looking metadata to influence skill retrieval, ranking, activation, or selection.</w:t>
      </w:r>
    </w:p>
    <w:p>
      <w:pPr>
        <w:pStyle w:val="ListBullet"/>
      </w:pPr>
      <w:r>
        <w:t>The attacker can embed hidden operational instructions inside Markdown, resource files, generated templates, or helper scripts.</w:t>
      </w:r>
    </w:p>
    <w:p>
      <w:pPr>
        <w:pStyle w:val="ListBullet"/>
      </w:pPr>
      <w:r>
        <w:t>The attacker can attempt to read synthetic secrets, workspace files, credentials, or contextual data and send them to an external sink.</w:t>
      </w:r>
    </w:p>
    <w:p>
      <w:pPr>
        <w:pStyle w:val="ListBullet"/>
      </w:pPr>
      <w:r>
        <w:t>The attacker cannot break the underlying operating system sandbox cryptographically; the focus is on agent/runtime permission semantics and behavior-level abuse.</w:t>
      </w:r>
    </w:p>
    <w:p>
      <w:pPr>
        <w:pStyle w:val="Heading2"/>
      </w:pPr>
      <w:r>
        <w:t>Security Goals</w:t>
      </w:r>
    </w:p>
    <w:p>
      <w:pPr>
        <w:pStyle w:val="ListBullet"/>
      </w:pPr>
      <w:r>
        <w:t>Skills should activate only for semantically appropriate tasks.</w:t>
      </w:r>
    </w:p>
    <w:p>
      <w:pPr>
        <w:pStyle w:val="ListBullet"/>
      </w:pPr>
      <w:r>
        <w:t>Skills should receive the minimum runtime capabilities required for the current task.</w:t>
      </w:r>
    </w:p>
    <w:p>
      <w:pPr>
        <w:pStyle w:val="ListBullet"/>
      </w:pPr>
      <w:r>
        <w:t>Skills should not access secrets or unrelated files unless explicitly required and approved.</w:t>
      </w:r>
    </w:p>
    <w:p>
      <w:pPr>
        <w:pStyle w:val="ListBullet"/>
      </w:pPr>
      <w:r>
        <w:t>Sensitive side effects should be gated by meaningful approval semantics.</w:t>
      </w:r>
    </w:p>
    <w:p>
      <w:pPr>
        <w:pStyle w:val="ListBullet"/>
      </w:pPr>
      <w:r>
        <w:t>Porting a skill to a new runtime should not silently expand its effective authority.</w:t>
      </w:r>
    </w:p>
    <w:p>
      <w:pPr>
        <w:pStyle w:val="Heading1"/>
      </w:pPr>
      <w:r>
        <w:t>6. System Design: Measurement and Mitigation Framework</w:t>
      </w:r>
    </w:p>
    <w:p>
      <w:r>
        <w:t>The proposed system is organized as a measurement and enforcement pipeline.</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top"/>
            <w:shd w:fill="D9EAF7"/>
          </w:tcPr>
          <w:p>
            <w:r/>
            <w:r>
              <w:rPr>
                <w:rFonts w:ascii="Arial" w:hAnsi="Arial"/>
                <w:b/>
                <w:sz w:val="18"/>
              </w:rPr>
              <w:t>Component</w:t>
            </w:r>
          </w:p>
        </w:tc>
        <w:tc>
          <w:tcPr>
            <w:tcW w:type="dxa" w:w="4608"/>
            <w:vAlign w:val="top"/>
            <w:shd w:fill="D9EAF7"/>
          </w:tcPr>
          <w:p>
            <w:r/>
            <w:r>
              <w:rPr>
                <w:rFonts w:ascii="Arial" w:hAnsi="Arial"/>
                <w:b/>
                <w:sz w:val="18"/>
              </w:rPr>
              <w:t>Purpose</w:t>
            </w:r>
          </w:p>
        </w:tc>
        <w:tc>
          <w:tcPr>
            <w:tcW w:type="dxa" w:w="2016"/>
            <w:vAlign w:val="top"/>
            <w:shd w:fill="D9EAF7"/>
          </w:tcPr>
          <w:p>
            <w:r/>
            <w:r>
              <w:rPr>
                <w:rFonts w:ascii="Arial" w:hAnsi="Arial"/>
                <w:b/>
                <w:sz w:val="18"/>
              </w:rPr>
              <w:t>Output</w:t>
            </w:r>
          </w:p>
        </w:tc>
      </w:tr>
      <w:tr>
        <w:tc>
          <w:tcPr>
            <w:tcW w:type="dxa" w:w="2016"/>
            <w:vAlign w:val="top"/>
          </w:tcPr>
          <w:p>
            <w:r/>
            <w:r>
              <w:rPr>
                <w:rFonts w:ascii="Arial" w:hAnsi="Arial"/>
                <w:b w:val="0"/>
                <w:sz w:val="18"/>
              </w:rPr>
              <w:t>Skill Parser</w:t>
            </w:r>
          </w:p>
        </w:tc>
        <w:tc>
          <w:tcPr>
            <w:tcW w:type="dxa" w:w="4608"/>
            <w:vAlign w:val="top"/>
          </w:tcPr>
          <w:p>
            <w:r/>
            <w:r>
              <w:rPr>
                <w:rFonts w:ascii="Arial" w:hAnsi="Arial"/>
                <w:b w:val="0"/>
                <w:sz w:val="18"/>
              </w:rPr>
              <w:t>Parses SKILL.md/frontmatter, instructions, resources, scripts, dependencies, and tool references.</w:t>
            </w:r>
          </w:p>
        </w:tc>
        <w:tc>
          <w:tcPr>
            <w:tcW w:type="dxa" w:w="2016"/>
            <w:vAlign w:val="top"/>
          </w:tcPr>
          <w:p>
            <w:r/>
            <w:r>
              <w:rPr>
                <w:rFonts w:ascii="Arial" w:hAnsi="Arial"/>
                <w:b w:val="0"/>
                <w:sz w:val="18"/>
              </w:rPr>
              <w:t>Raw skill facts and candidate capabilities.</w:t>
            </w:r>
          </w:p>
        </w:tc>
      </w:tr>
      <w:tr>
        <w:tc>
          <w:tcPr>
            <w:tcW w:type="dxa" w:w="2016"/>
            <w:vAlign w:val="top"/>
          </w:tcPr>
          <w:p>
            <w:r/>
            <w:r>
              <w:rPr>
                <w:rFonts w:ascii="Arial" w:hAnsi="Arial"/>
                <w:b w:val="0"/>
                <w:sz w:val="18"/>
              </w:rPr>
              <w:t>Static Analyzer</w:t>
            </w:r>
          </w:p>
        </w:tc>
        <w:tc>
          <w:tcPr>
            <w:tcW w:type="dxa" w:w="4608"/>
            <w:vAlign w:val="top"/>
          </w:tcPr>
          <w:p>
            <w:r/>
            <w:r>
              <w:rPr>
                <w:rFonts w:ascii="Arial" w:hAnsi="Arial"/>
                <w:b w:val="0"/>
                <w:sz w:val="18"/>
              </w:rPr>
              <w:t>Detects high-risk instructions, broad triggers, file/network references, command execution, dependency risks, and secret-access patterns.</w:t>
            </w:r>
          </w:p>
        </w:tc>
        <w:tc>
          <w:tcPr>
            <w:tcW w:type="dxa" w:w="2016"/>
            <w:vAlign w:val="top"/>
          </w:tcPr>
          <w:p>
            <w:r/>
            <w:r>
              <w:rPr>
                <w:rFonts w:ascii="Arial" w:hAnsi="Arial"/>
                <w:b w:val="0"/>
                <w:sz w:val="18"/>
              </w:rPr>
              <w:t>Static capability estimate and risk labels.</w:t>
            </w:r>
          </w:p>
        </w:tc>
      </w:tr>
      <w:tr>
        <w:tc>
          <w:tcPr>
            <w:tcW w:type="dxa" w:w="2016"/>
            <w:vAlign w:val="top"/>
          </w:tcPr>
          <w:p>
            <w:r/>
            <w:r>
              <w:rPr>
                <w:rFonts w:ascii="Arial" w:hAnsi="Arial"/>
                <w:b w:val="0"/>
                <w:sz w:val="18"/>
              </w:rPr>
              <w:t>Dynamic Trace Runner</w:t>
            </w:r>
          </w:p>
        </w:tc>
        <w:tc>
          <w:tcPr>
            <w:tcW w:type="dxa" w:w="4608"/>
            <w:vAlign w:val="top"/>
          </w:tcPr>
          <w:p>
            <w:r/>
            <w:r>
              <w:rPr>
                <w:rFonts w:ascii="Arial" w:hAnsi="Arial"/>
                <w:b w:val="0"/>
                <w:sz w:val="18"/>
              </w:rPr>
              <w:t>Runs tasks in instrumented runtimes and records file, process, network, tool, approval, and persistence events.</w:t>
            </w:r>
          </w:p>
        </w:tc>
        <w:tc>
          <w:tcPr>
            <w:tcW w:type="dxa" w:w="2016"/>
            <w:vAlign w:val="top"/>
          </w:tcPr>
          <w:p>
            <w:r/>
            <w:r>
              <w:rPr>
                <w:rFonts w:ascii="Arial" w:hAnsi="Arial"/>
                <w:b w:val="0"/>
                <w:sz w:val="18"/>
              </w:rPr>
              <w:t>Execution traces.</w:t>
            </w:r>
          </w:p>
        </w:tc>
      </w:tr>
      <w:tr>
        <w:tc>
          <w:tcPr>
            <w:tcW w:type="dxa" w:w="2016"/>
            <w:vAlign w:val="top"/>
          </w:tcPr>
          <w:p>
            <w:r/>
            <w:r>
              <w:rPr>
                <w:rFonts w:ascii="Arial" w:hAnsi="Arial"/>
                <w:b w:val="0"/>
                <w:sz w:val="18"/>
              </w:rPr>
              <w:t>Capability IR</w:t>
            </w:r>
          </w:p>
        </w:tc>
        <w:tc>
          <w:tcPr>
            <w:tcW w:type="dxa" w:w="4608"/>
            <w:vAlign w:val="top"/>
          </w:tcPr>
          <w:p>
            <w:r/>
            <w:r>
              <w:rPr>
                <w:rFonts w:ascii="Arial" w:hAnsi="Arial"/>
                <w:b w:val="0"/>
                <w:sz w:val="18"/>
              </w:rPr>
              <w:t>Normalizes declared, inferred, and observed behavior into a runtime-independent representation.</w:t>
            </w:r>
          </w:p>
        </w:tc>
        <w:tc>
          <w:tcPr>
            <w:tcW w:type="dxa" w:w="2016"/>
            <w:vAlign w:val="top"/>
          </w:tcPr>
          <w:p>
            <w:r/>
            <w:r>
              <w:rPr>
                <w:rFonts w:ascii="Arial" w:hAnsi="Arial"/>
                <w:b w:val="0"/>
                <w:sz w:val="18"/>
              </w:rPr>
              <w:t>Machine-readable security contract.</w:t>
            </w:r>
          </w:p>
        </w:tc>
      </w:tr>
      <w:tr>
        <w:tc>
          <w:tcPr>
            <w:tcW w:type="dxa" w:w="2016"/>
            <w:vAlign w:val="top"/>
          </w:tcPr>
          <w:p>
            <w:r/>
            <w:r>
              <w:rPr>
                <w:rFonts w:ascii="Arial" w:hAnsi="Arial"/>
                <w:b w:val="0"/>
                <w:sz w:val="18"/>
              </w:rPr>
              <w:t>Drift Metrics Engine</w:t>
            </w:r>
          </w:p>
        </w:tc>
        <w:tc>
          <w:tcPr>
            <w:tcW w:type="dxa" w:w="4608"/>
            <w:vAlign w:val="top"/>
          </w:tcPr>
          <w:p>
            <w:r/>
            <w:r>
              <w:rPr>
                <w:rFonts w:ascii="Arial" w:hAnsi="Arial"/>
                <w:b w:val="0"/>
                <w:sz w:val="18"/>
              </w:rPr>
              <w:t>Compares behavior across runtimes and tasks.</w:t>
            </w:r>
          </w:p>
        </w:tc>
        <w:tc>
          <w:tcPr>
            <w:tcW w:type="dxa" w:w="2016"/>
            <w:vAlign w:val="top"/>
          </w:tcPr>
          <w:p>
            <w:r/>
            <w:r>
              <w:rPr>
                <w:rFonts w:ascii="Arial" w:hAnsi="Arial"/>
                <w:b w:val="0"/>
                <w:sz w:val="18"/>
              </w:rPr>
              <w:t>Activation, privilege, side-effect, approval, and data-flow drift scores.</w:t>
            </w:r>
          </w:p>
        </w:tc>
      </w:tr>
      <w:tr>
        <w:tc>
          <w:tcPr>
            <w:tcW w:type="dxa" w:w="2016"/>
            <w:vAlign w:val="top"/>
          </w:tcPr>
          <w:p>
            <w:r/>
            <w:r>
              <w:rPr>
                <w:rFonts w:ascii="Arial" w:hAnsi="Arial"/>
                <w:b w:val="0"/>
                <w:sz w:val="18"/>
              </w:rPr>
              <w:t>Policy Compiler</w:t>
            </w:r>
          </w:p>
        </w:tc>
        <w:tc>
          <w:tcPr>
            <w:tcW w:type="dxa" w:w="4608"/>
            <w:vAlign w:val="top"/>
          </w:tcPr>
          <w:p>
            <w:r/>
            <w:r>
              <w:rPr>
                <w:rFonts w:ascii="Arial" w:hAnsi="Arial"/>
                <w:b w:val="0"/>
                <w:sz w:val="18"/>
              </w:rPr>
              <w:t>Converts the IR into runtime-specific restrictions.</w:t>
            </w:r>
          </w:p>
        </w:tc>
        <w:tc>
          <w:tcPr>
            <w:tcW w:type="dxa" w:w="2016"/>
            <w:vAlign w:val="top"/>
          </w:tcPr>
          <w:p>
            <w:r/>
            <w:r>
              <w:rPr>
                <w:rFonts w:ascii="Arial" w:hAnsi="Arial"/>
                <w:b w:val="0"/>
                <w:sz w:val="18"/>
              </w:rPr>
              <w:t>Sandbox rules, allowlists, MCP policies, approval gates.</w:t>
            </w:r>
          </w:p>
        </w:tc>
      </w:tr>
      <w:tr>
        <w:tc>
          <w:tcPr>
            <w:tcW w:type="dxa" w:w="2016"/>
            <w:vAlign w:val="top"/>
          </w:tcPr>
          <w:p>
            <w:r/>
            <w:r>
              <w:rPr>
                <w:rFonts w:ascii="Arial" w:hAnsi="Arial"/>
                <w:b w:val="0"/>
                <w:sz w:val="18"/>
              </w:rPr>
              <w:t>Evaluation Harness</w:t>
            </w:r>
          </w:p>
        </w:tc>
        <w:tc>
          <w:tcPr>
            <w:tcW w:type="dxa" w:w="4608"/>
            <w:vAlign w:val="top"/>
          </w:tcPr>
          <w:p>
            <w:r>
              <w:t>Compares default runtime behavior, baselines, and compiled security policies.</w:t>
            </w:r>
            <w:r>
              <w:rPr>
                <w:rFonts w:ascii="Arial" w:hAnsi="Arial"/>
                <w:b w:val="0"/>
                <w:sz w:val="18"/>
              </w:rPr>
            </w:r>
          </w:p>
        </w:tc>
        <w:tc>
          <w:tcPr>
            <w:tcW w:type="dxa" w:w="2016"/>
            <w:vAlign w:val="top"/>
          </w:tcPr>
          <w:p>
            <w:r/>
            <w:r>
              <w:rPr>
                <w:rFonts w:ascii="Arial" w:hAnsi="Arial"/>
                <w:b w:val="0"/>
                <w:sz w:val="18"/>
              </w:rPr>
              <w:t>Tables, figures, and reproducibility artifacts.</w:t>
            </w:r>
          </w:p>
        </w:tc>
      </w:tr>
    </w:tbl>
    <w:p>
      <w:pPr>
        <w:pStyle w:val="Heading2"/>
      </w:pPr>
      <w:r>
        <w:t>Capability IR Example</w:t>
      </w:r>
    </w:p>
    <w:p>
      <w:r>
        <w:t>skill_id: repo-audit-skill</w:t>
        <w:br/>
        <w:t>declared_capabilities:</w:t>
        <w:br/>
        <w:t xml:space="preserve">  filesystem:</w:t>
        <w:br/>
        <w:t xml:space="preserve">    read: ["./src/**", "./package.json"]</w:t>
        <w:br/>
        <w:t xml:space="preserve">    write: ["./reports/**"]</w:t>
        <w:br/>
        <w:t xml:space="preserve">  shell:</w:t>
        <w:br/>
        <w:t xml:space="preserve">    allowed_commands: ["python scripts/analyze.py", "npm test"]</w:t>
        <w:br/>
        <w:t xml:space="preserve">  network:</w:t>
        <w:br/>
        <w:t xml:space="preserve">    allowed_domains: ["api.github.com"]</w:t>
        <w:br/>
        <w:t xml:space="preserve">  secrets:</w:t>
        <w:br/>
        <w:t xml:space="preserve">    access: "none"</w:t>
        <w:br/>
        <w:t xml:space="preserve">  persistence:</w:t>
        <w:br/>
        <w:t xml:space="preserve">    allowed_paths: ["./reports/**"]</w:t>
        <w:br/>
        <w:t xml:space="preserve">  approvals:</w:t>
        <w:br/>
        <w:t xml:space="preserve">    require_user_approval_for: ["network.send", "filesystem.write", "shell.exec"]</w:t>
        <w:br/>
        <w:t xml:space="preserve">  sinks:</w:t>
        <w:br/>
        <w:t xml:space="preserve">    allowed: ["local_report"]</w:t>
        <w:br/>
        <w:t xml:space="preserve">    denied: ["external_http", "clipboard", "email_send"]</w:t>
      </w:r>
    </w:p>
    <w:p>
      <w:pPr>
        <w:pStyle w:val="Heading1"/>
      </w:pPr>
      <w:r>
        <w:t>7. Experiment Design</w:t>
      </w:r>
    </w:p>
    <w:p>
      <w:pPr>
        <w:pStyle w:val="Heading2"/>
      </w:pPr>
      <w:r>
        <w:t>Experiment A: Cross-Runtime Drift Measurement</w:t>
      </w:r>
    </w:p>
    <w:p>
      <w:r>
        <w:t>Goal: measure how much the same skill’s security behavior changes across runtime policies.</w:t>
      </w:r>
    </w:p>
    <w:tbl>
      <w:tblPr>
        <w:tblStyle w:val="TableGrid"/>
        <w:tblW w:type="auto" w:w="0"/>
        <w:jc w:val="center"/>
        <w:tblLook w:firstColumn="1" w:firstRow="1" w:lastColumn="0" w:lastRow="0" w:noHBand="0" w:noVBand="1" w:val="04A0"/>
      </w:tblPr>
      <w:tblGrid>
        <w:gridCol w:w="5040"/>
        <w:gridCol w:w="5040"/>
      </w:tblGrid>
      <w:tr>
        <w:tc>
          <w:tcPr>
            <w:tcW w:type="dxa" w:w="2160"/>
            <w:vAlign w:val="top"/>
            <w:shd w:fill="D9EAF7"/>
          </w:tcPr>
          <w:p>
            <w:r/>
            <w:r>
              <w:rPr>
                <w:rFonts w:ascii="Arial" w:hAnsi="Arial"/>
                <w:b/>
                <w:sz w:val="18"/>
              </w:rPr>
              <w:t>Variable</w:t>
            </w:r>
          </w:p>
        </w:tc>
        <w:tc>
          <w:tcPr>
            <w:tcW w:type="dxa" w:w="6480"/>
            <w:vAlign w:val="top"/>
            <w:shd w:fill="D9EAF7"/>
          </w:tcPr>
          <w:p>
            <w:r/>
            <w:r>
              <w:rPr>
                <w:rFonts w:ascii="Arial" w:hAnsi="Arial"/>
                <w:b/>
                <w:sz w:val="18"/>
              </w:rPr>
              <w:t>Design</w:t>
            </w:r>
          </w:p>
        </w:tc>
      </w:tr>
      <w:tr>
        <w:tc>
          <w:tcPr>
            <w:tcW w:type="dxa" w:w="2160"/>
            <w:vAlign w:val="top"/>
          </w:tcPr>
          <w:p>
            <w:r/>
            <w:r>
              <w:rPr>
                <w:rFonts w:ascii="Arial" w:hAnsi="Arial"/>
                <w:b w:val="0"/>
                <w:sz w:val="18"/>
              </w:rPr>
              <w:t>Dataset</w:t>
            </w:r>
          </w:p>
        </w:tc>
        <w:tc>
          <w:tcPr>
            <w:tcW w:type="dxa" w:w="6480"/>
            <w:vAlign w:val="top"/>
          </w:tcPr>
          <w:p>
            <w:r/>
            <w:r>
              <w:rPr>
                <w:rFonts w:ascii="Arial" w:hAnsi="Arial"/>
                <w:b w:val="0"/>
                <w:sz w:val="18"/>
              </w:rPr>
              <w:t>60 to 100 skills: benign, adversarial, and mutated variants.</w:t>
            </w:r>
          </w:p>
        </w:tc>
      </w:tr>
      <w:tr>
        <w:tc>
          <w:tcPr>
            <w:tcW w:type="dxa" w:w="2160"/>
            <w:vAlign w:val="top"/>
          </w:tcPr>
          <w:p>
            <w:r/>
            <w:r>
              <w:rPr>
                <w:rFonts w:ascii="Arial" w:hAnsi="Arial"/>
                <w:b w:val="0"/>
                <w:sz w:val="18"/>
              </w:rPr>
              <w:t>Runtime classes</w:t>
            </w:r>
          </w:p>
        </w:tc>
        <w:tc>
          <w:tcPr>
            <w:tcW w:type="dxa" w:w="6480"/>
            <w:vAlign w:val="top"/>
          </w:tcPr>
          <w:p>
            <w:r/>
            <w:r>
              <w:rPr>
                <w:rFonts w:ascii="Arial" w:hAnsi="Arial"/>
                <w:b w:val="0"/>
                <w:sz w:val="18"/>
              </w:rPr>
              <w:t>Hosted/restricted agent, local coding agent, Docker-sandboxed agent, MCP-connected agent, plugin-style skill runtime.</w:t>
            </w:r>
          </w:p>
        </w:tc>
      </w:tr>
      <w:tr>
        <w:tc>
          <w:tcPr>
            <w:tcW w:type="dxa" w:w="2160"/>
            <w:vAlign w:val="top"/>
          </w:tcPr>
          <w:p>
            <w:r/>
            <w:r>
              <w:rPr>
                <w:rFonts w:ascii="Arial" w:hAnsi="Arial"/>
                <w:b w:val="0"/>
                <w:sz w:val="18"/>
              </w:rPr>
              <w:t>Tasks</w:t>
            </w:r>
          </w:p>
        </w:tc>
        <w:tc>
          <w:tcPr>
            <w:tcW w:type="dxa" w:w="6480"/>
            <w:vAlign w:val="top"/>
          </w:tcPr>
          <w:p>
            <w:r/>
            <w:r>
              <w:rPr>
                <w:rFonts w:ascii="Arial" w:hAnsi="Arial"/>
                <w:b w:val="0"/>
                <w:sz w:val="18"/>
              </w:rPr>
              <w:t>3 to 5 semantically equivalent tasks per skill, with controlled inputs and synthetic secrets.</w:t>
            </w:r>
          </w:p>
        </w:tc>
      </w:tr>
      <w:tr>
        <w:tc>
          <w:tcPr>
            <w:tcW w:type="dxa" w:w="2160"/>
            <w:vAlign w:val="top"/>
          </w:tcPr>
          <w:p>
            <w:r/>
            <w:r>
              <w:rPr>
                <w:rFonts w:ascii="Arial" w:hAnsi="Arial"/>
                <w:b w:val="0"/>
                <w:sz w:val="18"/>
              </w:rPr>
              <w:t>Instrumentation</w:t>
            </w:r>
          </w:p>
        </w:tc>
        <w:tc>
          <w:tcPr>
            <w:tcW w:type="dxa" w:w="6480"/>
            <w:vAlign w:val="top"/>
          </w:tcPr>
          <w:p>
            <w:r/>
            <w:r>
              <w:rPr>
                <w:rFonts w:ascii="Arial" w:hAnsi="Arial"/>
                <w:b w:val="0"/>
                <w:sz w:val="18"/>
              </w:rPr>
              <w:t>Filesystem monitor, process monitor, network sink, tool-call logger, approval logger, persistence monitor.</w:t>
            </w:r>
          </w:p>
        </w:tc>
      </w:tr>
      <w:tr>
        <w:tc>
          <w:tcPr>
            <w:tcW w:type="dxa" w:w="2160"/>
            <w:vAlign w:val="top"/>
          </w:tcPr>
          <w:p>
            <w:r/>
            <w:r>
              <w:rPr>
                <w:rFonts w:ascii="Arial" w:hAnsi="Arial"/>
                <w:b w:val="0"/>
                <w:sz w:val="18"/>
              </w:rPr>
              <w:t>Primary metric</w:t>
            </w:r>
          </w:p>
        </w:tc>
        <w:tc>
          <w:tcPr>
            <w:tcW w:type="dxa" w:w="6480"/>
            <w:vAlign w:val="top"/>
          </w:tcPr>
          <w:p>
            <w:r/>
            <w:r>
              <w:rPr>
                <w:rFonts w:ascii="Arial" w:hAnsi="Arial"/>
                <w:b w:val="0"/>
                <w:sz w:val="18"/>
              </w:rPr>
              <w:t>Drift rate across activation, privilege, side effects, approval, and data flow.</w:t>
            </w:r>
          </w:p>
        </w:tc>
      </w:tr>
    </w:tbl>
    <w:p>
      <w:pPr>
        <w:pStyle w:val="Heading2"/>
      </w:pPr>
      <w:r>
        <w:t>Experiment B: Adversarial Skill Families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top"/>
            <w:shd w:fill="D9EAF7"/>
          </w:tcPr>
          <w:p>
            <w:r/>
            <w:r>
              <w:rPr>
                <w:rFonts w:ascii="Arial" w:hAnsi="Arial"/>
                <w:b/>
                <w:sz w:val="18"/>
              </w:rPr>
              <w:t>Attack Family</w:t>
            </w:r>
          </w:p>
        </w:tc>
        <w:tc>
          <w:tcPr>
            <w:tcW w:type="dxa" w:w="4320"/>
            <w:vAlign w:val="top"/>
            <w:shd w:fill="D9EAF7"/>
          </w:tcPr>
          <w:p>
            <w:r/>
            <w:r>
              <w:rPr>
                <w:rFonts w:ascii="Arial" w:hAnsi="Arial"/>
                <w:b/>
                <w:sz w:val="18"/>
              </w:rPr>
              <w:t>Mechanism</w:t>
            </w:r>
          </w:p>
        </w:tc>
        <w:tc>
          <w:tcPr>
            <w:tcW w:type="dxa" w:w="2304"/>
            <w:vAlign w:val="top"/>
            <w:shd w:fill="D9EAF7"/>
          </w:tcPr>
          <w:p>
            <w:r/>
            <w:r>
              <w:rPr>
                <w:rFonts w:ascii="Arial" w:hAnsi="Arial"/>
                <w:b/>
                <w:sz w:val="18"/>
              </w:rPr>
              <w:t>Measured Failure</w:t>
            </w:r>
          </w:p>
        </w:tc>
      </w:tr>
      <w:tr>
        <w:tc>
          <w:tcPr>
            <w:tcW w:type="dxa" w:w="2016"/>
            <w:vAlign w:val="top"/>
          </w:tcPr>
          <w:p>
            <w:r/>
            <w:r>
              <w:rPr>
                <w:rFonts w:ascii="Arial" w:hAnsi="Arial"/>
                <w:b w:val="0"/>
                <w:sz w:val="18"/>
              </w:rPr>
              <w:t>Metadata over-triggering</w:t>
            </w:r>
          </w:p>
        </w:tc>
        <w:tc>
          <w:tcPr>
            <w:tcW w:type="dxa" w:w="4320"/>
            <w:vAlign w:val="top"/>
          </w:tcPr>
          <w:p>
            <w:r/>
            <w:r>
              <w:rPr>
                <w:rFonts w:ascii="Arial" w:hAnsi="Arial"/>
                <w:b w:val="0"/>
                <w:sz w:val="18"/>
              </w:rPr>
              <w:t>Broad descriptions cause the skill to activate for unrelated tasks.</w:t>
            </w:r>
          </w:p>
        </w:tc>
        <w:tc>
          <w:tcPr>
            <w:tcW w:type="dxa" w:w="2304"/>
            <w:vAlign w:val="top"/>
          </w:tcPr>
          <w:p>
            <w:r/>
            <w:r>
              <w:rPr>
                <w:rFonts w:ascii="Arial" w:hAnsi="Arial"/>
                <w:b w:val="0"/>
                <w:sz w:val="18"/>
              </w:rPr>
              <w:t>Activation drift and irrelevant invocation.</w:t>
            </w:r>
          </w:p>
        </w:tc>
      </w:tr>
      <w:tr>
        <w:tc>
          <w:tcPr>
            <w:tcW w:type="dxa" w:w="2016"/>
            <w:vAlign w:val="top"/>
          </w:tcPr>
          <w:p>
            <w:r/>
            <w:r>
              <w:rPr>
                <w:rFonts w:ascii="Arial" w:hAnsi="Arial"/>
                <w:b w:val="0"/>
                <w:sz w:val="18"/>
              </w:rPr>
              <w:t>SKILL.md instruction escalation</w:t>
            </w:r>
          </w:p>
        </w:tc>
        <w:tc>
          <w:tcPr>
            <w:tcW w:type="dxa" w:w="4320"/>
            <w:vAlign w:val="top"/>
          </w:tcPr>
          <w:p>
            <w:r/>
            <w:r>
              <w:rPr>
                <w:rFonts w:ascii="Arial" w:hAnsi="Arial"/>
                <w:b w:val="0"/>
                <w:sz w:val="18"/>
              </w:rPr>
              <w:t>Instructions ask the agent to inspect unrelated files or include secrets in reports.</w:t>
            </w:r>
          </w:p>
        </w:tc>
        <w:tc>
          <w:tcPr>
            <w:tcW w:type="dxa" w:w="2304"/>
            <w:vAlign w:val="top"/>
          </w:tcPr>
          <w:p>
            <w:r/>
            <w:r>
              <w:rPr>
                <w:rFonts w:ascii="Arial" w:hAnsi="Arial"/>
                <w:b w:val="0"/>
                <w:sz w:val="18"/>
              </w:rPr>
              <w:t>Privilege and data-flow violations.</w:t>
            </w:r>
          </w:p>
        </w:tc>
      </w:tr>
      <w:tr>
        <w:tc>
          <w:tcPr>
            <w:tcW w:type="dxa" w:w="2016"/>
            <w:vAlign w:val="top"/>
          </w:tcPr>
          <w:p>
            <w:r/>
            <w:r>
              <w:rPr>
                <w:rFonts w:ascii="Arial" w:hAnsi="Arial"/>
                <w:b w:val="0"/>
                <w:sz w:val="18"/>
              </w:rPr>
              <w:t>Script side effects</w:t>
            </w:r>
          </w:p>
        </w:tc>
        <w:tc>
          <w:tcPr>
            <w:tcW w:type="dxa" w:w="4320"/>
            <w:vAlign w:val="top"/>
          </w:tcPr>
          <w:p>
            <w:r/>
            <w:r>
              <w:rPr>
                <w:rFonts w:ascii="Arial" w:hAnsi="Arial"/>
                <w:b w:val="0"/>
                <w:sz w:val="18"/>
              </w:rPr>
              <w:t>Helper script silently reads/writes files, spawns processes, or changes state.</w:t>
            </w:r>
          </w:p>
        </w:tc>
        <w:tc>
          <w:tcPr>
            <w:tcW w:type="dxa" w:w="2304"/>
            <w:vAlign w:val="top"/>
          </w:tcPr>
          <w:p>
            <w:r/>
            <w:r>
              <w:rPr>
                <w:rFonts w:ascii="Arial" w:hAnsi="Arial"/>
                <w:b w:val="0"/>
                <w:sz w:val="18"/>
              </w:rPr>
              <w:t>Side-effect drift and persistence drift.</w:t>
            </w:r>
          </w:p>
        </w:tc>
      </w:tr>
      <w:tr>
        <w:tc>
          <w:tcPr>
            <w:tcW w:type="dxa" w:w="2016"/>
            <w:vAlign w:val="top"/>
          </w:tcPr>
          <w:p>
            <w:r/>
            <w:r>
              <w:rPr>
                <w:rFonts w:ascii="Arial" w:hAnsi="Arial"/>
                <w:b w:val="0"/>
                <w:sz w:val="18"/>
              </w:rPr>
              <w:t>Network exfiltration</w:t>
            </w:r>
          </w:p>
        </w:tc>
        <w:tc>
          <w:tcPr>
            <w:tcW w:type="dxa" w:w="4320"/>
            <w:vAlign w:val="top"/>
          </w:tcPr>
          <w:p>
            <w:r/>
            <w:r>
              <w:rPr>
                <w:rFonts w:ascii="Arial" w:hAnsi="Arial"/>
                <w:b w:val="0"/>
                <w:sz w:val="18"/>
              </w:rPr>
              <w:t>Canary secrets are sent to a controlled fake endpoint.</w:t>
            </w:r>
          </w:p>
        </w:tc>
        <w:tc>
          <w:tcPr>
            <w:tcW w:type="dxa" w:w="2304"/>
            <w:vAlign w:val="top"/>
          </w:tcPr>
          <w:p>
            <w:r/>
            <w:r>
              <w:rPr>
                <w:rFonts w:ascii="Arial" w:hAnsi="Arial"/>
                <w:b w:val="0"/>
                <w:sz w:val="18"/>
              </w:rPr>
              <w:t>Data-flow drift and sink violation.</w:t>
            </w:r>
          </w:p>
        </w:tc>
      </w:tr>
      <w:tr>
        <w:tc>
          <w:tcPr>
            <w:tcW w:type="dxa" w:w="2016"/>
            <w:vAlign w:val="top"/>
          </w:tcPr>
          <w:p>
            <w:r/>
            <w:r>
              <w:rPr>
                <w:rFonts w:ascii="Arial" w:hAnsi="Arial"/>
                <w:b w:val="0"/>
                <w:sz w:val="18"/>
              </w:rPr>
              <w:t>MCP/tool poisoning</w:t>
            </w:r>
          </w:p>
        </w:tc>
        <w:tc>
          <w:tcPr>
            <w:tcW w:type="dxa" w:w="4320"/>
            <w:vAlign w:val="top"/>
          </w:tcPr>
          <w:p>
            <w:r/>
            <w:r>
              <w:rPr>
                <w:rFonts w:ascii="Arial" w:hAnsi="Arial"/>
                <w:b w:val="0"/>
                <w:sz w:val="18"/>
              </w:rPr>
              <w:t>Tool descriptions or skill instructions bias the agent toward unsafe tool calls.</w:t>
            </w:r>
          </w:p>
        </w:tc>
        <w:tc>
          <w:tcPr>
            <w:tcW w:type="dxa" w:w="2304"/>
            <w:vAlign w:val="top"/>
          </w:tcPr>
          <w:p>
            <w:r/>
            <w:r>
              <w:rPr>
                <w:rFonts w:ascii="Arial" w:hAnsi="Arial"/>
                <w:b w:val="0"/>
                <w:sz w:val="18"/>
              </w:rPr>
              <w:t>Tool misuse and approval drift.</w:t>
            </w:r>
          </w:p>
        </w:tc>
      </w:tr>
      <w:tr>
        <w:tc>
          <w:tcPr>
            <w:tcW w:type="dxa" w:w="2016"/>
            <w:vAlign w:val="top"/>
          </w:tcPr>
          <w:p>
            <w:r/>
            <w:r>
              <w:rPr>
                <w:rFonts w:ascii="Arial" w:hAnsi="Arial"/>
                <w:b w:val="0"/>
                <w:sz w:val="18"/>
              </w:rPr>
              <w:t>Approval bypass framing</w:t>
            </w:r>
          </w:p>
        </w:tc>
        <w:tc>
          <w:tcPr>
            <w:tcW w:type="dxa" w:w="4320"/>
            <w:vAlign w:val="top"/>
          </w:tcPr>
          <w:p>
            <w:r/>
            <w:r>
              <w:rPr>
                <w:rFonts w:ascii="Arial" w:hAnsi="Arial"/>
                <w:b w:val="0"/>
                <w:sz w:val="18"/>
              </w:rPr>
              <w:t>Sensitive action is disguised as routine cleanup, sync, or diagnostics.</w:t>
            </w:r>
          </w:p>
        </w:tc>
        <w:tc>
          <w:tcPr>
            <w:tcW w:type="dxa" w:w="2304"/>
            <w:vAlign w:val="top"/>
          </w:tcPr>
          <w:p>
            <w:r/>
            <w:r>
              <w:rPr>
                <w:rFonts w:ascii="Arial" w:hAnsi="Arial"/>
                <w:b w:val="0"/>
                <w:sz w:val="18"/>
              </w:rPr>
              <w:t>Silent high-impact action.</w:t>
            </w:r>
          </w:p>
        </w:tc>
      </w:tr>
    </w:tbl>
    <w:p>
      <w:pPr>
        <w:pStyle w:val="Heading2"/>
      </w:pPr>
      <w:r>
        <w:t>Experiment C: Defense Evaluation</w:t>
      </w:r>
    </w:p>
    <w:p>
      <w:r>
        <w:t>Compare the following configurations: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top"/>
            <w:shd w:fill="D9EAF7"/>
          </w:tcPr>
          <w:p>
            <w:r/>
            <w:r>
              <w:rPr>
                <w:rFonts w:ascii="Arial" w:hAnsi="Arial"/>
                <w:b/>
                <w:sz w:val="18"/>
              </w:rPr>
              <w:t>Condition</w:t>
            </w:r>
          </w:p>
        </w:tc>
        <w:tc>
          <w:tcPr>
            <w:tcW w:type="dxa" w:w="4752"/>
            <w:vAlign w:val="top"/>
            <w:shd w:fill="D9EAF7"/>
          </w:tcPr>
          <w:p>
            <w:r/>
            <w:r>
              <w:rPr>
                <w:rFonts w:ascii="Arial" w:hAnsi="Arial"/>
                <w:b/>
                <w:sz w:val="18"/>
              </w:rPr>
              <w:t>Description</w:t>
            </w:r>
          </w:p>
        </w:tc>
        <w:tc>
          <w:tcPr>
            <w:tcW w:type="dxa" w:w="2016"/>
            <w:vAlign w:val="top"/>
            <w:shd w:fill="D9EAF7"/>
          </w:tcPr>
          <w:p>
            <w:r/>
            <w:r>
              <w:rPr>
                <w:rFonts w:ascii="Arial" w:hAnsi="Arial"/>
                <w:b/>
                <w:sz w:val="18"/>
              </w:rPr>
              <w:t>Purpose</w:t>
            </w:r>
          </w:p>
        </w:tc>
      </w:tr>
      <w:tr>
        <w:tc>
          <w:tcPr>
            <w:tcW w:type="dxa" w:w="1872"/>
            <w:vAlign w:val="top"/>
          </w:tcPr>
          <w:p>
            <w:r/>
            <w:r>
              <w:rPr>
                <w:rFonts w:ascii="Arial" w:hAnsi="Arial"/>
                <w:b w:val="0"/>
                <w:sz w:val="18"/>
              </w:rPr>
              <w:t>Default runtime</w:t>
            </w:r>
          </w:p>
        </w:tc>
        <w:tc>
          <w:tcPr>
            <w:tcW w:type="dxa" w:w="4752"/>
            <w:vAlign w:val="top"/>
          </w:tcPr>
          <w:p>
            <w:r/>
            <w:r>
              <w:rPr>
                <w:rFonts w:ascii="Arial" w:hAnsi="Arial"/>
                <w:b w:val="0"/>
                <w:sz w:val="18"/>
              </w:rPr>
              <w:t>No extra policy beyond default agent behavior.</w:t>
            </w:r>
          </w:p>
        </w:tc>
        <w:tc>
          <w:tcPr>
            <w:tcW w:type="dxa" w:w="2016"/>
            <w:vAlign w:val="top"/>
          </w:tcPr>
          <w:p>
            <w:r/>
            <w:r>
              <w:rPr>
                <w:rFonts w:ascii="Arial" w:hAnsi="Arial"/>
                <w:b w:val="0"/>
                <w:sz w:val="18"/>
              </w:rPr>
              <w:t>Baseline risk.</w:t>
            </w:r>
          </w:p>
        </w:tc>
      </w:tr>
      <w:tr>
        <w:tc>
          <w:tcPr>
            <w:tcW w:type="dxa" w:w="1872"/>
            <w:vAlign w:val="top"/>
          </w:tcPr>
          <w:p>
            <w:r/>
            <w:r>
              <w:rPr>
                <w:rFonts w:ascii="Arial" w:hAnsi="Arial"/>
                <w:b w:val="0"/>
                <w:sz w:val="18"/>
              </w:rPr>
              <w:t>Static allowlist</w:t>
            </w:r>
          </w:p>
        </w:tc>
        <w:tc>
          <w:tcPr>
            <w:tcW w:type="dxa" w:w="4752"/>
            <w:vAlign w:val="top"/>
          </w:tcPr>
          <w:p>
            <w:r/>
            <w:r>
              <w:rPr>
                <w:rFonts w:ascii="Arial" w:hAnsi="Arial"/>
                <w:b w:val="0"/>
                <w:sz w:val="18"/>
              </w:rPr>
              <w:t>Manually allowed tools/files/commands.</w:t>
            </w:r>
          </w:p>
        </w:tc>
        <w:tc>
          <w:tcPr>
            <w:tcW w:type="dxa" w:w="2016"/>
            <w:vAlign w:val="top"/>
          </w:tcPr>
          <w:p>
            <w:r/>
            <w:r>
              <w:rPr>
                <w:rFonts w:ascii="Arial" w:hAnsi="Arial"/>
                <w:b w:val="0"/>
                <w:sz w:val="18"/>
              </w:rPr>
              <w:t>Simple baseline.</w:t>
            </w:r>
          </w:p>
        </w:tc>
      </w:tr>
      <w:tr>
        <w:tc>
          <w:tcPr>
            <w:tcW w:type="dxa" w:w="1872"/>
            <w:vAlign w:val="top"/>
          </w:tcPr>
          <w:p>
            <w:r/>
            <w:r>
              <w:rPr>
                <w:rFonts w:ascii="Arial" w:hAnsi="Arial"/>
                <w:b w:val="0"/>
                <w:sz w:val="18"/>
              </w:rPr>
              <w:t>Approval-only</w:t>
            </w:r>
          </w:p>
        </w:tc>
        <w:tc>
          <w:tcPr>
            <w:tcW w:type="dxa" w:w="4752"/>
            <w:vAlign w:val="top"/>
          </w:tcPr>
          <w:p>
            <w:r/>
            <w:r>
              <w:rPr>
                <w:rFonts w:ascii="Arial" w:hAnsi="Arial"/>
                <w:b w:val="0"/>
                <w:sz w:val="18"/>
              </w:rPr>
              <w:t>Sensitive actions require user confirmation.</w:t>
            </w:r>
          </w:p>
        </w:tc>
        <w:tc>
          <w:tcPr>
            <w:tcW w:type="dxa" w:w="2016"/>
            <w:vAlign w:val="top"/>
          </w:tcPr>
          <w:p>
            <w:r/>
            <w:r>
              <w:rPr>
                <w:rFonts w:ascii="Arial" w:hAnsi="Arial"/>
                <w:b w:val="0"/>
                <w:sz w:val="18"/>
              </w:rPr>
              <w:t>Measures whether approval alone is sufficient.</w:t>
            </w:r>
          </w:p>
        </w:tc>
      </w:tr>
      <w:tr>
        <w:tc>
          <w:tcPr>
            <w:tcW w:type="dxa" w:w="1872"/>
            <w:vAlign w:val="top"/>
          </w:tcPr>
          <w:p>
            <w:r/>
            <w:r>
              <w:rPr>
                <w:rFonts w:ascii="Arial" w:hAnsi="Arial"/>
                <w:b w:val="0"/>
                <w:sz w:val="18"/>
              </w:rPr>
              <w:t>Least-privilege baseline</w:t>
            </w:r>
          </w:p>
        </w:tc>
        <w:tc>
          <w:tcPr>
            <w:tcW w:type="dxa" w:w="4752"/>
            <w:vAlign w:val="top"/>
          </w:tcPr>
          <w:p>
            <w:r/>
            <w:r>
              <w:rPr>
                <w:rFonts w:ascii="Arial" w:hAnsi="Arial"/>
                <w:b w:val="0"/>
                <w:sz w:val="18"/>
              </w:rPr>
              <w:t>Task-conditioned restriction inspired by existing least-privilege work.</w:t>
            </w:r>
          </w:p>
        </w:tc>
        <w:tc>
          <w:tcPr>
            <w:tcW w:type="dxa" w:w="2016"/>
            <w:vAlign w:val="top"/>
          </w:tcPr>
          <w:p>
            <w:r/>
            <w:r>
              <w:rPr>
                <w:rFonts w:ascii="Arial" w:hAnsi="Arial"/>
                <w:b w:val="0"/>
                <w:sz w:val="18"/>
              </w:rPr>
              <w:t>Strong related-work baseline.</w:t>
            </w:r>
          </w:p>
        </w:tc>
      </w:tr>
      <w:tr>
        <w:tc>
          <w:tcPr>
            <w:tcW w:type="dxa" w:w="1872"/>
            <w:vAlign w:val="top"/>
          </w:tcPr>
          <w:p>
            <w:r>
              <w:t>Proposed cross-runtime framework</w:t>
            </w:r>
          </w:p>
        </w:tc>
        <w:tc>
          <w:tcPr>
            <w:tcW w:type="dxa" w:w="4752"/>
            <w:vAlign w:val="top"/>
          </w:tcPr>
          <w:p>
            <w:r/>
            <w:r>
              <w:rPr>
                <w:rFonts w:ascii="Arial" w:hAnsi="Arial"/>
                <w:b w:val="0"/>
                <w:sz w:val="18"/>
              </w:rPr>
              <w:t>Capability IR + runtime-specific policy compiler.</w:t>
            </w:r>
          </w:p>
        </w:tc>
        <w:tc>
          <w:tcPr>
            <w:tcW w:type="dxa" w:w="2016"/>
            <w:vAlign w:val="top"/>
          </w:tcPr>
          <w:p>
            <w:r/>
            <w:r>
              <w:rPr>
                <w:rFonts w:ascii="Arial" w:hAnsi="Arial"/>
                <w:b w:val="0"/>
                <w:sz w:val="18"/>
              </w:rPr>
              <w:t>Your proposed method.</w:t>
            </w:r>
          </w:p>
        </w:tc>
      </w:tr>
    </w:tbl>
    <w:p>
      <w:pPr>
        <w:pStyle w:val="Heading2"/>
      </w:pPr>
      <w:r>
        <w:t>Metrics</w:t>
      </w:r>
    </w:p>
    <w:tbl>
      <w:tblPr>
        <w:tblStyle w:val="TableGrid"/>
        <w:tblW w:type="auto" w:w="0"/>
        <w:jc w:val="center"/>
        <w:tblLook w:firstColumn="1" w:firstRow="1" w:lastColumn="0" w:lastRow="0" w:noHBand="0" w:noVBand="1" w:val="04A0"/>
      </w:tblPr>
      <w:tblGrid>
        <w:gridCol w:w="5040"/>
        <w:gridCol w:w="5040"/>
      </w:tblGrid>
      <w:tr>
        <w:tc>
          <w:tcPr>
            <w:tcW w:type="dxa" w:w="2592"/>
            <w:vAlign w:val="top"/>
            <w:shd w:fill="D9EAF7"/>
          </w:tcPr>
          <w:p>
            <w:r/>
            <w:r>
              <w:rPr>
                <w:rFonts w:ascii="Arial" w:hAnsi="Arial"/>
                <w:b/>
                <w:sz w:val="18"/>
              </w:rPr>
              <w:t>Metric</w:t>
            </w:r>
          </w:p>
        </w:tc>
        <w:tc>
          <w:tcPr>
            <w:tcW w:type="dxa" w:w="6048"/>
            <w:vAlign w:val="top"/>
            <w:shd w:fill="D9EAF7"/>
          </w:tcPr>
          <w:p>
            <w:r/>
            <w:r>
              <w:rPr>
                <w:rFonts w:ascii="Arial" w:hAnsi="Arial"/>
                <w:b/>
                <w:sz w:val="18"/>
              </w:rPr>
              <w:t>Formula / Definition</w:t>
            </w:r>
          </w:p>
        </w:tc>
      </w:tr>
      <w:tr>
        <w:tc>
          <w:tcPr>
            <w:tcW w:type="dxa" w:w="2592"/>
            <w:vAlign w:val="top"/>
          </w:tcPr>
          <w:p>
            <w:r/>
            <w:r>
              <w:rPr>
                <w:rFonts w:ascii="Arial" w:hAnsi="Arial"/>
                <w:b w:val="0"/>
                <w:sz w:val="18"/>
              </w:rPr>
              <w:t>Activation Drift Rate</w:t>
            </w:r>
          </w:p>
        </w:tc>
        <w:tc>
          <w:tcPr>
            <w:tcW w:type="dxa" w:w="6048"/>
            <w:vAlign w:val="top"/>
          </w:tcPr>
          <w:p>
            <w:r/>
            <w:r>
              <w:rPr>
                <w:rFonts w:ascii="Arial" w:hAnsi="Arial"/>
                <w:b w:val="0"/>
                <w:sz w:val="18"/>
              </w:rPr>
              <w:t>Tasks where skill activation differs across runtimes / total tasks.</w:t>
            </w:r>
          </w:p>
        </w:tc>
      </w:tr>
      <w:tr>
        <w:tc>
          <w:tcPr>
            <w:tcW w:type="dxa" w:w="2592"/>
            <w:vAlign w:val="top"/>
          </w:tcPr>
          <w:p>
            <w:r/>
            <w:r>
              <w:rPr>
                <w:rFonts w:ascii="Arial" w:hAnsi="Arial"/>
                <w:b w:val="0"/>
                <w:sz w:val="18"/>
              </w:rPr>
              <w:t>Privilege Drift Rate</w:t>
            </w:r>
          </w:p>
        </w:tc>
        <w:tc>
          <w:tcPr>
            <w:tcW w:type="dxa" w:w="6048"/>
            <w:vAlign w:val="top"/>
          </w:tcPr>
          <w:p>
            <w:r/>
            <w:r>
              <w:rPr>
                <w:rFonts w:ascii="Arial" w:hAnsi="Arial"/>
                <w:b w:val="0"/>
                <w:sz w:val="18"/>
              </w:rPr>
              <w:t>Observed extra capabilities relative to expected capabilities.</w:t>
            </w:r>
          </w:p>
        </w:tc>
      </w:tr>
      <w:tr>
        <w:tc>
          <w:tcPr>
            <w:tcW w:type="dxa" w:w="2592"/>
            <w:vAlign w:val="top"/>
          </w:tcPr>
          <w:p>
            <w:r/>
            <w:r>
              <w:rPr>
                <w:rFonts w:ascii="Arial" w:hAnsi="Arial"/>
                <w:b w:val="0"/>
                <w:sz w:val="18"/>
              </w:rPr>
              <w:t>Side-Effect Drift Rate</w:t>
            </w:r>
          </w:p>
        </w:tc>
        <w:tc>
          <w:tcPr>
            <w:tcW w:type="dxa" w:w="6048"/>
            <w:vAlign w:val="top"/>
          </w:tcPr>
          <w:p>
            <w:r/>
            <w:r>
              <w:rPr>
                <w:rFonts w:ascii="Arial" w:hAnsi="Arial"/>
                <w:b w:val="0"/>
                <w:sz w:val="18"/>
              </w:rPr>
              <w:t>Unexpected writes, process launches, persistent changes, or tool calls / total runs.</w:t>
            </w:r>
          </w:p>
        </w:tc>
      </w:tr>
      <w:tr>
        <w:tc>
          <w:tcPr>
            <w:tcW w:type="dxa" w:w="2592"/>
            <w:vAlign w:val="top"/>
          </w:tcPr>
          <w:p>
            <w:r/>
            <w:r>
              <w:rPr>
                <w:rFonts w:ascii="Arial" w:hAnsi="Arial"/>
                <w:b w:val="0"/>
                <w:sz w:val="18"/>
              </w:rPr>
              <w:t>Data-Flow Drift Rate</w:t>
            </w:r>
          </w:p>
        </w:tc>
        <w:tc>
          <w:tcPr>
            <w:tcW w:type="dxa" w:w="6048"/>
            <w:vAlign w:val="top"/>
          </w:tcPr>
          <w:p>
            <w:r/>
            <w:r>
              <w:rPr>
                <w:rFonts w:ascii="Arial" w:hAnsi="Arial"/>
                <w:b w:val="0"/>
                <w:sz w:val="18"/>
              </w:rPr>
              <w:t>Synthetic secrets reaching unauthorized sinks / total canaries.</w:t>
            </w:r>
          </w:p>
        </w:tc>
      </w:tr>
      <w:tr>
        <w:tc>
          <w:tcPr>
            <w:tcW w:type="dxa" w:w="2592"/>
            <w:vAlign w:val="top"/>
          </w:tcPr>
          <w:p>
            <w:r/>
            <w:r>
              <w:rPr>
                <w:rFonts w:ascii="Arial" w:hAnsi="Arial"/>
                <w:b w:val="0"/>
                <w:sz w:val="18"/>
              </w:rPr>
              <w:t>Approval Drift Rate</w:t>
            </w:r>
          </w:p>
        </w:tc>
        <w:tc>
          <w:tcPr>
            <w:tcW w:type="dxa" w:w="6048"/>
            <w:vAlign w:val="top"/>
          </w:tcPr>
          <w:p>
            <w:r/>
            <w:r>
              <w:rPr>
                <w:rFonts w:ascii="Arial" w:hAnsi="Arial"/>
                <w:b w:val="0"/>
                <w:sz w:val="18"/>
              </w:rPr>
              <w:t>Sensitive actions executed without comparable approval / sensitive actions.</w:t>
            </w:r>
          </w:p>
        </w:tc>
      </w:tr>
      <w:tr>
        <w:tc>
          <w:tcPr>
            <w:tcW w:type="dxa" w:w="2592"/>
            <w:vAlign w:val="top"/>
          </w:tcPr>
          <w:p>
            <w:r/>
            <w:r>
              <w:rPr>
                <w:rFonts w:ascii="Arial" w:hAnsi="Arial"/>
                <w:b w:val="0"/>
                <w:sz w:val="18"/>
              </w:rPr>
              <w:t>Benign Task Success</w:t>
            </w:r>
          </w:p>
        </w:tc>
        <w:tc>
          <w:tcPr>
            <w:tcW w:type="dxa" w:w="6048"/>
            <w:vAlign w:val="top"/>
          </w:tcPr>
          <w:p>
            <w:r/>
            <w:r>
              <w:rPr>
                <w:rFonts w:ascii="Arial" w:hAnsi="Arial"/>
                <w:b w:val="0"/>
                <w:sz w:val="18"/>
              </w:rPr>
              <w:t>Correct completion of benign task according to expected output and human/LLM judge.</w:t>
            </w:r>
          </w:p>
        </w:tc>
      </w:tr>
      <w:tr>
        <w:tc>
          <w:tcPr>
            <w:tcW w:type="dxa" w:w="2592"/>
            <w:vAlign w:val="top"/>
          </w:tcPr>
          <w:p>
            <w:r/>
            <w:r>
              <w:rPr>
                <w:rFonts w:ascii="Arial" w:hAnsi="Arial"/>
                <w:b w:val="0"/>
                <w:sz w:val="18"/>
              </w:rPr>
              <w:t>Attack Success Rate</w:t>
            </w:r>
          </w:p>
        </w:tc>
        <w:tc>
          <w:tcPr>
            <w:tcW w:type="dxa" w:w="6048"/>
            <w:vAlign w:val="top"/>
          </w:tcPr>
          <w:p>
            <w:r/>
            <w:r>
              <w:rPr>
                <w:rFonts w:ascii="Arial" w:hAnsi="Arial"/>
                <w:b w:val="0"/>
                <w:sz w:val="18"/>
              </w:rPr>
              <w:t>Adversarial goal achieved without being blocked.</w:t>
            </w:r>
          </w:p>
        </w:tc>
      </w:tr>
      <w:tr>
        <w:tc>
          <w:tcPr>
            <w:tcW w:type="dxa" w:w="2592"/>
            <w:vAlign w:val="top"/>
          </w:tcPr>
          <w:p>
            <w:r/>
            <w:r>
              <w:rPr>
                <w:rFonts w:ascii="Arial" w:hAnsi="Arial"/>
                <w:b w:val="0"/>
                <w:sz w:val="18"/>
              </w:rPr>
              <w:t>Policy Overhead</w:t>
            </w:r>
          </w:p>
        </w:tc>
        <w:tc>
          <w:tcPr>
            <w:tcW w:type="dxa" w:w="6048"/>
            <w:vAlign w:val="top"/>
          </w:tcPr>
          <w:p>
            <w:r/>
            <w:r>
              <w:rPr>
                <w:rFonts w:ascii="Arial" w:hAnsi="Arial"/>
                <w:b w:val="0"/>
                <w:sz w:val="18"/>
              </w:rPr>
              <w:t>Latency, token cost, approval burden, and false positive rate.</w:t>
            </w:r>
          </w:p>
        </w:tc>
      </w:tr>
    </w:tbl>
    <w:p>
      <w:pPr>
        <w:pStyle w:val="Heading1"/>
      </w:pPr>
      <w:r>
        <w:t>8. Benchmark Construction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top"/>
            <w:shd w:fill="D9EAF7"/>
          </w:tcPr>
          <w:p>
            <w:r/>
            <w:r>
              <w:rPr>
                <w:rFonts w:ascii="Arial" w:hAnsi="Arial"/>
                <w:b/>
                <w:sz w:val="18"/>
              </w:rPr>
              <w:t>Skill Category</w:t>
            </w:r>
          </w:p>
        </w:tc>
        <w:tc>
          <w:tcPr>
            <w:tcW w:type="dxa" w:w="1440"/>
            <w:vAlign w:val="top"/>
            <w:shd w:fill="D9EAF7"/>
          </w:tcPr>
          <w:p>
            <w:r/>
            <w:r>
              <w:rPr>
                <w:rFonts w:ascii="Arial" w:hAnsi="Arial"/>
                <w:b/>
                <w:sz w:val="18"/>
              </w:rPr>
              <w:t>Benign Count</w:t>
            </w:r>
          </w:p>
        </w:tc>
        <w:tc>
          <w:tcPr>
            <w:tcW w:type="dxa" w:w="1728"/>
            <w:vAlign w:val="top"/>
            <w:shd w:fill="D9EAF7"/>
          </w:tcPr>
          <w:p>
            <w:r/>
            <w:r>
              <w:rPr>
                <w:rFonts w:ascii="Arial" w:hAnsi="Arial"/>
                <w:b/>
                <w:sz w:val="18"/>
              </w:rPr>
              <w:t>Adversarial Variants</w:t>
            </w:r>
          </w:p>
        </w:tc>
        <w:tc>
          <w:tcPr>
            <w:tcW w:type="dxa" w:w="3024"/>
            <w:vAlign w:val="top"/>
            <w:shd w:fill="D9EAF7"/>
          </w:tcPr>
          <w:p>
            <w:r/>
            <w:r>
              <w:rPr>
                <w:rFonts w:ascii="Arial" w:hAnsi="Arial"/>
                <w:b/>
                <w:sz w:val="18"/>
              </w:rPr>
              <w:t>Examples</w:t>
            </w:r>
          </w:p>
        </w:tc>
      </w:tr>
      <w:tr>
        <w:tc>
          <w:tcPr>
            <w:tcW w:type="dxa" w:w="2448"/>
            <w:vAlign w:val="top"/>
          </w:tcPr>
          <w:p>
            <w:r/>
            <w:r>
              <w:rPr>
                <w:rFonts w:ascii="Arial" w:hAnsi="Arial"/>
                <w:b w:val="0"/>
                <w:sz w:val="18"/>
              </w:rPr>
              <w:t>Document automation</w:t>
            </w:r>
          </w:p>
        </w:tc>
        <w:tc>
          <w:tcPr>
            <w:tcW w:type="dxa" w:w="1440"/>
            <w:vAlign w:val="top"/>
          </w:tcPr>
          <w:p>
            <w:r/>
            <w:r>
              <w:rPr>
                <w:rFonts w:ascii="Arial" w:hAnsi="Arial"/>
                <w:b w:val="0"/>
                <w:sz w:val="18"/>
              </w:rPr>
              <w:t>10</w:t>
            </w:r>
          </w:p>
        </w:tc>
        <w:tc>
          <w:tcPr>
            <w:tcW w:type="dxa" w:w="1728"/>
            <w:vAlign w:val="top"/>
          </w:tcPr>
          <w:p>
            <w:r/>
            <w:r>
              <w:rPr>
                <w:rFonts w:ascii="Arial" w:hAnsi="Arial"/>
                <w:b w:val="0"/>
                <w:sz w:val="18"/>
              </w:rPr>
              <w:t>10</w:t>
            </w:r>
          </w:p>
        </w:tc>
        <w:tc>
          <w:tcPr>
            <w:tcW w:type="dxa" w:w="3024"/>
            <w:vAlign w:val="top"/>
          </w:tcPr>
          <w:p>
            <w:r/>
            <w:r>
              <w:rPr>
                <w:rFonts w:ascii="Arial" w:hAnsi="Arial"/>
                <w:b w:val="0"/>
                <w:sz w:val="18"/>
              </w:rPr>
              <w:t>Summarize PDFs, format reports, create slide outlines.</w:t>
            </w:r>
          </w:p>
        </w:tc>
      </w:tr>
      <w:tr>
        <w:tc>
          <w:tcPr>
            <w:tcW w:type="dxa" w:w="2448"/>
            <w:vAlign w:val="top"/>
          </w:tcPr>
          <w:p>
            <w:r/>
            <w:r>
              <w:rPr>
                <w:rFonts w:ascii="Arial" w:hAnsi="Arial"/>
                <w:b w:val="0"/>
                <w:sz w:val="18"/>
              </w:rPr>
              <w:t>Repository maintenance</w:t>
            </w:r>
          </w:p>
        </w:tc>
        <w:tc>
          <w:tcPr>
            <w:tcW w:type="dxa" w:w="1440"/>
            <w:vAlign w:val="top"/>
          </w:tcPr>
          <w:p>
            <w:r/>
            <w:r>
              <w:rPr>
                <w:rFonts w:ascii="Arial" w:hAnsi="Arial"/>
                <w:b w:val="0"/>
                <w:sz w:val="18"/>
              </w:rPr>
              <w:t>10</w:t>
            </w:r>
          </w:p>
        </w:tc>
        <w:tc>
          <w:tcPr>
            <w:tcW w:type="dxa" w:w="1728"/>
            <w:vAlign w:val="top"/>
          </w:tcPr>
          <w:p>
            <w:r/>
            <w:r>
              <w:rPr>
                <w:rFonts w:ascii="Arial" w:hAnsi="Arial"/>
                <w:b w:val="0"/>
                <w:sz w:val="18"/>
              </w:rPr>
              <w:t>10</w:t>
            </w:r>
          </w:p>
        </w:tc>
        <w:tc>
          <w:tcPr>
            <w:tcW w:type="dxa" w:w="3024"/>
            <w:vAlign w:val="top"/>
          </w:tcPr>
          <w:p>
            <w:r/>
            <w:r>
              <w:rPr>
                <w:rFonts w:ascii="Arial" w:hAnsi="Arial"/>
                <w:b w:val="0"/>
                <w:sz w:val="18"/>
              </w:rPr>
              <w:t>Run tests, inspect dependencies, generate audit reports.</w:t>
            </w:r>
          </w:p>
        </w:tc>
      </w:tr>
      <w:tr>
        <w:tc>
          <w:tcPr>
            <w:tcW w:type="dxa" w:w="2448"/>
            <w:vAlign w:val="top"/>
          </w:tcPr>
          <w:p>
            <w:r/>
            <w:r>
              <w:rPr>
                <w:rFonts w:ascii="Arial" w:hAnsi="Arial"/>
                <w:b w:val="0"/>
                <w:sz w:val="18"/>
              </w:rPr>
              <w:t>Data extraction</w:t>
            </w:r>
          </w:p>
        </w:tc>
        <w:tc>
          <w:tcPr>
            <w:tcW w:type="dxa" w:w="1440"/>
            <w:vAlign w:val="top"/>
          </w:tcPr>
          <w:p>
            <w:r/>
            <w:r>
              <w:rPr>
                <w:rFonts w:ascii="Arial" w:hAnsi="Arial"/>
                <w:b w:val="0"/>
                <w:sz w:val="18"/>
              </w:rPr>
              <w:t>10</w:t>
            </w:r>
          </w:p>
        </w:tc>
        <w:tc>
          <w:tcPr>
            <w:tcW w:type="dxa" w:w="1728"/>
            <w:vAlign w:val="top"/>
          </w:tcPr>
          <w:p>
            <w:r/>
            <w:r>
              <w:rPr>
                <w:rFonts w:ascii="Arial" w:hAnsi="Arial"/>
                <w:b w:val="0"/>
                <w:sz w:val="18"/>
              </w:rPr>
              <w:t>10</w:t>
            </w:r>
          </w:p>
        </w:tc>
        <w:tc>
          <w:tcPr>
            <w:tcW w:type="dxa" w:w="3024"/>
            <w:vAlign w:val="top"/>
          </w:tcPr>
          <w:p>
            <w:r/>
            <w:r>
              <w:rPr>
                <w:rFonts w:ascii="Arial" w:hAnsi="Arial"/>
                <w:b w:val="0"/>
                <w:sz w:val="18"/>
              </w:rPr>
              <w:t>Extract tables, parse logs, clean CSV files.</w:t>
            </w:r>
          </w:p>
        </w:tc>
      </w:tr>
      <w:tr>
        <w:tc>
          <w:tcPr>
            <w:tcW w:type="dxa" w:w="2448"/>
            <w:vAlign w:val="top"/>
          </w:tcPr>
          <w:p>
            <w:r/>
            <w:r>
              <w:rPr>
                <w:rFonts w:ascii="Arial" w:hAnsi="Arial"/>
                <w:b w:val="0"/>
                <w:sz w:val="18"/>
              </w:rPr>
              <w:t>API workflows</w:t>
            </w:r>
          </w:p>
        </w:tc>
        <w:tc>
          <w:tcPr>
            <w:tcW w:type="dxa" w:w="1440"/>
            <w:vAlign w:val="top"/>
          </w:tcPr>
          <w:p>
            <w:r/>
            <w:r>
              <w:rPr>
                <w:rFonts w:ascii="Arial" w:hAnsi="Arial"/>
                <w:b w:val="0"/>
                <w:sz w:val="18"/>
              </w:rPr>
              <w:t>10</w:t>
            </w:r>
          </w:p>
        </w:tc>
        <w:tc>
          <w:tcPr>
            <w:tcW w:type="dxa" w:w="1728"/>
            <w:vAlign w:val="top"/>
          </w:tcPr>
          <w:p>
            <w:r/>
            <w:r>
              <w:rPr>
                <w:rFonts w:ascii="Arial" w:hAnsi="Arial"/>
                <w:b w:val="0"/>
                <w:sz w:val="18"/>
              </w:rPr>
              <w:t>10</w:t>
            </w:r>
          </w:p>
        </w:tc>
        <w:tc>
          <w:tcPr>
            <w:tcW w:type="dxa" w:w="3024"/>
            <w:vAlign w:val="top"/>
          </w:tcPr>
          <w:p>
            <w:r/>
            <w:r>
              <w:rPr>
                <w:rFonts w:ascii="Arial" w:hAnsi="Arial"/>
                <w:b w:val="0"/>
                <w:sz w:val="18"/>
              </w:rPr>
              <w:t>Query issue trackers, fetch public metadata, prepare reports.</w:t>
            </w:r>
          </w:p>
        </w:tc>
      </w:tr>
      <w:tr>
        <w:tc>
          <w:tcPr>
            <w:tcW w:type="dxa" w:w="2448"/>
            <w:vAlign w:val="top"/>
          </w:tcPr>
          <w:p>
            <w:r/>
            <w:r>
              <w:rPr>
                <w:rFonts w:ascii="Arial" w:hAnsi="Arial"/>
                <w:b w:val="0"/>
                <w:sz w:val="18"/>
              </w:rPr>
              <w:t>MCP/tool workflows</w:t>
            </w:r>
          </w:p>
        </w:tc>
        <w:tc>
          <w:tcPr>
            <w:tcW w:type="dxa" w:w="1440"/>
            <w:vAlign w:val="top"/>
          </w:tcPr>
          <w:p>
            <w:r/>
            <w:r>
              <w:rPr>
                <w:rFonts w:ascii="Arial" w:hAnsi="Arial"/>
                <w:b w:val="0"/>
                <w:sz w:val="18"/>
              </w:rPr>
              <w:t>10</w:t>
            </w:r>
          </w:p>
        </w:tc>
        <w:tc>
          <w:tcPr>
            <w:tcW w:type="dxa" w:w="1728"/>
            <w:vAlign w:val="top"/>
          </w:tcPr>
          <w:p>
            <w:r/>
            <w:r>
              <w:rPr>
                <w:rFonts w:ascii="Arial" w:hAnsi="Arial"/>
                <w:b w:val="0"/>
                <w:sz w:val="18"/>
              </w:rPr>
              <w:t>10</w:t>
            </w:r>
          </w:p>
        </w:tc>
        <w:tc>
          <w:tcPr>
            <w:tcW w:type="dxa" w:w="3024"/>
            <w:vAlign w:val="top"/>
          </w:tcPr>
          <w:p>
            <w:r/>
            <w:r>
              <w:rPr>
                <w:rFonts w:ascii="Arial" w:hAnsi="Arial"/>
                <w:b w:val="0"/>
                <w:sz w:val="18"/>
              </w:rPr>
              <w:t>Use mock tool servers with controlled descriptors and permissions.</w:t>
            </w:r>
          </w:p>
        </w:tc>
      </w:tr>
      <w:tr>
        <w:tc>
          <w:tcPr>
            <w:tcW w:type="dxa" w:w="2448"/>
            <w:vAlign w:val="top"/>
          </w:tcPr>
          <w:p>
            <w:r/>
            <w:r>
              <w:rPr>
                <w:rFonts w:ascii="Arial" w:hAnsi="Arial"/>
                <w:b w:val="0"/>
                <w:sz w:val="18"/>
              </w:rPr>
              <w:t>Local file operations</w:t>
            </w:r>
          </w:p>
        </w:tc>
        <w:tc>
          <w:tcPr>
            <w:tcW w:type="dxa" w:w="1440"/>
            <w:vAlign w:val="top"/>
          </w:tcPr>
          <w:p>
            <w:r/>
            <w:r>
              <w:rPr>
                <w:rFonts w:ascii="Arial" w:hAnsi="Arial"/>
                <w:b w:val="0"/>
                <w:sz w:val="18"/>
              </w:rPr>
              <w:t>10</w:t>
            </w:r>
          </w:p>
        </w:tc>
        <w:tc>
          <w:tcPr>
            <w:tcW w:type="dxa" w:w="1728"/>
            <w:vAlign w:val="top"/>
          </w:tcPr>
          <w:p>
            <w:r/>
            <w:r>
              <w:rPr>
                <w:rFonts w:ascii="Arial" w:hAnsi="Arial"/>
                <w:b w:val="0"/>
                <w:sz w:val="18"/>
              </w:rPr>
              <w:t>10</w:t>
            </w:r>
          </w:p>
        </w:tc>
        <w:tc>
          <w:tcPr>
            <w:tcW w:type="dxa" w:w="3024"/>
            <w:vAlign w:val="top"/>
          </w:tcPr>
          <w:p>
            <w:r/>
            <w:r>
              <w:rPr>
                <w:rFonts w:ascii="Arial" w:hAnsi="Arial"/>
                <w:b w:val="0"/>
                <w:sz w:val="18"/>
              </w:rPr>
              <w:t>Organize folders, rename files, create manifests.</w:t>
            </w:r>
          </w:p>
        </w:tc>
      </w:tr>
    </w:tbl>
    <w:p>
      <w:pPr>
        <w:pStyle w:val="Heading1"/>
      </w:pPr>
      <w:r>
        <w:t>9. GitHub Repository Structure</w:t>
      </w:r>
    </w:p>
    <w:p>
      <w:r>
        <w:t>Recommended repository name: agent-skills-security</w:t>
      </w:r>
    </w:p>
    <w:p>
      <w:r>
        <w:t>agent-skills-security/</w:t>
        <w:br/>
        <w:t>├── README.md</w:t>
        <w:br/>
        <w:t>├── LICENSE</w:t>
        <w:br/>
        <w:t>├── CITATION.cff</w:t>
        <w:br/>
        <w:t>├── SECURITY.md</w:t>
        <w:br/>
        <w:t>├── pyproject.toml</w:t>
        <w:br/>
        <w:t>├── requirements.txt</w:t>
        <w:br/>
        <w:t>├── .github/workflows/</w:t>
        <w:br/>
        <w:t>│   ├── tests.yml</w:t>
        <w:br/>
        <w:t>│   ├── lint.yml</w:t>
        <w:br/>
        <w:t>│   └── artifact-check.yml</w:t>
        <w:br/>
        <w:t>├── docs/</w:t>
        <w:br/>
        <w:t>│   ├── overview.md</w:t>
        <w:br/>
        <w:t>│   ├── threat-model.md</w:t>
        <w:br/>
        <w:t>│   ├── benchmark-design.md</w:t>
        <w:br/>
        <w:t>│   ├── capability-ir.md</w:t>
        <w:br/>
        <w:t>│   ├── experiment-protocol.md</w:t>
        <w:br/>
        <w:t>│   ├── ethics.md</w:t>
        <w:br/>
        <w:t>│   └── paper-notes.md</w:t>
        <w:br/>
        <w:t>├── paper/</w:t>
        <w:br/>
        <w:t>│   ├── main.tex</w:t>
        <w:br/>
        <w:t>│   ├── abstract.tex</w:t>
        <w:br/>
        <w:t>│   ├── introduction.tex</w:t>
        <w:br/>
        <w:t>│   ├── related-work.tex</w:t>
        <w:br/>
        <w:t>│   ├── threat-model.tex</w:t>
        <w:br/>
        <w:t>│   ├── design.tex</w:t>
        <w:br/>
        <w:t>│   ├── evaluation.tex</w:t>
        <w:br/>
        <w:t>│   ├── discussion.tex</w:t>
        <w:br/>
        <w:t>│   ├── limitations.tex</w:t>
        <w:br/>
        <w:t>│   └── refs.bib</w:t>
        <w:br/>
        <w:t>├── agent-skills-security/</w:t>
        <w:br/>
        <w:t>│   ├── cli.py</w:t>
        <w:br/>
        <w:t>│   ├── parsers/</w:t>
        <w:br/>
        <w:t>│   ├── static_analysis/</w:t>
        <w:br/>
        <w:t>│   ├── dynamic_tracing/</w:t>
        <w:br/>
        <w:t>│   ├── ir/</w:t>
        <w:br/>
        <w:t>│   ├── policy_compiler/</w:t>
        <w:br/>
        <w:t>│   ├── attacks/</w:t>
        <w:br/>
        <w:t>│   ├── metrics/</w:t>
        <w:br/>
        <w:t>│   └── reporting/</w:t>
        <w:br/>
        <w:t>├── benchmark/</w:t>
        <w:br/>
        <w:t>│   ├── skills/benign/</w:t>
        <w:br/>
        <w:t>│   ├── skills/adversarial/</w:t>
        <w:br/>
        <w:t>│   ├── tasks/</w:t>
        <w:br/>
        <w:t>│   ├── secrets/</w:t>
        <w:br/>
        <w:t>│   └── expected/</w:t>
        <w:br/>
        <w:t>├── runtimes/</w:t>
        <w:br/>
        <w:t>│   ├── local_agent/</w:t>
        <w:br/>
        <w:t>│   ├── docker_agent/</w:t>
        <w:br/>
        <w:t>│   ├── mcp_agent/</w:t>
        <w:br/>
        <w:t>│   ├── hosted_emulation/</w:t>
        <w:br/>
        <w:t>│   └── adapters/</w:t>
        <w:br/>
        <w:t>├── experiments/</w:t>
        <w:br/>
        <w:t>│   ├── configs/</w:t>
        <w:br/>
        <w:t>│   ├── run_baseline.py</w:t>
        <w:br/>
        <w:t>│   ├── run_attacks.py</w:t>
        <w:br/>
        <w:t>│   ├── run_defense.py</w:t>
        <w:br/>
        <w:t>│   └── reproduce_all.sh</w:t>
        <w:br/>
        <w:t>├── results/</w:t>
        <w:br/>
        <w:t>│   ├── raw/</w:t>
        <w:br/>
        <w:t>│   ├── processed/</w:t>
        <w:br/>
        <w:t>│   ├── tables/</w:t>
        <w:br/>
        <w:t>│   └── figures/</w:t>
        <w:br/>
        <w:t>└── tests/</w:t>
      </w:r>
    </w:p>
    <w:p>
      <w:pPr>
        <w:pStyle w:val="Heading1"/>
      </w:pPr>
      <w:r>
        <w:t>10. Implementation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top"/>
            <w:shd w:fill="D9EAF7"/>
          </w:tcPr>
          <w:p>
            <w:r/>
            <w:r>
              <w:rPr>
                <w:rFonts w:ascii="Arial" w:hAnsi="Arial"/>
                <w:b/>
                <w:sz w:val="18"/>
              </w:rPr>
              <w:t>Month</w:t>
            </w:r>
          </w:p>
        </w:tc>
        <w:tc>
          <w:tcPr>
            <w:tcW w:type="dxa" w:w="2448"/>
            <w:vAlign w:val="top"/>
            <w:shd w:fill="D9EAF7"/>
          </w:tcPr>
          <w:p>
            <w:r/>
            <w:r>
              <w:rPr>
                <w:rFonts w:ascii="Arial" w:hAnsi="Arial"/>
                <w:b/>
                <w:sz w:val="18"/>
              </w:rPr>
              <w:t>Milestone</w:t>
            </w:r>
          </w:p>
        </w:tc>
        <w:tc>
          <w:tcPr>
            <w:tcW w:type="dxa" w:w="5040"/>
            <w:vAlign w:val="top"/>
            <w:shd w:fill="D9EAF7"/>
          </w:tcPr>
          <w:p>
            <w:r/>
            <w:r>
              <w:rPr>
                <w:rFonts w:ascii="Arial" w:hAnsi="Arial"/>
                <w:b/>
                <w:sz w:val="18"/>
              </w:rPr>
              <w:t>Concrete Output</w:t>
            </w:r>
          </w:p>
        </w:tc>
      </w:tr>
      <w:tr>
        <w:tc>
          <w:tcPr>
            <w:tcW w:type="dxa" w:w="1152"/>
            <w:vAlign w:val="top"/>
          </w:tcPr>
          <w:p>
            <w:r/>
            <w:r>
              <w:rPr>
                <w:rFonts w:ascii="Arial" w:hAnsi="Arial"/>
                <w:b w:val="0"/>
                <w:sz w:val="18"/>
              </w:rPr>
              <w:t>1</w:t>
            </w:r>
          </w:p>
        </w:tc>
        <w:tc>
          <w:tcPr>
            <w:tcW w:type="dxa" w:w="2448"/>
            <w:vAlign w:val="top"/>
          </w:tcPr>
          <w:p>
            <w:r/>
            <w:r>
              <w:rPr>
                <w:rFonts w:ascii="Arial" w:hAnsi="Arial"/>
                <w:b w:val="0"/>
                <w:sz w:val="18"/>
              </w:rPr>
              <w:t>Literature review and threat model</w:t>
            </w:r>
          </w:p>
        </w:tc>
        <w:tc>
          <w:tcPr>
            <w:tcW w:type="dxa" w:w="5040"/>
            <w:vAlign w:val="top"/>
          </w:tcPr>
          <w:p>
            <w:r/>
            <w:r>
              <w:rPr>
                <w:rFonts w:ascii="Arial" w:hAnsi="Arial"/>
                <w:b w:val="0"/>
                <w:sz w:val="18"/>
              </w:rPr>
              <w:t>Related-work matrix, threat taxonomy, 10 benign skills, 5 adversarial variants.</w:t>
            </w:r>
          </w:p>
        </w:tc>
      </w:tr>
      <w:tr>
        <w:tc>
          <w:tcPr>
            <w:tcW w:type="dxa" w:w="1152"/>
            <w:vAlign w:val="top"/>
          </w:tcPr>
          <w:p>
            <w:r/>
            <w:r>
              <w:rPr>
                <w:rFonts w:ascii="Arial" w:hAnsi="Arial"/>
                <w:b w:val="0"/>
                <w:sz w:val="18"/>
              </w:rPr>
              <w:t>2</w:t>
            </w:r>
          </w:p>
        </w:tc>
        <w:tc>
          <w:tcPr>
            <w:tcW w:type="dxa" w:w="2448"/>
            <w:vAlign w:val="top"/>
          </w:tcPr>
          <w:p>
            <w:r/>
            <w:r>
              <w:rPr>
                <w:rFonts w:ascii="Arial" w:hAnsi="Arial"/>
                <w:b w:val="0"/>
                <w:sz w:val="18"/>
              </w:rPr>
              <w:t>Parser and trace harness</w:t>
            </w:r>
          </w:p>
        </w:tc>
        <w:tc>
          <w:tcPr>
            <w:tcW w:type="dxa" w:w="5040"/>
            <w:vAlign w:val="top"/>
          </w:tcPr>
          <w:p>
            <w:r/>
            <w:r>
              <w:rPr>
                <w:rFonts w:ascii="Arial" w:hAnsi="Arial"/>
                <w:b w:val="0"/>
                <w:sz w:val="18"/>
              </w:rPr>
              <w:t>SKILL.md parser, static analyzer prototype, local sandbox runner, trace schema.</w:t>
            </w:r>
          </w:p>
        </w:tc>
      </w:tr>
      <w:tr>
        <w:tc>
          <w:tcPr>
            <w:tcW w:type="dxa" w:w="1152"/>
            <w:vAlign w:val="top"/>
          </w:tcPr>
          <w:p>
            <w:r/>
            <w:r>
              <w:rPr>
                <w:rFonts w:ascii="Arial" w:hAnsi="Arial"/>
                <w:b w:val="0"/>
                <w:sz w:val="18"/>
              </w:rPr>
              <w:t>3</w:t>
            </w:r>
          </w:p>
        </w:tc>
        <w:tc>
          <w:tcPr>
            <w:tcW w:type="dxa" w:w="2448"/>
            <w:vAlign w:val="top"/>
          </w:tcPr>
          <w:p>
            <w:r/>
            <w:r>
              <w:rPr>
                <w:rFonts w:ascii="Arial" w:hAnsi="Arial"/>
                <w:b w:val="0"/>
                <w:sz w:val="18"/>
              </w:rPr>
              <w:t>Benchmark v1</w:t>
            </w:r>
          </w:p>
        </w:tc>
        <w:tc>
          <w:tcPr>
            <w:tcW w:type="dxa" w:w="5040"/>
            <w:vAlign w:val="top"/>
          </w:tcPr>
          <w:p>
            <w:r/>
            <w:r>
              <w:rPr>
                <w:rFonts w:ascii="Arial" w:hAnsi="Arial"/>
                <w:b w:val="0"/>
                <w:sz w:val="18"/>
              </w:rPr>
              <w:t>50 skills, 150 tasks, canary secrets, fake network sink, expected outputs.</w:t>
            </w:r>
          </w:p>
        </w:tc>
      </w:tr>
      <w:tr>
        <w:tc>
          <w:tcPr>
            <w:tcW w:type="dxa" w:w="1152"/>
            <w:vAlign w:val="top"/>
          </w:tcPr>
          <w:p>
            <w:r/>
            <w:r>
              <w:rPr>
                <w:rFonts w:ascii="Arial" w:hAnsi="Arial"/>
                <w:b w:val="0"/>
                <w:sz w:val="18"/>
              </w:rPr>
              <w:t>4</w:t>
            </w:r>
          </w:p>
        </w:tc>
        <w:tc>
          <w:tcPr>
            <w:tcW w:type="dxa" w:w="2448"/>
            <w:vAlign w:val="top"/>
          </w:tcPr>
          <w:p>
            <w:r/>
            <w:r>
              <w:rPr>
                <w:rFonts w:ascii="Arial" w:hAnsi="Arial"/>
                <w:b w:val="0"/>
                <w:sz w:val="18"/>
              </w:rPr>
              <w:t>Drift metrics</w:t>
            </w:r>
          </w:p>
        </w:tc>
        <w:tc>
          <w:tcPr>
            <w:tcW w:type="dxa" w:w="5040"/>
            <w:vAlign w:val="top"/>
          </w:tcPr>
          <w:p>
            <w:r/>
            <w:r>
              <w:rPr>
                <w:rFonts w:ascii="Arial" w:hAnsi="Arial"/>
                <w:b w:val="0"/>
                <w:sz w:val="18"/>
              </w:rPr>
              <w:t>Activation, privilege, side-effect, approval, and data-flow drift metrics.</w:t>
            </w:r>
          </w:p>
        </w:tc>
      </w:tr>
      <w:tr>
        <w:tc>
          <w:tcPr>
            <w:tcW w:type="dxa" w:w="1152"/>
            <w:vAlign w:val="top"/>
          </w:tcPr>
          <w:p>
            <w:r/>
            <w:r>
              <w:rPr>
                <w:rFonts w:ascii="Arial" w:hAnsi="Arial"/>
                <w:b w:val="0"/>
                <w:sz w:val="18"/>
              </w:rPr>
              <w:t>5</w:t>
            </w:r>
          </w:p>
        </w:tc>
        <w:tc>
          <w:tcPr>
            <w:tcW w:type="dxa" w:w="2448"/>
            <w:vAlign w:val="top"/>
          </w:tcPr>
          <w:p>
            <w:r/>
            <w:r>
              <w:rPr>
                <w:rFonts w:ascii="Arial" w:hAnsi="Arial"/>
                <w:b w:val="0"/>
                <w:sz w:val="18"/>
              </w:rPr>
              <w:t>Policy compiler</w:t>
            </w:r>
          </w:p>
        </w:tc>
        <w:tc>
          <w:tcPr>
            <w:tcW w:type="dxa" w:w="5040"/>
            <w:vAlign w:val="top"/>
          </w:tcPr>
          <w:p>
            <w:r/>
            <w:r>
              <w:rPr>
                <w:rFonts w:ascii="Arial" w:hAnsi="Arial"/>
                <w:b w:val="0"/>
                <w:sz w:val="18"/>
              </w:rPr>
              <w:t>Capability IR, filesystem/network/shell/tool policy generators.</w:t>
            </w:r>
          </w:p>
        </w:tc>
      </w:tr>
      <w:tr>
        <w:tc>
          <w:tcPr>
            <w:tcW w:type="dxa" w:w="1152"/>
            <w:vAlign w:val="top"/>
          </w:tcPr>
          <w:p>
            <w:r/>
            <w:r>
              <w:rPr>
                <w:rFonts w:ascii="Arial" w:hAnsi="Arial"/>
                <w:b w:val="0"/>
                <w:sz w:val="18"/>
              </w:rPr>
              <w:t>6</w:t>
            </w:r>
          </w:p>
        </w:tc>
        <w:tc>
          <w:tcPr>
            <w:tcW w:type="dxa" w:w="2448"/>
            <w:vAlign w:val="top"/>
          </w:tcPr>
          <w:p>
            <w:r/>
            <w:r>
              <w:rPr>
                <w:rFonts w:ascii="Arial" w:hAnsi="Arial"/>
                <w:b w:val="0"/>
                <w:sz w:val="18"/>
              </w:rPr>
              <w:t>Evaluation</w:t>
            </w:r>
          </w:p>
        </w:tc>
        <w:tc>
          <w:tcPr>
            <w:tcW w:type="dxa" w:w="5040"/>
            <w:vAlign w:val="top"/>
          </w:tcPr>
          <w:p>
            <w:r/>
            <w:r>
              <w:rPr>
                <w:rFonts w:ascii="Arial" w:hAnsi="Arial"/>
                <w:b w:val="0"/>
                <w:sz w:val="18"/>
              </w:rPr>
              <w:t>Baseline vs defense experiments, ablations, tables, plots.</w:t>
            </w:r>
          </w:p>
        </w:tc>
      </w:tr>
      <w:tr>
        <w:tc>
          <w:tcPr>
            <w:tcW w:type="dxa" w:w="1152"/>
            <w:vAlign w:val="top"/>
          </w:tcPr>
          <w:p>
            <w:r/>
            <w:r>
              <w:rPr>
                <w:rFonts w:ascii="Arial" w:hAnsi="Arial"/>
                <w:b w:val="0"/>
                <w:sz w:val="18"/>
              </w:rPr>
              <w:t>7</w:t>
            </w:r>
          </w:p>
        </w:tc>
        <w:tc>
          <w:tcPr>
            <w:tcW w:type="dxa" w:w="2448"/>
            <w:vAlign w:val="top"/>
          </w:tcPr>
          <w:p>
            <w:r/>
            <w:r>
              <w:rPr>
                <w:rFonts w:ascii="Arial" w:hAnsi="Arial"/>
                <w:b w:val="0"/>
                <w:sz w:val="18"/>
              </w:rPr>
              <w:t>Paper writing</w:t>
            </w:r>
          </w:p>
        </w:tc>
        <w:tc>
          <w:tcPr>
            <w:tcW w:type="dxa" w:w="5040"/>
            <w:vAlign w:val="top"/>
          </w:tcPr>
          <w:p>
            <w:r/>
            <w:r>
              <w:rPr>
                <w:rFonts w:ascii="Arial" w:hAnsi="Arial"/>
                <w:b w:val="0"/>
                <w:sz w:val="18"/>
              </w:rPr>
              <w:t>Full conference-style manuscript and artifact appendix.</w:t>
            </w:r>
          </w:p>
        </w:tc>
      </w:tr>
    </w:tbl>
    <w:p>
      <w:pPr>
        <w:pStyle w:val="Heading1"/>
      </w:pPr>
      <w:r>
        <w:t>11. Paper Outline</w:t>
      </w:r>
    </w:p>
    <w:p>
      <w:pPr>
        <w:pStyle w:val="ListNumber"/>
      </w:pPr>
      <w:r>
        <w:t>Introduction and motivating example</w:t>
      </w:r>
    </w:p>
    <w:p>
      <w:pPr>
        <w:pStyle w:val="ListNumber"/>
      </w:pPr>
      <w:r>
        <w:t>Background: agent skills, SKILL.md, MCP, and runtime models</w:t>
      </w:r>
    </w:p>
    <w:p>
      <w:pPr>
        <w:pStyle w:val="ListNumber"/>
      </w:pPr>
      <w:r>
        <w:t>Threat model and security goals</w:t>
      </w:r>
    </w:p>
    <w:p>
      <w:pPr>
        <w:pStyle w:val="ListNumber"/>
      </w:pPr>
      <w:r>
        <w:t>the benchmark benchmark design</w:t>
      </w:r>
    </w:p>
    <w:p>
      <w:pPr>
        <w:pStyle w:val="ListNumber"/>
      </w:pPr>
      <w:r>
        <w:t>Capability IR and drift metrics</w:t>
      </w:r>
    </w:p>
    <w:p>
      <w:pPr>
        <w:pStyle w:val="ListNumber"/>
      </w:pPr>
      <w:r>
        <w:t>Policy compiler and runtime adapters</w:t>
      </w:r>
    </w:p>
    <w:p>
      <w:pPr>
        <w:pStyle w:val="ListNumber"/>
      </w:pPr>
      <w:r>
        <w:t>Evaluation</w:t>
      </w:r>
    </w:p>
    <w:p>
      <w:pPr>
        <w:pStyle w:val="ListNumber"/>
      </w:pPr>
      <w:r>
        <w:t>Ablation and error analysis</w:t>
      </w:r>
    </w:p>
    <w:p>
      <w:pPr>
        <w:pStyle w:val="ListNumber"/>
      </w:pPr>
      <w:r>
        <w:t>Related work</w:t>
      </w:r>
    </w:p>
    <w:p>
      <w:pPr>
        <w:pStyle w:val="ListNumber"/>
      </w:pPr>
      <w:r>
        <w:t>Limitations and ethics</w:t>
      </w:r>
    </w:p>
    <w:p>
      <w:pPr>
        <w:pStyle w:val="ListNumber"/>
      </w:pPr>
      <w:r>
        <w:t>Conclusion</w:t>
      </w:r>
    </w:p>
    <w:p>
      <w:pPr>
        <w:pStyle w:val="Heading1"/>
      </w:pPr>
      <w:r>
        <w:t>12. Current Related Work</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D9EAF7"/>
          </w:tcPr>
          <w:p>
            <w:r/>
            <w:r>
              <w:rPr>
                <w:rFonts w:ascii="Arial" w:hAnsi="Arial"/>
                <w:b/>
                <w:sz w:val="18"/>
              </w:rPr>
              <w:t>Work</w:t>
            </w:r>
          </w:p>
        </w:tc>
        <w:tc>
          <w:tcPr>
            <w:tcW w:type="dxa" w:w="3600"/>
            <w:vAlign w:val="top"/>
            <w:shd w:fill="D9EAF7"/>
          </w:tcPr>
          <w:p>
            <w:r/>
            <w:r>
              <w:rPr>
                <w:rFonts w:ascii="Arial" w:hAnsi="Arial"/>
                <w:b/>
                <w:sz w:val="18"/>
              </w:rPr>
              <w:t>Key Point</w:t>
            </w:r>
          </w:p>
        </w:tc>
        <w:tc>
          <w:tcPr>
            <w:tcW w:type="dxa" w:w="2880"/>
            <w:vAlign w:val="top"/>
            <w:shd w:fill="D9EAF7"/>
          </w:tcPr>
          <w:p>
            <w:r/>
            <w:r>
              <w:rPr>
                <w:rFonts w:ascii="Arial" w:hAnsi="Arial"/>
                <w:b/>
                <w:sz w:val="18"/>
              </w:rPr>
              <w:t>How This Project Differs</w:t>
            </w:r>
          </w:p>
        </w:tc>
      </w:tr>
      <w:tr>
        <w:tc>
          <w:tcPr>
            <w:tcW w:type="dxa" w:w="2160"/>
            <w:vAlign w:val="top"/>
          </w:tcPr>
          <w:p>
            <w:r/>
            <w:r>
              <w:rPr>
                <w:rFonts w:ascii="Arial" w:hAnsi="Arial"/>
                <w:b w:val="0"/>
                <w:sz w:val="18"/>
              </w:rPr>
              <w:t>Agent Skills in the Wild</w:t>
            </w:r>
          </w:p>
        </w:tc>
        <w:tc>
          <w:tcPr>
            <w:tcW w:type="dxa" w:w="3600"/>
            <w:vAlign w:val="top"/>
          </w:tcPr>
          <w:p>
            <w:r/>
            <w:r>
              <w:rPr>
                <w:rFonts w:ascii="Arial" w:hAnsi="Arial"/>
                <w:b w:val="0"/>
                <w:sz w:val="18"/>
              </w:rPr>
              <w:t>Large-scale empirical analysis of 42,447 collected skills; reports 26.1% vulnerability rate among analyzed skills.</w:t>
            </w:r>
          </w:p>
        </w:tc>
        <w:tc>
          <w:tcPr>
            <w:tcW w:type="dxa" w:w="2880"/>
            <w:vAlign w:val="top"/>
          </w:tcPr>
          <w:p>
            <w:r>
              <w:t>This project studies cross-runtime semantic drift and mitigation, not only ecosystem scanning.</w:t>
            </w:r>
            <w:r>
              <w:rPr>
                <w:rFonts w:ascii="Arial" w:hAnsi="Arial"/>
                <w:b w:val="0"/>
                <w:sz w:val="18"/>
              </w:rPr>
            </w:r>
          </w:p>
        </w:tc>
      </w:tr>
      <w:tr>
        <w:tc>
          <w:tcPr>
            <w:tcW w:type="dxa" w:w="2160"/>
            <w:vAlign w:val="top"/>
          </w:tcPr>
          <w:p>
            <w:r/>
            <w:r>
              <w:rPr>
                <w:rFonts w:ascii="Arial" w:hAnsi="Arial"/>
                <w:b w:val="0"/>
                <w:sz w:val="18"/>
              </w:rPr>
              <w:t>Malicious Agent Skills in the Wild</w:t>
            </w:r>
          </w:p>
        </w:tc>
        <w:tc>
          <w:tcPr>
            <w:tcW w:type="dxa" w:w="3600"/>
            <w:vAlign w:val="top"/>
          </w:tcPr>
          <w:p>
            <w:r/>
            <w:r>
              <w:rPr>
                <w:rFonts w:ascii="Arial" w:hAnsi="Arial"/>
                <w:b w:val="0"/>
                <w:sz w:val="18"/>
              </w:rPr>
              <w:t>Verified malicious skills and observed data thief / agent hijacker archetypes.</w:t>
            </w:r>
          </w:p>
        </w:tc>
        <w:tc>
          <w:tcPr>
            <w:tcW w:type="dxa" w:w="2880"/>
            <w:vAlign w:val="top"/>
          </w:tcPr>
          <w:p>
            <w:r>
              <w:t>This project uses adversarial variants but focuses on how runtime semantics amplify or reduce attacks.</w:t>
            </w:r>
            <w:r>
              <w:rPr>
                <w:rFonts w:ascii="Arial" w:hAnsi="Arial"/>
                <w:b w:val="0"/>
                <w:sz w:val="18"/>
              </w:rPr>
            </w:r>
          </w:p>
        </w:tc>
      </w:tr>
      <w:tr>
        <w:tc>
          <w:tcPr>
            <w:tcW w:type="dxa" w:w="2160"/>
            <w:vAlign w:val="top"/>
          </w:tcPr>
          <w:p>
            <w:r/>
            <w:r>
              <w:rPr>
                <w:rFonts w:ascii="Arial" w:hAnsi="Arial"/>
                <w:b w:val="0"/>
                <w:sz w:val="18"/>
              </w:rPr>
              <w:t>SkillScope</w:t>
            </w:r>
          </w:p>
        </w:tc>
        <w:tc>
          <w:tcPr>
            <w:tcW w:type="dxa" w:w="3600"/>
            <w:vAlign w:val="top"/>
          </w:tcPr>
          <w:p>
            <w:r/>
            <w:r>
              <w:rPr>
                <w:rFonts w:ascii="Arial" w:hAnsi="Arial"/>
                <w:b w:val="0"/>
                <w:sz w:val="18"/>
              </w:rPr>
              <w:t>Fine-grained least-privilege enforcement for agent skills.</w:t>
            </w:r>
          </w:p>
        </w:tc>
        <w:tc>
          <w:tcPr>
            <w:tcW w:type="dxa" w:w="2880"/>
            <w:vAlign w:val="top"/>
          </w:tcPr>
          <w:p>
            <w:r>
              <w:t>This project avoids duplicating least privilege and instead studies portability and runtime drift.</w:t>
            </w:r>
            <w:r>
              <w:rPr>
                <w:rFonts w:ascii="Arial" w:hAnsi="Arial"/>
                <w:b w:val="0"/>
                <w:sz w:val="18"/>
              </w:rPr>
            </w:r>
          </w:p>
        </w:tc>
      </w:tr>
      <w:tr>
        <w:tc>
          <w:tcPr>
            <w:tcW w:type="dxa" w:w="2160"/>
            <w:vAlign w:val="top"/>
          </w:tcPr>
          <w:p>
            <w:r/>
            <w:r>
              <w:rPr>
                <w:rFonts w:ascii="Arial" w:hAnsi="Arial"/>
                <w:b w:val="0"/>
                <w:sz w:val="18"/>
              </w:rPr>
              <w:t>Under the Hood of SKILL.md</w:t>
            </w:r>
          </w:p>
        </w:tc>
        <w:tc>
          <w:tcPr>
            <w:tcW w:type="dxa" w:w="3600"/>
            <w:vAlign w:val="top"/>
          </w:tcPr>
          <w:p>
            <w:r/>
            <w:r>
              <w:rPr>
                <w:rFonts w:ascii="Arial" w:hAnsi="Arial"/>
                <w:b w:val="0"/>
                <w:sz w:val="18"/>
              </w:rPr>
              <w:t>Shows semantic supply-chain attacks against SKILL.md-only stages such as discovery, selection, and governance.</w:t>
            </w:r>
          </w:p>
        </w:tc>
        <w:tc>
          <w:tcPr>
            <w:tcW w:type="dxa" w:w="2880"/>
            <w:vAlign w:val="top"/>
          </w:tcPr>
          <w:p>
            <w:r>
              <w:t>This project expands from registry-stage semantics to runtime execution semantics.</w:t>
            </w:r>
            <w:r>
              <w:rPr>
                <w:rFonts w:ascii="Arial" w:hAnsi="Arial"/>
                <w:b w:val="0"/>
                <w:sz w:val="18"/>
              </w:rPr>
            </w:r>
          </w:p>
        </w:tc>
      </w:tr>
      <w:tr>
        <w:tc>
          <w:tcPr>
            <w:tcW w:type="dxa" w:w="2160"/>
            <w:vAlign w:val="top"/>
          </w:tcPr>
          <w:p>
            <w:r/>
            <w:r>
              <w:rPr>
                <w:rFonts w:ascii="Arial" w:hAnsi="Arial"/>
                <w:b w:val="0"/>
                <w:sz w:val="18"/>
              </w:rPr>
              <w:t>SkCC</w:t>
            </w:r>
          </w:p>
        </w:tc>
        <w:tc>
          <w:tcPr>
            <w:tcW w:type="dxa" w:w="3600"/>
            <w:vAlign w:val="top"/>
          </w:tcPr>
          <w:p>
            <w:r/>
            <w:r>
              <w:rPr>
                <w:rFonts w:ascii="Arial" w:hAnsi="Arial"/>
                <w:b w:val="0"/>
                <w:sz w:val="18"/>
              </w:rPr>
              <w:t>Cross-framework skill compilation using a typed IR with security checks.</w:t>
            </w:r>
          </w:p>
        </w:tc>
        <w:tc>
          <w:tcPr>
            <w:tcW w:type="dxa" w:w="2880"/>
            <w:vAlign w:val="top"/>
          </w:tcPr>
          <w:p>
            <w:r>
              <w:t>This project can cite this and focus more narrowly on security drift measurement and policy enforcement.</w:t>
            </w:r>
            <w:r>
              <w:rPr>
                <w:rFonts w:ascii="Arial" w:hAnsi="Arial"/>
                <w:b w:val="0"/>
                <w:sz w:val="18"/>
              </w:rPr>
            </w:r>
          </w:p>
        </w:tc>
      </w:tr>
      <w:tr>
        <w:tc>
          <w:tcPr>
            <w:tcW w:type="dxa" w:w="2160"/>
            <w:vAlign w:val="top"/>
          </w:tcPr>
          <w:p>
            <w:r/>
            <w:r>
              <w:rPr>
                <w:rFonts w:ascii="Arial" w:hAnsi="Arial"/>
                <w:b w:val="0"/>
                <w:sz w:val="18"/>
              </w:rPr>
              <w:t>MCP threat-model papers</w:t>
            </w:r>
          </w:p>
        </w:tc>
        <w:tc>
          <w:tcPr>
            <w:tcW w:type="dxa" w:w="3600"/>
            <w:vAlign w:val="top"/>
          </w:tcPr>
          <w:p>
            <w:r/>
            <w:r>
              <w:rPr>
                <w:rFonts w:ascii="Arial" w:hAnsi="Arial"/>
                <w:b w:val="0"/>
                <w:sz w:val="18"/>
              </w:rPr>
              <w:t>Study tool poisoning, shadowing, rug pulls, and protocol-level attacks.</w:t>
            </w:r>
          </w:p>
        </w:tc>
        <w:tc>
          <w:tcPr>
            <w:tcW w:type="dxa" w:w="2880"/>
            <w:vAlign w:val="top"/>
          </w:tcPr>
          <w:p>
            <w:r>
              <w:t>This project connects these tool-level risks to skill portability and runtime policy differences.</w:t>
            </w:r>
            <w:r>
              <w:rPr>
                <w:rFonts w:ascii="Arial" w:hAnsi="Arial"/>
                <w:b w:val="0"/>
                <w:sz w:val="18"/>
              </w:rPr>
            </w:r>
          </w:p>
        </w:tc>
      </w:tr>
    </w:tbl>
    <w:p>
      <w:pPr>
        <w:pStyle w:val="Heading1"/>
      </w:pPr>
      <w:r>
        <w:t>13. Risks and Differentiation Strategy</w:t>
      </w:r>
    </w:p>
    <w:p>
      <w:pPr>
        <w:pStyle w:val="ListBullet"/>
      </w:pPr>
      <w:r>
        <w:t>Risk: topic is becoming crowded. Mitigation: do not present this as another skill scanner. Own the phrase security semantic drift.</w:t>
      </w:r>
    </w:p>
    <w:p>
      <w:pPr>
        <w:pStyle w:val="ListBullet"/>
      </w:pPr>
      <w:r>
        <w:t>Risk: access to commercial runtimes may be limited. Mitigation: create a controlled runtime-emulation harness and validate a subset on available public/local tools.</w:t>
      </w:r>
    </w:p>
    <w:p>
      <w:pPr>
        <w:pStyle w:val="ListBullet"/>
      </w:pPr>
      <w:r>
        <w:t>Risk: generated attack skills may be considered dual-use. Mitigation: use synthetic secrets, fake endpoints, local-only payloads, responsible disclosure, and safe artifact release.</w:t>
      </w:r>
    </w:p>
    <w:p>
      <w:pPr>
        <w:pStyle w:val="ListBullet"/>
      </w:pPr>
      <w:r>
        <w:t>Risk: measuring correctness is hard. Mitigation: define task-specific expected outputs and use both automated checks and blinded human/LLM judging.</w:t>
      </w:r>
    </w:p>
    <w:p>
      <w:pPr>
        <w:pStyle w:val="Heading1"/>
      </w:pPr>
      <w:r>
        <w:t>14. References</w:t>
      </w:r>
    </w:p>
    <w:p>
      <w:pPr>
        <w:spacing w:after="80"/>
      </w:pPr>
      <w:r>
        <w:t>[1] Yi Liu et al. Agent Skills in the Wild: An Empirical Study of Security Vulnerabilities at Scale. arXiv:2601.10338, 2026. https://arxiv.org/abs/2601.10338</w:t>
      </w:r>
    </w:p>
    <w:p>
      <w:pPr>
        <w:spacing w:after="80"/>
      </w:pPr>
      <w:r>
        <w:t>[2] Yi Liu et al. Malicious Agent Skills in the Wild: A Large-Scale Security Empirical Study. arXiv:2602.06547, 2026. https://arxiv.org/abs/2602.06547</w:t>
      </w:r>
    </w:p>
    <w:p>
      <w:pPr>
        <w:spacing w:after="80"/>
      </w:pPr>
      <w:r>
        <w:t>[3] Jiangrong Wu et al. SkillScope: Toward Fine-Grained Least-Privilege Enforcement for Agent Skills. arXiv:2605.05868, 2026. https://arxiv.org/abs/2605.05868</w:t>
      </w:r>
    </w:p>
    <w:p>
      <w:pPr>
        <w:spacing w:after="80"/>
      </w:pPr>
      <w:r>
        <w:t>[4] Shoumik Saha et al. Under the Hood of SKILL.md: Semantic Supply-chain Attacks on AI Agent Skill Registry. arXiv:2605.11418, 2026. https://arxiv.org/abs/2605.11418</w:t>
      </w:r>
    </w:p>
    <w:p>
      <w:pPr>
        <w:spacing w:after="80"/>
      </w:pPr>
      <w:r>
        <w:t>[5] Yipeng Ouyang et al. SkCC: Portable and Secure Skill Compilation for Cross-Framework LLM Agents. arXiv:2605.03353, 2026. https://arxiv.org/abs/2605.03353</w:t>
      </w:r>
    </w:p>
    <w:p>
      <w:pPr>
        <w:spacing w:after="80"/>
      </w:pPr>
      <w:r>
        <w:t>[6] Renjun Xu and Yang Yan. Agent Skills for Large Language Models: Architecture, Acquisition, Security, and the Path Forward. arXiv:2602.12430, 2026. https://arxiv.org/abs/2602.12430</w:t>
      </w:r>
    </w:p>
    <w:p>
      <w:pPr>
        <w:spacing w:after="80"/>
      </w:pPr>
      <w:r>
        <w:t>[7] Saeid Jamshidi et al. Securing the Model Context Protocol: Defending LLMs Against Tool Poisoning and Adversarial Attacks. arXiv:2512.06556, 2025. https://arxiv.org/abs/2512.06556</w:t>
      </w:r>
    </w:p>
    <w:p>
      <w:pPr>
        <w:spacing w:after="80"/>
      </w:pPr>
      <w:r>
        <w:t>[8] Charoes Huang et al. Model Context Protocol Threat Modeling and Analyzing Vulnerabilities to Prompt Injection with Tool Poisoning. arXiv:2603.22489, 2026. https://arxiv.org/abs/2603.22489</w:t>
      </w:r>
    </w:p>
    <w:p>
      <w:pPr>
        <w:spacing w:after="80"/>
      </w:pPr>
      <w:r>
        <w:t>[9] Narek Maloyan and Dmitry Namiot. Breaking the Protocol: Security Analysis of the Model Context Protocol Specification and Prompt Injection Vulnerabilities in Tool-Integrated LLM Agents. arXiv:2601.17549, 2026. https://arxiv.org/abs/2601.17549</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Agent Skills Security Research Plan | Agent Skill Security | Prepared 18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Box">
    <w:name w:val="ResearchBox"/>
    <w:pPr>
      <w:spacing w:before="80" w:after="80"/>
      <w:ind w:left="360" w:right="360"/>
    </w:pPr>
    <w:rPr>
      <w:rFonts w:ascii="Arial" w:hAnsi="Arial"/>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 Great Skills Come Great Responsibilities: Measuring Security Semantic Drift in Portable AI Agent Skills</dc:title>
  <dc:subject>Research plan for security in portable AI agent skills</dc:subject>
  <dc:creator/>
  <cp:keywords>AI agents, agent skills, security, semantic drift, benchmark, sandboxing</cp:keywords>
  <dc:description/>
  <cp:lastModifiedBy/>
  <cp:revision>1</cp:revision>
  <dcterms:created xsi:type="dcterms:W3CDTF">2013-12-23T23:15:00Z</dcterms:created>
  <dcterms:modified xsi:type="dcterms:W3CDTF">2013-12-23T23:15:00Z</dcterms:modified>
  <cp:category/>
</cp:coreProperties>
</file>