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F4E79"/>
          <w:sz w:val="44"/>
          <w:szCs w:val="44"/>
        </w:rPr>
        <w:t xml:space="preserve">Motor Insurance Pricing:</w:t>
      </w:r>
    </w:p>
    <w:p>
      <w:pPr>
        <w:spacing w:after="400"/>
        <w:jc w:val="center"/>
      </w:pPr>
      <w:r>
        <w:rPr>
          <w:b/>
          <w:bCs/>
          <w:color w:val="444444"/>
          <w:sz w:val="32"/>
          <w:szCs w:val="32"/>
        </w:rPr>
        <w:t xml:space="preserve">A Frequency-Severity GLM vs. Gradient Boosting Comparison</w:t>
      </w:r>
    </w:p>
    <w:p>
      <w:pPr>
        <w:spacing w:after="800"/>
        <w:jc w:val="center"/>
      </w:pPr>
      <w:r>
        <w:rPr>
          <w:i/>
          <w:iCs/>
          <w:color w:val="666666"/>
          <w:sz w:val="24"/>
          <w:szCs w:val="24"/>
        </w:rPr>
        <w:t xml:space="preserve">Actuarial Pricing Analytics on the French Motor Third-Party Liability (freMTPL2) Dataset</w:t>
      </w:r>
    </w:p>
    <w:p>
      <w:pPr>
        <w:pBdr>
          <w:top w:val="single" w:color="1F4E79" w:sz="6"/>
        </w:pBdr>
        <w:spacing w:after="200" w:before="200"/>
        <w:jc w:val="center"/>
      </w:pPr>
      <w:r>
        <w:t xml:space="preserve"/>
      </w:r>
    </w:p>
    <w:p>
      <w:pPr>
        <w:spacing w:after="80"/>
        <w:jc w:val="center"/>
      </w:pPr>
      <w:r>
        <w:rPr>
          <w:b/>
          <w:bCs/>
          <w:sz w:val="24"/>
          <w:szCs w:val="24"/>
        </w:rPr>
        <w:t xml:space="preserve">Prepared by Adhithyan</w:t>
      </w:r>
    </w:p>
    <w:p>
      <w:pPr>
        <w:spacing w:after="40"/>
        <w:jc w:val="center"/>
      </w:pPr>
      <w:r>
        <w:rPr>
          <w:color w:val="666666"/>
          <w:sz w:val="22"/>
          <w:szCs w:val="22"/>
        </w:rPr>
        <w:t xml:space="preserve">MSc Actuarial Science, CHRIST (Deemed to be University), Bengaluru</w:t>
      </w:r>
    </w:p>
    <w:p>
      <w:pPr>
        <w:spacing w:after="600"/>
        <w:jc w:val="center"/>
      </w:pPr>
      <w:r>
        <w:rPr>
          <w:color w:val="666666"/>
          <w:sz w:val="22"/>
          <w:szCs w:val="22"/>
        </w:rPr>
        <w:t xml:space="preserve">Student Member, Institute of Actuaries of India (IAI)</w:t>
      </w:r>
    </w:p>
    <w:p>
      <w:pPr>
        <w:pageBreakBefore/>
      </w:pPr>
      <w:r>
        <w:br/>
        <w:t xml:space="preserve"/>
      </w:r>
    </w:p>
    <w:p>
      <w:pPr>
        <w:pStyle w:val="Heading1"/>
        <w:spacing w:after="200" w:before="400"/>
      </w:pPr>
      <w:r>
        <w:t xml:space="preserve">Executive Summary</w:t>
      </w:r>
    </w:p>
    <w:p>
      <w:pPr>
        <w:spacing w:after="160"/>
      </w:pPr>
      <w:r>
        <w:t xml:space="preserve">This project builds and rigorously validates a motor insurance pricing model on the freMTPL2 dataset — 676,789 real, anonymised policies from a French insurer, sourced via OpenML. It develops a classical actuarial frequency-severity GLM framework, benchmarks it against a gradient-boosted (XGBoost) alternative, and — critically — subjects both to formal Actual-vs-Expected (A/E) validation on a held-out test set, including statistical significance testing. The goal was not simply to fit a model, but to interrogate where a standard actuarial approach breaks down and to quantify, with evidence, where machine learning adds real pricing value.</w:t>
      </w:r>
    </w:p>
    <w:p>
      <w:pPr>
        <w:pStyle w:val="Heading2"/>
        <w:spacing w:after="150" w:before="300"/>
      </w:pPr>
      <w:r>
        <w:t xml:space="preserve">Key Findings</w:t>
      </w:r>
    </w:p>
    <w:p>
      <w:pPr>
        <w:pStyle w:val="ListParagraph"/>
        <w:numPr>
          <w:ilvl w:val="0"/>
          <w:numId w:val="1"/>
        </w:numPr>
        <w:spacing w:after="80"/>
      </w:pPr>
      <w:r>
        <w:t xml:space="preserve">BonusMalus is the dominant risk driver: a policyholder at BonusMalus 130 has ~6.1× the expected claim frequency of one at the baseline of 50, and it remains significant across every model tested — frequency, severity, and combined pure premium.</w:t>
      </w:r>
    </w:p>
    <w:p>
      <w:pPr>
        <w:pStyle w:val="ListParagraph"/>
        <w:numPr>
          <w:ilvl w:val="0"/>
          <w:numId w:val="1"/>
        </w:numPr>
        <w:spacing w:after="80"/>
      </w:pPr>
      <w:r>
        <w:t xml:space="preserve">A counter-intuitive but statistically sound result: after controlling for BonusMalus, the GLM's DrivAge coefficient reverses sign versus the raw univariate trend — a genuine confounding effect (confirmed via VIF, not a multicollinearity artefact), not a model error.</w:t>
      </w:r>
    </w:p>
    <w:p>
      <w:pPr>
        <w:pStyle w:val="ListParagraph"/>
        <w:numPr>
          <w:ilvl w:val="0"/>
          <w:numId w:val="1"/>
        </w:numPr>
        <w:spacing w:after="80"/>
      </w:pPr>
      <w:r>
        <w:t xml:space="preserve">XGBoost outperforms the GLM on risk discrimination (Gini 0.324 vs. 0.252) and — more importantly — on segment-level calibration: for the youngest driver band, the GLM underprices risk by 38% (A/E = 1.38, p &lt; 0.001), while XGBoost's residual miscalibration (A/E = 1.12) is not statistically significant (p = 0.06).</w:t>
      </w:r>
    </w:p>
    <w:p>
      <w:pPr>
        <w:pStyle w:val="ListParagraph"/>
        <w:numPr>
          <w:ilvl w:val="0"/>
          <w:numId w:val="1"/>
        </w:numPr>
        <w:spacing w:after="80"/>
      </w:pPr>
      <w:r>
        <w:t xml:space="preserve">The GLM remains better calibrated in aggregate (A/E = 1.006 vs. XGBoost's 0.951) and fully interpretable — supporting a hybrid pricing architecture: GLM as the transparent, filed rating engine, with ML-driven flags for segments requiring manual loadings.</w:t>
      </w:r>
    </w:p>
    <w:p>
      <w:pPr>
        <w:pStyle w:val="Heading1"/>
        <w:spacing w:after="200" w:before="400"/>
      </w:pPr>
      <w:r>
        <w:t xml:space="preserve">1. Data &amp; Methodology</w:t>
      </w:r>
    </w:p>
    <w:p>
      <w:pPr>
        <w:pStyle w:val="Heading2"/>
        <w:spacing w:after="150" w:before="300"/>
      </w:pPr>
      <w:r>
        <w:t xml:space="preserve">1.1 Data Source</w:t>
      </w:r>
    </w:p>
    <w:p>
      <w:pPr>
        <w:spacing w:after="160"/>
      </w:pPr>
      <w:r>
        <w:t xml:space="preserve">The freMTPL2freq (policy-level exposure and claim counts) and freMTPL2sev (individual claim amounts) tables were sourced from OpenML (dataset IDs 41214 and 41215), a public mirror of the CASdatasets French Motor Third-Party Liability data — a real, anonymised dataset of over 1 million policy-years widely used in actuarial pricing literature. Severity records were aggregated to policy level and merged onto the frequency table on policy ID, with unmatched policies assigned zero claim amount.</w:t>
      </w:r>
    </w:p>
    <w:p>
      <w:pPr>
        <w:pStyle w:val="Heading2"/>
        <w:spacing w:after="150" w:before="300"/>
      </w:pPr>
      <w:r>
        <w:t xml:space="preserve">1.2 Data Cleaning</w:t>
      </w:r>
    </w:p>
    <w:p>
      <w:pPr>
        <w:pStyle w:val="ListParagraph"/>
        <w:numPr>
          <w:ilvl w:val="0"/>
          <w:numId w:val="1"/>
        </w:numPr>
        <w:spacing w:after="80"/>
      </w:pPr>
      <w:r>
        <w:t xml:space="preserve">Exposure filtered to the valid range (0, 1]; ~1,224 policies (0.18%) with out-of-range exposure were dropped.</w:t>
      </w:r>
    </w:p>
    <w:p>
      <w:pPr>
        <w:pStyle w:val="ListParagraph"/>
        <w:numPr>
          <w:ilvl w:val="0"/>
          <w:numId w:val="1"/>
        </w:numPr>
        <w:spacing w:after="80"/>
      </w:pPr>
      <w:r>
        <w:t xml:space="preserve">Claim counts capped at 4 per policy — a small number of extreme outliers is a documented feature of this dataset and is standard practice to cap in actuarial ML literature on this data (e.g. Noll, Salzmann &amp; Wüthrich).</w:t>
      </w:r>
    </w:p>
    <w:p>
      <w:pPr>
        <w:pStyle w:val="ListParagraph"/>
        <w:numPr>
          <w:ilvl w:val="0"/>
          <w:numId w:val="1"/>
        </w:numPr>
        <w:spacing w:after="80"/>
      </w:pPr>
      <w:r>
        <w:t xml:space="preserve">Claim amounts capped at €200,000 to limit the influence of large-loss outliers on the severity fit; large losses would in practice be handled via separate excess-of-loss reinsurance modelling.</w:t>
      </w:r>
    </w:p>
    <w:p>
      <w:pPr>
        <w:pStyle w:val="ListParagraph"/>
        <w:numPr>
          <w:ilvl w:val="0"/>
          <w:numId w:val="1"/>
        </w:numPr>
        <w:spacing w:after="80"/>
      </w:pPr>
      <w:r>
        <w:t xml:space="preserve">A boundary-handling bug in initial BonusMalus banding (cut() excluding the floor value of 50, silently dropping &gt;380,000 rows into NA) was identified and corrected using include.lowest = TRUE — a useful reminder that binning edge cases can silently distort results at scale.</w:t>
      </w:r>
    </w:p>
    <w:p>
      <w:pPr>
        <w:pStyle w:val="Heading2"/>
        <w:spacing w:after="150" w:before="300"/>
      </w:pPr>
      <w:r>
        <w:t xml:space="preserve">1.3 Modelling Approach</w:t>
      </w:r>
    </w:p>
    <w:p>
      <w:pPr>
        <w:spacing w:after="160"/>
      </w:pPr>
      <w:r>
        <w:t xml:space="preserve">The dataset was split 70/30 into training and holdout test sets (seed fixed for reproducibility). Three modelling approaches were fitted on the training set and evaluated, out-of-sample, on the untouched test set:</w:t>
      </w:r>
    </w:p>
    <w:p>
      <w:pPr>
        <w:pStyle w:val="ListParagraph"/>
        <w:numPr>
          <w:ilvl w:val="0"/>
          <w:numId w:val="1"/>
        </w:numPr>
        <w:spacing w:after="80"/>
      </w:pPr>
      <w:r>
        <w:t xml:space="preserve">Frequency-Severity GLM: Poisson GLM (log link, exposure offset) for claim frequency; Gamma GLM (log link) for claim severity, fitted only on policies with positive claims.</w:t>
      </w:r>
    </w:p>
    <w:p>
      <w:pPr>
        <w:pStyle w:val="ListParagraph"/>
        <w:numPr>
          <w:ilvl w:val="0"/>
          <w:numId w:val="1"/>
        </w:numPr>
        <w:spacing w:after="80"/>
      </w:pPr>
      <w:r>
        <w:t xml:space="preserve">Tweedie GLM: a single joint model for pure premium, fitted directly on all policies (var.power = 1.5).</w:t>
      </w:r>
    </w:p>
    <w:p>
      <w:pPr>
        <w:pStyle w:val="ListParagraph"/>
        <w:numPr>
          <w:ilvl w:val="0"/>
          <w:numId w:val="1"/>
        </w:numPr>
        <w:spacing w:after="80"/>
      </w:pPr>
      <w:r>
        <w:t xml:space="preserve">XGBoost: gradient-boosted trees (Poisson objective, exposure as base margin) on the same feature set, as a non-linear benchmark.</w:t>
      </w:r>
    </w:p>
    <w:p>
      <w:pPr>
        <w:spacing w:after="160"/>
      </w:pPr>
      <w:r>
        <w:t xml:space="preserve">Area was excluded from all models after EDA revealed it is a coarse discretisation of Density (mean density rose from 27.5 in Area A to 22,015 in Area F) — including both would have introduced redundant, collinear information. log(Density) was retained as the continuous risk proxy instead.</w:t>
      </w:r>
    </w:p>
    <w:p>
      <w:pPr>
        <w:pStyle w:val="Heading1"/>
        <w:spacing w:after="200" w:before="400"/>
      </w:pPr>
      <w:r>
        <w:t xml:space="preserve">2. Exploratory Data Analysis</w:t>
      </w:r>
    </w:p>
    <w:p>
      <w:pPr>
        <w:spacing w:after="160"/>
      </w:pPr>
      <w:r>
        <w:t xml:space="preserve">Univariate and bivariate analysis of claim frequency against each rating factor established the expected risk patterns and surfaced two findings that shaped the modelling strategy.</w:t>
      </w:r>
    </w:p>
    <w:p>
      <w:pPr>
        <w:pStyle w:val="Heading2"/>
        <w:spacing w:after="150" w:before="300"/>
      </w:pPr>
      <w:r>
        <w:t xml:space="preserve">2.1 BonusMalus — the steepest gradient in the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00"/>
      </w:tblGrid>
      <w:tr>
        <w:trPr>
          <w:tblHeader/>
        </w:trPr>
        <w:tc>
          <w:tcPr>
            <w:tcW w:type="dxa" w:w="3200"/>
            <w:shd w:fill="2E5C8A" w:color="auto" w:val="clear"/>
          </w:tcPr>
          <w:p>
            <w:r>
              <w:rPr>
                <w:b/>
                <w:bCs/>
                <w:color w:val="FFFFFF"/>
              </w:rPr>
              <w:t xml:space="preserve">BonusMalus Band</w:t>
            </w:r>
          </w:p>
        </w:tc>
        <w:tc>
          <w:tcPr>
            <w:tcW w:type="dxa" w:w="3200"/>
            <w:shd w:fill="2E5C8A" w:color="auto" w:val="clear"/>
          </w:tcPr>
          <w:p>
            <w:r>
              <w:rPr>
                <w:b/>
                <w:bCs/>
                <w:color w:val="FFFFFF"/>
              </w:rPr>
              <w:t xml:space="preserve">Claim Frequency</w:t>
            </w:r>
          </w:p>
        </w:tc>
        <w:tc>
          <w:tcPr>
            <w:tcW w:type="dxa" w:w="2600"/>
            <w:shd w:fill="2E5C8A" w:color="auto" w:val="clear"/>
          </w:tcPr>
          <w:p>
            <w:r>
              <w:rPr>
                <w:b/>
                <w:bCs/>
                <w:color w:val="FFFFFF"/>
              </w:rPr>
              <w:t xml:space="preserve">Exposure</w:t>
            </w:r>
          </w:p>
        </w:tc>
      </w:tr>
      <w:tr>
        <w:tc>
          <w:tcPr>
            <w:tcW w:type="dxa" w:w="3200"/>
          </w:tcPr>
          <w:p>
            <w:pPr>
              <w:jc w:val="left"/>
            </w:pPr>
            <w:r>
              <w:rPr>
                <w:b w:val="false"/>
                <w:bCs w:val="false"/>
              </w:rPr>
              <w:t xml:space="preserve">[50, 70]</w:t>
            </w:r>
          </w:p>
        </w:tc>
        <w:tc>
          <w:tcPr>
            <w:tcW w:type="dxa" w:w="3200"/>
          </w:tcPr>
          <w:p>
            <w:pPr>
              <w:jc w:val="left"/>
            </w:pPr>
            <w:r>
              <w:rPr>
                <w:b w:val="false"/>
                <w:bCs w:val="false"/>
              </w:rPr>
              <w:t xml:space="preserve">0.088</w:t>
            </w:r>
          </w:p>
        </w:tc>
        <w:tc>
          <w:tcPr>
            <w:tcW w:type="dxa" w:w="2600"/>
          </w:tcPr>
          <w:p>
            <w:pPr>
              <w:jc w:val="left"/>
            </w:pPr>
            <w:r>
              <w:rPr>
                <w:b w:val="false"/>
                <w:bCs w:val="false"/>
              </w:rPr>
              <w:t xml:space="preserve">534,485</w:t>
            </w:r>
          </w:p>
        </w:tc>
      </w:tr>
      <w:tr>
        <w:tc>
          <w:tcPr>
            <w:tcW w:type="dxa" w:w="3200"/>
            <w:shd w:fill="F2F2F2" w:color="auto" w:val="clear"/>
          </w:tcPr>
          <w:p>
            <w:pPr>
              <w:jc w:val="left"/>
            </w:pPr>
            <w:r>
              <w:rPr>
                <w:b w:val="false"/>
                <w:bCs w:val="false"/>
              </w:rPr>
              <w:t xml:space="preserve">(70, 90]</w:t>
            </w:r>
          </w:p>
        </w:tc>
        <w:tc>
          <w:tcPr>
            <w:tcW w:type="dxa" w:w="3200"/>
            <w:shd w:fill="F2F2F2" w:color="auto" w:val="clear"/>
          </w:tcPr>
          <w:p>
            <w:pPr>
              <w:jc w:val="left"/>
            </w:pPr>
            <w:r>
              <w:rPr>
                <w:b w:val="false"/>
                <w:bCs w:val="false"/>
              </w:rPr>
              <w:t xml:space="preserve">0.132</w:t>
            </w:r>
          </w:p>
        </w:tc>
        <w:tc>
          <w:tcPr>
            <w:tcW w:type="dxa" w:w="2600"/>
            <w:shd w:fill="F2F2F2" w:color="auto" w:val="clear"/>
          </w:tcPr>
          <w:p>
            <w:pPr>
              <w:jc w:val="left"/>
            </w:pPr>
            <w:r>
              <w:rPr>
                <w:b w:val="false"/>
                <w:bCs w:val="false"/>
              </w:rPr>
              <w:t xml:space="preserve">97,400</w:t>
            </w:r>
          </w:p>
        </w:tc>
      </w:tr>
      <w:tr>
        <w:tc>
          <w:tcPr>
            <w:tcW w:type="dxa" w:w="3200"/>
          </w:tcPr>
          <w:p>
            <w:pPr>
              <w:jc w:val="left"/>
            </w:pPr>
            <w:r>
              <w:rPr>
                <w:b w:val="false"/>
                <w:bCs w:val="false"/>
              </w:rPr>
              <w:t xml:space="preserve">(90, 110]</w:t>
            </w:r>
          </w:p>
        </w:tc>
        <w:tc>
          <w:tcPr>
            <w:tcW w:type="dxa" w:w="3200"/>
          </w:tcPr>
          <w:p>
            <w:pPr>
              <w:jc w:val="left"/>
            </w:pPr>
            <w:r>
              <w:rPr>
                <w:b w:val="false"/>
                <w:bCs w:val="false"/>
              </w:rPr>
              <w:t xml:space="preserve">0.228</w:t>
            </w:r>
          </w:p>
        </w:tc>
        <w:tc>
          <w:tcPr>
            <w:tcW w:type="dxa" w:w="2600"/>
          </w:tcPr>
          <w:p>
            <w:pPr>
              <w:jc w:val="left"/>
            </w:pPr>
            <w:r>
              <w:rPr>
                <w:b w:val="false"/>
                <w:bCs w:val="false"/>
              </w:rPr>
              <w:t xml:space="preserve">39,102</w:t>
            </w:r>
          </w:p>
        </w:tc>
      </w:tr>
      <w:tr>
        <w:tc>
          <w:tcPr>
            <w:tcW w:type="dxa" w:w="3200"/>
            <w:shd w:fill="F2F2F2" w:color="auto" w:val="clear"/>
          </w:tcPr>
          <w:p>
            <w:pPr>
              <w:jc w:val="left"/>
            </w:pPr>
            <w:r>
              <w:rPr>
                <w:b w:val="false"/>
                <w:bCs w:val="false"/>
              </w:rPr>
              <w:t xml:space="preserve">(110, 130]</w:t>
            </w:r>
          </w:p>
        </w:tc>
        <w:tc>
          <w:tcPr>
            <w:tcW w:type="dxa" w:w="3200"/>
            <w:shd w:fill="F2F2F2" w:color="auto" w:val="clear"/>
          </w:tcPr>
          <w:p>
            <w:pPr>
              <w:jc w:val="left"/>
            </w:pPr>
            <w:r>
              <w:rPr>
                <w:b w:val="false"/>
                <w:bCs w:val="false"/>
              </w:rPr>
              <w:t xml:space="preserve">0.388</w:t>
            </w:r>
          </w:p>
        </w:tc>
        <w:tc>
          <w:tcPr>
            <w:tcW w:type="dxa" w:w="2600"/>
            <w:shd w:fill="F2F2F2" w:color="auto" w:val="clear"/>
          </w:tcPr>
          <w:p>
            <w:pPr>
              <w:jc w:val="left"/>
            </w:pPr>
            <w:r>
              <w:rPr>
                <w:b w:val="false"/>
                <w:bCs w:val="false"/>
              </w:rPr>
              <w:t xml:space="preserve">5,020</w:t>
            </w:r>
          </w:p>
        </w:tc>
      </w:tr>
      <w:tr>
        <w:tc>
          <w:tcPr>
            <w:tcW w:type="dxa" w:w="3200"/>
          </w:tcPr>
          <w:p>
            <w:pPr>
              <w:jc w:val="left"/>
            </w:pPr>
            <w:r>
              <w:rPr>
                <w:b w:val="false"/>
                <w:bCs w:val="false"/>
              </w:rPr>
              <w:t xml:space="preserve">(130, 150]</w:t>
            </w:r>
          </w:p>
        </w:tc>
        <w:tc>
          <w:tcPr>
            <w:tcW w:type="dxa" w:w="3200"/>
          </w:tcPr>
          <w:p>
            <w:pPr>
              <w:jc w:val="left"/>
            </w:pPr>
            <w:r>
              <w:rPr>
                <w:b w:val="false"/>
                <w:bCs w:val="false"/>
              </w:rPr>
              <w:t xml:space="preserve">0.400</w:t>
            </w:r>
          </w:p>
        </w:tc>
        <w:tc>
          <w:tcPr>
            <w:tcW w:type="dxa" w:w="2600"/>
          </w:tcPr>
          <w:p>
            <w:pPr>
              <w:jc w:val="left"/>
            </w:pPr>
            <w:r>
              <w:rPr>
                <w:b w:val="false"/>
                <w:bCs w:val="false"/>
              </w:rPr>
              <w:t xml:space="preserve">573</w:t>
            </w:r>
          </w:p>
        </w:tc>
      </w:tr>
      <w:tr>
        <w:tc>
          <w:tcPr>
            <w:tcW w:type="dxa" w:w="3200"/>
            <w:shd w:fill="F2F2F2" w:color="auto" w:val="clear"/>
          </w:tcPr>
          <w:p>
            <w:pPr>
              <w:jc w:val="left"/>
            </w:pPr>
            <w:r>
              <w:rPr>
                <w:b w:val="false"/>
                <w:bCs w:val="false"/>
              </w:rPr>
              <w:t xml:space="preserve">(150, 230]</w:t>
            </w:r>
          </w:p>
        </w:tc>
        <w:tc>
          <w:tcPr>
            <w:tcW w:type="dxa" w:w="3200"/>
            <w:shd w:fill="F2F2F2" w:color="auto" w:val="clear"/>
          </w:tcPr>
          <w:p>
            <w:pPr>
              <w:jc w:val="left"/>
            </w:pPr>
            <w:r>
              <w:rPr>
                <w:b w:val="false"/>
                <w:bCs w:val="false"/>
              </w:rPr>
              <w:t xml:space="preserve">0.51 – 1.85</w:t>
            </w:r>
          </w:p>
        </w:tc>
        <w:tc>
          <w:tcPr>
            <w:tcW w:type="dxa" w:w="2600"/>
            <w:shd w:fill="F2F2F2" w:color="auto" w:val="clear"/>
          </w:tcPr>
          <w:p>
            <w:pPr>
              <w:jc w:val="left"/>
            </w:pPr>
            <w:r>
              <w:rPr>
                <w:b w:val="false"/>
                <w:bCs w:val="false"/>
              </w:rPr>
              <w:t xml:space="preserve">49</w:t>
            </w:r>
          </w:p>
        </w:tc>
      </w:tr>
    </w:tbl>
    <w:p>
      <w:pPr>
        <w:spacing w:after="160"/>
      </w:pPr>
      <w:r>
        <w:t xml:space="preserve"/>
      </w:r>
    </w:p>
    <w:p>
      <w:pPr>
        <w:pStyle w:val="Heading2"/>
        <w:spacing w:after="150" w:before="300"/>
      </w:pPr>
      <w:r>
        <w:t xml:space="preserve">2.2 Driver age — a pattern that reverses once BonusMalus is controlled for</w:t>
      </w:r>
    </w:p>
    <w:p>
      <w:pPr>
        <w:spacing w:after="160"/>
      </w:pPr>
      <w:r>
        <w:t xml:space="preserve">Raw frequency fell from 0.226 for the youngest driver band [17,22) to ~0.09–0.10 for middle-aged drivers, with a mild uptick past age 71 — the classic U-shaped pattern. This univariate relationship did not survive multivariate modelling intact (see Section 3.2).</w:t>
      </w:r>
    </w:p>
    <w:p>
      <w:pPr>
        <w:pStyle w:val="Heading2"/>
        <w:spacing w:after="150" w:before="300"/>
      </w:pPr>
      <w:r>
        <w:t xml:space="preserve">2.3 Vehicle age — a counter-intuitive but genuine effect</w:t>
      </w:r>
    </w:p>
    <w:p>
      <w:pPr>
        <w:spacing w:after="160"/>
      </w:pPr>
      <w:r>
        <w:t xml:space="preserve">Frequency was highest for the newest vehicles (0.165 for age ≤1) and fell steadily with vehicle age (0.065 for 15+ years) — the opposite of a naive “older car = more mechanical risk” assumption. This is a documented pattern in French motor data, plausibly reflecting higher usage intensity or driver behaviour associated with newer vehicles, and it persisted as a strong, significant predictor in the GLM.</w:t>
      </w:r>
    </w:p>
    <w:p>
      <w:pPr>
        <w:pStyle w:val="Heading1"/>
        <w:spacing w:after="200" w:before="400"/>
      </w:pPr>
      <w:r>
        <w:t xml:space="preserve">3. Frequency-Severity GLM Modelling</w:t>
      </w:r>
    </w:p>
    <w:p>
      <w:pPr>
        <w:pStyle w:val="Heading2"/>
        <w:spacing w:after="150" w:before="300"/>
      </w:pPr>
      <w:r>
        <w:t xml:space="preserve">3.1 Frequency Model (Poisson GLM)</w:t>
      </w:r>
    </w:p>
    <w:p>
      <w:pPr>
        <w:spacing w:after="160"/>
      </w:pPr>
      <w:r>
        <w:t xml:space="preserve">Null deviance fell from 156,180 to 151,145 on 37 degrees of freedom used. The dispersion ratio (deviance/df = 0.32) indicated mild underdispersion rather than the overdispersion often assumed by default for count data — plausibly an artefact of the very high proportion of zero-claim policies, which is known to distort this diagnostic. Poisson was retained as an appropriate and defensible link.</w:t>
      </w:r>
    </w:p>
    <w:p>
      <w:pPr>
        <w:pStyle w:val="Heading2"/>
        <w:spacing w:after="150" w:before="300"/>
      </w:pPr>
      <w:r>
        <w:t xml:space="preserve">3.2 The DrivAge Confounding Finding</w:t>
      </w:r>
    </w:p>
    <w:p>
      <w:pPr>
        <w:spacing w:after="160"/>
      </w:pPr>
      <w:r>
        <w:t xml:space="preserve">The most analytically significant result of the GLM stage: once BonusMalus is included, the DrivAge coefficient becomes positive and highly significant (0.0064, p &lt; 2e-16) — the opposite sign to the raw univariate EDA trend. Variance Inflation Factors for all predictors were low (DrivAge: 1.30, BonusMalus: 1.31, all others &lt; 1.8), ruling out unstable multicollinearity as the cause. The correct interpretation is genuine confounding: young drivers carry high raw risk, but they also start with low BonusMalus (no claims history yet); once BonusMalus absorbs most of that signal, the age variable's remaining marginal effect flips. This distinction — marginal (univariate) effects vs. conditional (multivariate) effects — is a common source of pricing model misinterpretation and is directly tested against real outcomes in Section 5.</w:t>
      </w:r>
    </w:p>
    <w:p>
      <w:pPr>
        <w:pStyle w:val="Heading2"/>
        <w:spacing w:after="150" w:before="300"/>
      </w:pPr>
      <w:r>
        <w:t xml:space="preserve">3.3 Severity and Tweedie Models</w:t>
      </w:r>
    </w:p>
    <w:p>
      <w:pPr>
        <w:spacing w:after="160"/>
      </w:pPr>
      <w:r>
        <w:t xml:space="preserve">The Gamma severity model found almost no significant predictors beyond BonusMalus (p &lt; 0.001) — frequency-driving variables (VehPower, VehAge, DrivAge, Density) had no detectable effect on claim size. The joint Tweedie pure-premium model showed the same pattern. This is a coherent, expected finding: claim frequency reflects policyholder behaviour and risk profile, while claim severity is largely driven by circumstance at the time of loss, which these covariates do not capture. BonusMalus is the sole variable predictive of both — evidence that claims history predicts not just how often, but how severely, a policyholder claims.</w:t>
      </w:r>
    </w:p>
    <w:p>
      <w:pPr>
        <w:spacing w:after="160"/>
      </w:pPr>
      <w:r>
        <w:rPr>
          <w:b/>
          <w:bCs/>
        </w:rPr>
        <w:t xml:space="preserve">Modelling decision: </w:t>
      </w:r>
      <w:r>
        <w:t xml:space="preserve">the frequency-severity two-part structure was retained as the primary approach, since the joint Tweedie model diluted the strong frequency signal without materially improving on severity prediction.</w:t>
      </w:r>
    </w:p>
    <w:p>
      <w:pPr>
        <w:pStyle w:val="Heading1"/>
        <w:spacing w:after="200" w:before="400"/>
      </w:pPr>
      <w:r>
        <w:t xml:space="preserve">4. XGBoost Benchmark</w:t>
      </w:r>
    </w:p>
    <w:p>
      <w:pPr>
        <w:pStyle w:val="Heading2"/>
        <w:spacing w:after="150" w:before="300"/>
      </w:pPr>
      <w:r>
        <w:t xml:space="preserve">4.1 Discrimination: Gini Coefficient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C8A" w:color="auto" w:val="clear"/>
          </w:tcPr>
          <w:p>
            <w:r>
              <w:rPr>
                <w:b/>
                <w:bCs/>
                <w:color w:val="FFFFFF"/>
              </w:rPr>
              <w:t xml:space="preserve">Model</w:t>
            </w:r>
          </w:p>
        </w:tc>
        <w:tc>
          <w:tcPr>
            <w:tcW w:type="dxa" w:w="4500"/>
            <w:shd w:fill="2E5C8A" w:color="auto" w:val="clear"/>
          </w:tcPr>
          <w:p>
            <w:r>
              <w:rPr>
                <w:b/>
                <w:bCs/>
                <w:color w:val="FFFFFF"/>
              </w:rPr>
              <w:t xml:space="preserve">Gini Coefficient</w:t>
            </w:r>
          </w:p>
        </w:tc>
      </w:tr>
      <w:tr>
        <w:tc>
          <w:tcPr>
            <w:tcW w:type="dxa" w:w="4500"/>
          </w:tcPr>
          <w:p>
            <w:pPr>
              <w:jc w:val="left"/>
            </w:pPr>
            <w:r>
              <w:rPr>
                <w:b w:val="false"/>
                <w:bCs w:val="false"/>
              </w:rPr>
              <w:t xml:space="preserve">Poisson GLM</w:t>
            </w:r>
          </w:p>
        </w:tc>
        <w:tc>
          <w:tcPr>
            <w:tcW w:type="dxa" w:w="4500"/>
          </w:tcPr>
          <w:p>
            <w:pPr>
              <w:jc w:val="left"/>
            </w:pPr>
            <w:r>
              <w:rPr>
                <w:b w:val="false"/>
                <w:bCs w:val="false"/>
              </w:rPr>
              <w:t xml:space="preserve">0.252</w:t>
            </w:r>
          </w:p>
        </w:tc>
      </w:tr>
      <w:tr>
        <w:tc>
          <w:tcPr>
            <w:tcW w:type="dxa" w:w="4500"/>
            <w:shd w:fill="F2F2F2" w:color="auto" w:val="clear"/>
          </w:tcPr>
          <w:p>
            <w:pPr>
              <w:jc w:val="left"/>
            </w:pPr>
            <w:r>
              <w:rPr>
                <w:b w:val="false"/>
                <w:bCs w:val="false"/>
              </w:rPr>
              <w:t xml:space="preserve">XGBoost</w:t>
            </w:r>
          </w:p>
        </w:tc>
        <w:tc>
          <w:tcPr>
            <w:tcW w:type="dxa" w:w="4500"/>
            <w:shd w:fill="F2F2F2" w:color="auto" w:val="clear"/>
          </w:tcPr>
          <w:p>
            <w:pPr>
              <w:jc w:val="left"/>
            </w:pPr>
            <w:r>
              <w:rPr>
                <w:b w:val="false"/>
                <w:bCs w:val="false"/>
              </w:rPr>
              <w:t xml:space="preserve">0.324</w:t>
            </w:r>
          </w:p>
        </w:tc>
      </w:tr>
    </w:tbl>
    <w:p>
      <w:pPr>
        <w:spacing w:after="160"/>
      </w:pPr>
      <w:r>
        <w:t xml:space="preserve"/>
      </w:r>
    </w:p>
    <w:p>
      <w:pPr>
        <w:pStyle w:val="Heading2"/>
        <w:spacing w:after="150" w:before="300"/>
      </w:pPr>
      <w:r>
        <w:t xml:space="preserve">4.2 Exposure-Weighted Lift Chart (Decile Analysis)</w:t>
      </w:r>
    </w:p>
    <w:p>
      <w:pPr>
        <w:spacing w:after="160"/>
      </w:pPr>
      <w:r>
        <w:t xml:space="preserve">Deciles were constructed by cumulative exposure share ranked on predicted risk rate (predicted/exposure) — a correction from an initial equal-count decile approach, which had produced a non-monotonic lift chart due to short-exposure policies distorting low deciles. This is worth noting as a methodological safeguard: exposure-weighting is the standard, correct construction for actuarial lift/double-lift charts and equal-count deciles should not be used with offset-based predictions.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900"/>
        <w:gridCol w:w="1900"/>
      </w:tblGrid>
      <w:tr>
        <w:trPr>
          <w:tblHeader/>
        </w:trPr>
        <w:tc>
          <w:tcPr>
            <w:tcW w:type="dxa" w:w="2600"/>
            <w:shd w:fill="2E5C8A" w:color="auto" w:val="clear"/>
          </w:tcPr>
          <w:p>
            <w:r>
              <w:rPr>
                <w:b/>
                <w:bCs/>
                <w:color w:val="FFFFFF"/>
              </w:rPr>
              <w:t xml:space="preserve">Decile</w:t>
            </w:r>
          </w:p>
        </w:tc>
        <w:tc>
          <w:tcPr>
            <w:tcW w:type="dxa" w:w="1700"/>
            <w:shd w:fill="2E5C8A" w:color="auto" w:val="clear"/>
          </w:tcPr>
          <w:p>
            <w:r>
              <w:rPr>
                <w:b/>
                <w:bCs/>
                <w:color w:val="FFFFFF"/>
              </w:rPr>
              <w:t xml:space="preserve">GLM Predicted</w:t>
            </w:r>
          </w:p>
        </w:tc>
        <w:tc>
          <w:tcPr>
            <w:tcW w:type="dxa" w:w="1700"/>
            <w:shd w:fill="2E5C8A" w:color="auto" w:val="clear"/>
          </w:tcPr>
          <w:p>
            <w:r>
              <w:rPr>
                <w:b/>
                <w:bCs/>
                <w:color w:val="FFFFFF"/>
              </w:rPr>
              <w:t xml:space="preserve">GLM Actual</w:t>
            </w:r>
          </w:p>
        </w:tc>
        <w:tc>
          <w:tcPr>
            <w:tcW w:type="dxa" w:w="1900"/>
            <w:shd w:fill="2E5C8A" w:color="auto" w:val="clear"/>
          </w:tcPr>
          <w:p>
            <w:r>
              <w:rPr>
                <w:b/>
                <w:bCs/>
                <w:color w:val="FFFFFF"/>
              </w:rPr>
              <w:t xml:space="preserve">XGBoost Predicted</w:t>
            </w:r>
          </w:p>
        </w:tc>
        <w:tc>
          <w:tcPr>
            <w:tcW w:type="dxa" w:w="1900"/>
            <w:shd w:fill="2E5C8A" w:color="auto" w:val="clear"/>
          </w:tcPr>
          <w:p>
            <w:r>
              <w:rPr>
                <w:b/>
                <w:bCs/>
                <w:color w:val="FFFFFF"/>
              </w:rPr>
              <w:t xml:space="preserve">XGBoost Actual</w:t>
            </w:r>
          </w:p>
        </w:tc>
      </w:tr>
      <w:tr>
        <w:tc>
          <w:tcPr>
            <w:tcW w:type="dxa" w:w="2600"/>
          </w:tcPr>
          <w:p>
            <w:pPr>
              <w:jc w:val="left"/>
            </w:pPr>
            <w:r>
              <w:rPr>
                <w:b w:val="false"/>
                <w:bCs w:val="false"/>
              </w:rPr>
              <w:t xml:space="preserve">1 (lowest risk)</w:t>
            </w:r>
          </w:p>
        </w:tc>
        <w:tc>
          <w:tcPr>
            <w:tcW w:type="dxa" w:w="1700"/>
          </w:tcPr>
          <w:p>
            <w:pPr>
              <w:jc w:val="left"/>
            </w:pPr>
            <w:r>
              <w:rPr>
                <w:b w:val="false"/>
                <w:bCs w:val="false"/>
              </w:rPr>
              <w:t xml:space="preserve">0.0509</w:t>
            </w:r>
          </w:p>
        </w:tc>
        <w:tc>
          <w:tcPr>
            <w:tcW w:type="dxa" w:w="1700"/>
          </w:tcPr>
          <w:p>
            <w:pPr>
              <w:jc w:val="left"/>
            </w:pPr>
            <w:r>
              <w:rPr>
                <w:b w:val="false"/>
                <w:bCs w:val="false"/>
              </w:rPr>
              <w:t xml:space="preserve">0.0473</w:t>
            </w:r>
          </w:p>
        </w:tc>
        <w:tc>
          <w:tcPr>
            <w:tcW w:type="dxa" w:w="1900"/>
          </w:tcPr>
          <w:p>
            <w:pPr>
              <w:jc w:val="left"/>
            </w:pPr>
            <w:r>
              <w:rPr>
                <w:b w:val="false"/>
                <w:bCs w:val="false"/>
              </w:rPr>
              <w:t xml:space="preserve">0.0550</w:t>
            </w:r>
          </w:p>
        </w:tc>
        <w:tc>
          <w:tcPr>
            <w:tcW w:type="dxa" w:w="1900"/>
          </w:tcPr>
          <w:p>
            <w:pPr>
              <w:jc w:val="left"/>
            </w:pPr>
            <w:r>
              <w:rPr>
                <w:b w:val="false"/>
                <w:bCs w:val="false"/>
              </w:rPr>
              <w:t xml:space="preserve">0.0410</w:t>
            </w:r>
          </w:p>
        </w:tc>
      </w:tr>
      <w:tr>
        <w:tc>
          <w:tcPr>
            <w:tcW w:type="dxa" w:w="2600"/>
            <w:shd w:fill="F2F2F2" w:color="auto" w:val="clear"/>
          </w:tcPr>
          <w:p>
            <w:pPr>
              <w:jc w:val="left"/>
            </w:pPr>
            <w:r>
              <w:rPr>
                <w:b w:val="false"/>
                <w:bCs w:val="false"/>
              </w:rPr>
              <w:t xml:space="preserve">3</w:t>
            </w:r>
          </w:p>
        </w:tc>
        <w:tc>
          <w:tcPr>
            <w:tcW w:type="dxa" w:w="1700"/>
            <w:shd w:fill="F2F2F2" w:color="auto" w:val="clear"/>
          </w:tcPr>
          <w:p>
            <w:pPr>
              <w:jc w:val="left"/>
            </w:pPr>
            <w:r>
              <w:rPr>
                <w:b w:val="false"/>
                <w:bCs w:val="false"/>
              </w:rPr>
              <w:t xml:space="preserve">0.0704</w:t>
            </w:r>
          </w:p>
        </w:tc>
        <w:tc>
          <w:tcPr>
            <w:tcW w:type="dxa" w:w="1700"/>
            <w:shd w:fill="F2F2F2" w:color="auto" w:val="clear"/>
          </w:tcPr>
          <w:p>
            <w:pPr>
              <w:jc w:val="left"/>
            </w:pPr>
            <w:r>
              <w:rPr>
                <w:b w:val="false"/>
                <w:bCs w:val="false"/>
              </w:rPr>
              <w:t xml:space="preserve">0.0706</w:t>
            </w:r>
          </w:p>
        </w:tc>
        <w:tc>
          <w:tcPr>
            <w:tcW w:type="dxa" w:w="1900"/>
            <w:shd w:fill="F2F2F2" w:color="auto" w:val="clear"/>
          </w:tcPr>
          <w:p>
            <w:pPr>
              <w:jc w:val="left"/>
            </w:pPr>
            <w:r>
              <w:rPr>
                <w:b w:val="false"/>
                <w:bCs w:val="false"/>
              </w:rPr>
              <w:t xml:space="preserve">0.0763</w:t>
            </w:r>
          </w:p>
        </w:tc>
        <w:tc>
          <w:tcPr>
            <w:tcW w:type="dxa" w:w="1900"/>
            <w:shd w:fill="F2F2F2" w:color="auto" w:val="clear"/>
          </w:tcPr>
          <w:p>
            <w:pPr>
              <w:jc w:val="left"/>
            </w:pPr>
            <w:r>
              <w:rPr>
                <w:b w:val="false"/>
                <w:bCs w:val="false"/>
              </w:rPr>
              <w:t xml:space="preserve">0.0632</w:t>
            </w:r>
          </w:p>
        </w:tc>
      </w:tr>
      <w:tr>
        <w:tc>
          <w:tcPr>
            <w:tcW w:type="dxa" w:w="2600"/>
          </w:tcPr>
          <w:p>
            <w:pPr>
              <w:jc w:val="left"/>
            </w:pPr>
            <w:r>
              <w:rPr>
                <w:b w:val="false"/>
                <w:bCs w:val="false"/>
              </w:rPr>
              <w:t xml:space="preserve">5</w:t>
            </w:r>
          </w:p>
        </w:tc>
        <w:tc>
          <w:tcPr>
            <w:tcW w:type="dxa" w:w="1700"/>
          </w:tcPr>
          <w:p>
            <w:pPr>
              <w:jc w:val="left"/>
            </w:pPr>
            <w:r>
              <w:rPr>
                <w:b w:val="false"/>
                <w:bCs w:val="false"/>
              </w:rPr>
              <w:t xml:space="preserve">0.0850</w:t>
            </w:r>
          </w:p>
        </w:tc>
        <w:tc>
          <w:tcPr>
            <w:tcW w:type="dxa" w:w="1700"/>
          </w:tcPr>
          <w:p>
            <w:pPr>
              <w:jc w:val="left"/>
            </w:pPr>
            <w:r>
              <w:rPr>
                <w:b w:val="false"/>
                <w:bCs w:val="false"/>
              </w:rPr>
              <w:t xml:space="preserve">0.0799</w:t>
            </w:r>
          </w:p>
        </w:tc>
        <w:tc>
          <w:tcPr>
            <w:tcW w:type="dxa" w:w="1900"/>
          </w:tcPr>
          <w:p>
            <w:pPr>
              <w:jc w:val="left"/>
            </w:pPr>
            <w:r>
              <w:rPr>
                <w:b w:val="false"/>
                <w:bCs w:val="false"/>
              </w:rPr>
              <w:t xml:space="preserve">0.0844</w:t>
            </w:r>
          </w:p>
        </w:tc>
        <w:tc>
          <w:tcPr>
            <w:tcW w:type="dxa" w:w="1900"/>
          </w:tcPr>
          <w:p>
            <w:pPr>
              <w:jc w:val="left"/>
            </w:pPr>
            <w:r>
              <w:rPr>
                <w:b w:val="false"/>
                <w:bCs w:val="false"/>
              </w:rPr>
              <w:t xml:space="preserve">0.0816</w:t>
            </w:r>
          </w:p>
        </w:tc>
      </w:tr>
      <w:tr>
        <w:tc>
          <w:tcPr>
            <w:tcW w:type="dxa" w:w="2600"/>
            <w:shd w:fill="F2F2F2" w:color="auto" w:val="clear"/>
          </w:tcPr>
          <w:p>
            <w:pPr>
              <w:jc w:val="left"/>
            </w:pPr>
            <w:r>
              <w:rPr>
                <w:b w:val="false"/>
                <w:bCs w:val="false"/>
              </w:rPr>
              <w:t xml:space="preserve">7</w:t>
            </w:r>
          </w:p>
        </w:tc>
        <w:tc>
          <w:tcPr>
            <w:tcW w:type="dxa" w:w="1700"/>
            <w:shd w:fill="F2F2F2" w:color="auto" w:val="clear"/>
          </w:tcPr>
          <w:p>
            <w:pPr>
              <w:jc w:val="left"/>
            </w:pPr>
            <w:r>
              <w:rPr>
                <w:b w:val="false"/>
                <w:bCs w:val="false"/>
              </w:rPr>
              <w:t xml:space="preserve">0.1020</w:t>
            </w:r>
          </w:p>
        </w:tc>
        <w:tc>
          <w:tcPr>
            <w:tcW w:type="dxa" w:w="1700"/>
            <w:shd w:fill="F2F2F2" w:color="auto" w:val="clear"/>
          </w:tcPr>
          <w:p>
            <w:pPr>
              <w:jc w:val="left"/>
            </w:pPr>
            <w:r>
              <w:rPr>
                <w:b w:val="false"/>
                <w:bCs w:val="false"/>
              </w:rPr>
              <w:t xml:space="preserve">0.1040</w:t>
            </w:r>
          </w:p>
        </w:tc>
        <w:tc>
          <w:tcPr>
            <w:tcW w:type="dxa" w:w="1900"/>
            <w:shd w:fill="F2F2F2" w:color="auto" w:val="clear"/>
          </w:tcPr>
          <w:p>
            <w:pPr>
              <w:jc w:val="left"/>
            </w:pPr>
            <w:r>
              <w:rPr>
                <w:b w:val="false"/>
                <w:bCs w:val="false"/>
              </w:rPr>
              <w:t xml:space="preserve">0.0907</w:t>
            </w:r>
          </w:p>
        </w:tc>
        <w:tc>
          <w:tcPr>
            <w:tcW w:type="dxa" w:w="1900"/>
            <w:shd w:fill="F2F2F2" w:color="auto" w:val="clear"/>
          </w:tcPr>
          <w:p>
            <w:pPr>
              <w:jc w:val="left"/>
            </w:pPr>
            <w:r>
              <w:rPr>
                <w:b w:val="false"/>
                <w:bCs w:val="false"/>
              </w:rPr>
              <w:t xml:space="preserve">0.0868</w:t>
            </w:r>
          </w:p>
        </w:tc>
      </w:tr>
      <w:tr>
        <w:tc>
          <w:tcPr>
            <w:tcW w:type="dxa" w:w="2600"/>
          </w:tcPr>
          <w:p>
            <w:pPr>
              <w:jc w:val="left"/>
            </w:pPr>
            <w:r>
              <w:rPr>
                <w:b w:val="false"/>
                <w:bCs w:val="false"/>
              </w:rPr>
              <w:t xml:space="preserve">10 (highest risk)</w:t>
            </w:r>
          </w:p>
        </w:tc>
        <w:tc>
          <w:tcPr>
            <w:tcW w:type="dxa" w:w="1700"/>
          </w:tcPr>
          <w:p>
            <w:pPr>
              <w:jc w:val="left"/>
            </w:pPr>
            <w:r>
              <w:rPr>
                <w:b w:val="false"/>
                <w:bCs w:val="false"/>
              </w:rPr>
              <w:t xml:space="preserve">0.2150</w:t>
            </w:r>
          </w:p>
        </w:tc>
        <w:tc>
          <w:tcPr>
            <w:tcW w:type="dxa" w:w="1700"/>
          </w:tcPr>
          <w:p>
            <w:pPr>
              <w:jc w:val="left"/>
            </w:pPr>
            <w:r>
              <w:rPr>
                <w:b w:val="false"/>
                <w:bCs w:val="false"/>
              </w:rPr>
              <w:t xml:space="preserve">0.2100</w:t>
            </w:r>
          </w:p>
        </w:tc>
        <w:tc>
          <w:tcPr>
            <w:tcW w:type="dxa" w:w="1900"/>
          </w:tcPr>
          <w:p>
            <w:pPr>
              <w:jc w:val="left"/>
            </w:pPr>
            <w:r>
              <w:rPr>
                <w:b w:val="false"/>
                <w:bCs w:val="false"/>
              </w:rPr>
              <w:t xml:space="preserve">0.2780</w:t>
            </w:r>
          </w:p>
        </w:tc>
        <w:tc>
          <w:tcPr>
            <w:tcW w:type="dxa" w:w="1900"/>
          </w:tcPr>
          <w:p>
            <w:pPr>
              <w:jc w:val="left"/>
            </w:pPr>
            <w:r>
              <w:rPr>
                <w:b w:val="false"/>
                <w:bCs w:val="false"/>
              </w:rPr>
              <w:t xml:space="preserve">0.2990</w:t>
            </w:r>
          </w:p>
        </w:tc>
      </w:tr>
    </w:tbl>
    <w:p>
      <w:pPr>
        <w:spacing w:after="160"/>
      </w:pPr>
      <w:r>
        <w:t xml:space="preserve"/>
      </w:r>
    </w:p>
    <w:p>
      <w:pPr>
        <w:spacing w:after="160"/>
      </w:pPr>
      <w:r>
        <w:t xml:space="preserve">The GLM tracked actual frequency closely across the middle of the distribution (deciles 3–8), while XGBoost showed wider gaps in that range but captured a substantially wider — and better calibrated — top decile (0.299 actual vs. 0.278 predicted, versus the GLM's narrower 0.215 ceiling). XGBoost's Gini advantage is driven specifically by superior separation of the highest-risk segment, not uniformly better calibration throughout the distribution.</w:t>
      </w:r>
    </w:p>
    <w:p>
      <w:pPr>
        <w:pStyle w:val="Heading1"/>
        <w:spacing w:after="200" w:before="400"/>
      </w:pPr>
      <w:r>
        <w:t xml:space="preserve">5. Actual-vs-Expected (A/E) Validation</w:t>
      </w:r>
    </w:p>
    <w:p>
      <w:pPr>
        <w:spacing w:after="160"/>
      </w:pPr>
      <w:r>
        <w:t xml:space="preserve">Both fitted models were evaluated on the untouched 30% holdout set, computing A/E ratios by rating segment — the standard actuarial experience-monitoring approach for testing whether a pricing model holds up out of sample.</w:t>
      </w:r>
    </w:p>
    <w:p>
      <w:pPr>
        <w:pStyle w:val="Heading2"/>
        <w:spacing w:after="150" w:before="300"/>
      </w:pPr>
      <w:r>
        <w:t xml:space="preserve">5.1 Overall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1900"/>
      </w:tblGrid>
      <w:tr>
        <w:trPr>
          <w:tblHeader/>
        </w:trPr>
        <w:tc>
          <w:tcPr>
            <w:tcW w:type="dxa" w:w="2500"/>
            <w:shd w:fill="2E5C8A" w:color="auto" w:val="clear"/>
          </w:tcPr>
          <w:p>
            <w:r>
              <w:rPr>
                <w:b/>
                <w:bCs/>
                <w:color w:val="FFFFFF"/>
              </w:rPr>
              <w:t xml:space="preserve">Model</w:t>
            </w:r>
          </w:p>
        </w:tc>
        <w:tc>
          <w:tcPr>
            <w:tcW w:type="dxa" w:w="2300"/>
            <w:shd w:fill="2E5C8A" w:color="auto" w:val="clear"/>
          </w:tcPr>
          <w:p>
            <w:r>
              <w:rPr>
                <w:b/>
                <w:bCs/>
                <w:color w:val="FFFFFF"/>
              </w:rPr>
              <w:t xml:space="preserve">Actual Claims</w:t>
            </w:r>
          </w:p>
        </w:tc>
        <w:tc>
          <w:tcPr>
            <w:tcW w:type="dxa" w:w="2300"/>
            <w:shd w:fill="2E5C8A" w:color="auto" w:val="clear"/>
          </w:tcPr>
          <w:p>
            <w:r>
              <w:rPr>
                <w:b/>
                <w:bCs/>
                <w:color w:val="FFFFFF"/>
              </w:rPr>
              <w:t xml:space="preserve">Expected Claims</w:t>
            </w:r>
          </w:p>
        </w:tc>
        <w:tc>
          <w:tcPr>
            <w:tcW w:type="dxa" w:w="1900"/>
            <w:shd w:fill="2E5C8A" w:color="auto" w:val="clear"/>
          </w:tcPr>
          <w:p>
            <w:r>
              <w:rPr>
                <w:b/>
                <w:bCs/>
                <w:color w:val="FFFFFF"/>
              </w:rPr>
              <w:t xml:space="preserve">A/E Ratio</w:t>
            </w:r>
          </w:p>
        </w:tc>
      </w:tr>
      <w:tr>
        <w:tc>
          <w:tcPr>
            <w:tcW w:type="dxa" w:w="2500"/>
          </w:tcPr>
          <w:p>
            <w:pPr>
              <w:jc w:val="left"/>
            </w:pPr>
            <w:r>
              <w:rPr>
                <w:b w:val="false"/>
                <w:bCs w:val="false"/>
              </w:rPr>
              <w:t xml:space="preserve">GLM</w:t>
            </w:r>
          </w:p>
        </w:tc>
        <w:tc>
          <w:tcPr>
            <w:tcW w:type="dxa" w:w="2300"/>
          </w:tcPr>
          <w:p>
            <w:pPr>
              <w:jc w:val="left"/>
            </w:pPr>
            <w:r>
              <w:rPr>
                <w:b w:val="false"/>
                <w:bCs w:val="false"/>
              </w:rPr>
              <w:t xml:space="preserve">10,846</w:t>
            </w:r>
          </w:p>
        </w:tc>
        <w:tc>
          <w:tcPr>
            <w:tcW w:type="dxa" w:w="2300"/>
          </w:tcPr>
          <w:p>
            <w:pPr>
              <w:jc w:val="left"/>
            </w:pPr>
            <w:r>
              <w:rPr>
                <w:b w:val="false"/>
                <w:bCs w:val="false"/>
              </w:rPr>
              <w:t xml:space="preserve">10,777.7</w:t>
            </w:r>
          </w:p>
        </w:tc>
        <w:tc>
          <w:tcPr>
            <w:tcW w:type="dxa" w:w="1900"/>
          </w:tcPr>
          <w:p>
            <w:pPr>
              <w:jc w:val="left"/>
            </w:pPr>
            <w:r>
              <w:rPr>
                <w:b w:val="false"/>
                <w:bCs w:val="false"/>
              </w:rPr>
              <w:t xml:space="preserve">1.006</w:t>
            </w:r>
          </w:p>
        </w:tc>
      </w:tr>
      <w:tr>
        <w:tc>
          <w:tcPr>
            <w:tcW w:type="dxa" w:w="2500"/>
            <w:shd w:fill="F2F2F2" w:color="auto" w:val="clear"/>
          </w:tcPr>
          <w:p>
            <w:pPr>
              <w:jc w:val="left"/>
            </w:pPr>
            <w:r>
              <w:rPr>
                <w:b w:val="false"/>
                <w:bCs w:val="false"/>
              </w:rPr>
              <w:t xml:space="preserve">XGBoost</w:t>
            </w:r>
          </w:p>
        </w:tc>
        <w:tc>
          <w:tcPr>
            <w:tcW w:type="dxa" w:w="2300"/>
            <w:shd w:fill="F2F2F2" w:color="auto" w:val="clear"/>
          </w:tcPr>
          <w:p>
            <w:pPr>
              <w:jc w:val="left"/>
            </w:pPr>
            <w:r>
              <w:rPr>
                <w:b w:val="false"/>
                <w:bCs w:val="false"/>
              </w:rPr>
              <w:t xml:space="preserve">10,846</w:t>
            </w:r>
          </w:p>
        </w:tc>
        <w:tc>
          <w:tcPr>
            <w:tcW w:type="dxa" w:w="2300"/>
            <w:shd w:fill="F2F2F2" w:color="auto" w:val="clear"/>
          </w:tcPr>
          <w:p>
            <w:pPr>
              <w:jc w:val="left"/>
            </w:pPr>
            <w:r>
              <w:rPr>
                <w:b w:val="false"/>
                <w:bCs w:val="false"/>
              </w:rPr>
              <w:t xml:space="preserve">11,404.6</w:t>
            </w:r>
          </w:p>
        </w:tc>
        <w:tc>
          <w:tcPr>
            <w:tcW w:type="dxa" w:w="1900"/>
            <w:shd w:fill="F2F2F2" w:color="auto" w:val="clear"/>
          </w:tcPr>
          <w:p>
            <w:pPr>
              <w:jc w:val="left"/>
            </w:pPr>
            <w:r>
              <w:rPr>
                <w:b w:val="false"/>
                <w:bCs w:val="false"/>
              </w:rPr>
              <w:t xml:space="preserve">0.951</w:t>
            </w:r>
          </w:p>
        </w:tc>
      </w:tr>
    </w:tbl>
    <w:p>
      <w:pPr>
        <w:spacing w:after="160"/>
      </w:pPr>
      <w:r>
        <w:t xml:space="preserve"/>
      </w:r>
    </w:p>
    <w:p>
      <w:pPr>
        <w:pStyle w:val="Heading2"/>
        <w:spacing w:after="150" w:before="300"/>
      </w:pPr>
      <w:r>
        <w:t xml:space="preserve">5.2 Segment-Level Finding: Young Driver Miscalibration</w:t>
      </w:r>
    </w:p>
    <w:p>
      <w:pPr>
        <w:spacing w:after="160"/>
      </w:pPr>
      <w:r>
        <w:t xml:space="preserve">Aggregate calibration masked a material, statistically significant miscalibration in the youngest driver band ([17,22)) — precisely the segment where the DrivAge confounding effect (Section 3.2) predicted a potential issue: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00"/>
      </w:tblGrid>
      <w:tr>
        <w:trPr>
          <w:tblHeader/>
        </w:trPr>
        <w:tc>
          <w:tcPr>
            <w:tcW w:type="dxa" w:w="2200"/>
            <w:shd w:fill="2E5C8A" w:color="auto" w:val="clear"/>
          </w:tcPr>
          <w:p>
            <w:r>
              <w:rPr>
                <w:b/>
                <w:bCs/>
                <w:color w:val="FFFFFF"/>
              </w:rPr>
              <w:t xml:space="preserve">Model</w:t>
            </w:r>
          </w:p>
        </w:tc>
        <w:tc>
          <w:tcPr>
            <w:tcW w:type="dxa" w:w="2400"/>
            <w:shd w:fill="2E5C8A" w:color="auto" w:val="clear"/>
          </w:tcPr>
          <w:p>
            <w:r>
              <w:rPr>
                <w:b/>
                <w:bCs/>
                <w:color w:val="FFFFFF"/>
              </w:rPr>
              <w:t xml:space="preserve">A/E Ratio (age 17–22)</w:t>
            </w:r>
          </w:p>
        </w:tc>
        <w:tc>
          <w:tcPr>
            <w:tcW w:type="dxa" w:w="2400"/>
            <w:shd w:fill="2E5C8A" w:color="auto" w:val="clear"/>
          </w:tcPr>
          <w:p>
            <w:r>
              <w:rPr>
                <w:b/>
                <w:bCs/>
                <w:color w:val="FFFFFF"/>
              </w:rPr>
              <w:t xml:space="preserve">95% CI</w:t>
            </w:r>
          </w:p>
        </w:tc>
        <w:tc>
          <w:tcPr>
            <w:tcW w:type="dxa" w:w="2000"/>
            <w:shd w:fill="2E5C8A" w:color="auto" w:val="clear"/>
          </w:tcPr>
          <w:p>
            <w:r>
              <w:rPr>
                <w:b/>
                <w:bCs/>
                <w:color w:val="FFFFFF"/>
              </w:rPr>
              <w:t xml:space="preserve">p-value</w:t>
            </w:r>
          </w:p>
        </w:tc>
      </w:tr>
      <w:tr>
        <w:tc>
          <w:tcPr>
            <w:tcW w:type="dxa" w:w="2200"/>
          </w:tcPr>
          <w:p>
            <w:pPr>
              <w:jc w:val="left"/>
            </w:pPr>
            <w:r>
              <w:rPr>
                <w:b w:val="false"/>
                <w:bCs w:val="false"/>
              </w:rPr>
              <w:t xml:space="preserve">GLM</w:t>
            </w:r>
          </w:p>
        </w:tc>
        <w:tc>
          <w:tcPr>
            <w:tcW w:type="dxa" w:w="2400"/>
          </w:tcPr>
          <w:p>
            <w:pPr>
              <w:jc w:val="left"/>
            </w:pPr>
            <w:r>
              <w:rPr>
                <w:b w:val="false"/>
                <w:bCs w:val="false"/>
              </w:rPr>
              <w:t xml:space="preserve">1.38</w:t>
            </w:r>
          </w:p>
        </w:tc>
        <w:tc>
          <w:tcPr>
            <w:tcW w:type="dxa" w:w="2400"/>
          </w:tcPr>
          <w:p>
            <w:pPr>
              <w:jc w:val="left"/>
            </w:pPr>
            <w:r>
              <w:rPr>
                <w:b w:val="false"/>
                <w:bCs w:val="false"/>
              </w:rPr>
              <w:t xml:space="preserve">[1.228, 1.549]</w:t>
            </w:r>
          </w:p>
        </w:tc>
        <w:tc>
          <w:tcPr>
            <w:tcW w:type="dxa" w:w="2000"/>
          </w:tcPr>
          <w:p>
            <w:pPr>
              <w:jc w:val="left"/>
            </w:pPr>
            <w:r>
              <w:rPr>
                <w:b w:val="false"/>
                <w:bCs w:val="false"/>
              </w:rPr>
              <w:t xml:space="preserve">1.48 × 10⁻⁷</w:t>
            </w:r>
          </w:p>
        </w:tc>
      </w:tr>
      <w:tr>
        <w:tc>
          <w:tcPr>
            <w:tcW w:type="dxa" w:w="2200"/>
            <w:shd w:fill="F2F2F2" w:color="auto" w:val="clear"/>
          </w:tcPr>
          <w:p>
            <w:pPr>
              <w:jc w:val="left"/>
            </w:pPr>
            <w:r>
              <w:rPr>
                <w:b w:val="false"/>
                <w:bCs w:val="false"/>
              </w:rPr>
              <w:t xml:space="preserve">XGBoost</w:t>
            </w:r>
          </w:p>
        </w:tc>
        <w:tc>
          <w:tcPr>
            <w:tcW w:type="dxa" w:w="2400"/>
            <w:shd w:fill="F2F2F2" w:color="auto" w:val="clear"/>
          </w:tcPr>
          <w:p>
            <w:pPr>
              <w:jc w:val="left"/>
            </w:pPr>
            <w:r>
              <w:rPr>
                <w:b w:val="false"/>
                <w:bCs w:val="false"/>
              </w:rPr>
              <w:t xml:space="preserve">1.12</w:t>
            </w:r>
          </w:p>
        </w:tc>
        <w:tc>
          <w:tcPr>
            <w:tcW w:type="dxa" w:w="2400"/>
            <w:shd w:fill="F2F2F2" w:color="auto" w:val="clear"/>
          </w:tcPr>
          <w:p>
            <w:pPr>
              <w:jc w:val="left"/>
            </w:pPr>
            <w:r>
              <w:rPr>
                <w:b w:val="false"/>
                <w:bCs w:val="false"/>
              </w:rPr>
              <w:t xml:space="preserve">[0.993, 1.252]</w:t>
            </w:r>
          </w:p>
        </w:tc>
        <w:tc>
          <w:tcPr>
            <w:tcW w:type="dxa" w:w="2000"/>
            <w:shd w:fill="F2F2F2" w:color="auto" w:val="clear"/>
          </w:tcPr>
          <w:p>
            <w:pPr>
              <w:jc w:val="left"/>
            </w:pPr>
            <w:r>
              <w:rPr>
                <w:b w:val="false"/>
                <w:bCs w:val="false"/>
              </w:rPr>
              <w:t xml:space="preserve">0.060</w:t>
            </w:r>
          </w:p>
        </w:tc>
      </w:tr>
    </w:tbl>
    <w:p>
      <w:pPr>
        <w:spacing w:after="160"/>
      </w:pPr>
      <w:r>
        <w:t xml:space="preserve"/>
      </w:r>
    </w:p>
    <w:p>
      <w:pPr>
        <w:spacing w:after="160"/>
      </w:pPr>
      <w:r>
        <w:t xml:space="preserve">An exact Poisson test confirms the GLM's underprediction for young drivers is real, not sampling noise — the true event rate is estimated between 23% and 55% above the model's assumption, with overwhelming statistical significance. XGBoost's residual gap, by contrast, is not distinguishable from perfect calibration at the 5% level. A parallel pattern held for VehAgeBand, where XGBoost showed materially more stable A/E ratios across bands (0.86–1.00) than the GLM (0.81–1.22).</w:t>
      </w:r>
    </w:p>
    <w:p>
      <w:pPr>
        <w:spacing w:after="160"/>
      </w:pPr>
      <w:r>
        <w:rPr>
          <w:b/>
          <w:bCs/>
        </w:rPr>
        <w:t xml:space="preserve">Interpretation: </w:t>
      </w:r>
      <w:r>
        <w:t xml:space="preserve">this demonstrates that statistical significance of a GLM coefficient does not guarantee good real-world calibration for that segment. The GLM's linear, additive structure cannot fully capture the interaction between youth and thin claims history that a tree-based model detects natively — a concrete, quantified case for ML as a calibration check on classical pricing models, rather than a wholesale replacement for them.</w:t>
      </w:r>
    </w:p>
    <w:p>
      <w:pPr>
        <w:pStyle w:val="Heading1"/>
        <w:spacing w:after="200" w:before="400"/>
      </w:pPr>
      <w:r>
        <w:t xml:space="preserve">6. Business Translation: Relativities &amp; Pricing Impact</w:t>
      </w:r>
    </w:p>
    <w:p>
      <w:pPr>
        <w:spacing w:after="160"/>
      </w:pPr>
      <w:r>
        <w:t xml:space="preserve">GLM coefficients were converted to multiplicative relativities (exp(coefficient)) — the standard actuarial rating-table output an underwriter or pricing committee would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2E5C8A" w:color="auto" w:val="clear"/>
          </w:tcPr>
          <w:p>
            <w:r>
              <w:rPr>
                <w:b/>
                <w:bCs/>
                <w:color w:val="FFFFFF"/>
              </w:rPr>
              <w:t xml:space="preserve">Factor (per unit / vs. baseline)</w:t>
            </w:r>
          </w:p>
        </w:tc>
        <w:tc>
          <w:tcPr>
            <w:tcW w:type="dxa" w:w="3000"/>
            <w:shd w:fill="2E5C8A" w:color="auto" w:val="clear"/>
          </w:tcPr>
          <w:p>
            <w:r>
              <w:rPr>
                <w:b/>
                <w:bCs/>
                <w:color w:val="FFFFFF"/>
              </w:rPr>
              <w:t xml:space="preserve">Relativity</w:t>
            </w:r>
          </w:p>
        </w:tc>
      </w:tr>
      <w:tr>
        <w:tc>
          <w:tcPr>
            <w:tcW w:type="dxa" w:w="6000"/>
          </w:tcPr>
          <w:p>
            <w:pPr>
              <w:jc w:val="left"/>
            </w:pPr>
            <w:r>
              <w:rPr>
                <w:b w:val="false"/>
                <w:bCs w:val="false"/>
              </w:rPr>
              <w:t xml:space="preserve">VehAge (per year)</w:t>
            </w:r>
          </w:p>
        </w:tc>
        <w:tc>
          <w:tcPr>
            <w:tcW w:type="dxa" w:w="3000"/>
          </w:tcPr>
          <w:p>
            <w:pPr>
              <w:jc w:val="left"/>
            </w:pPr>
            <w:r>
              <w:rPr>
                <w:b w:val="false"/>
                <w:bCs w:val="false"/>
              </w:rPr>
              <w:t xml:space="preserve">0.962 (–3.8% per year)</w:t>
            </w:r>
          </w:p>
        </w:tc>
      </w:tr>
      <w:tr>
        <w:tc>
          <w:tcPr>
            <w:tcW w:type="dxa" w:w="6000"/>
            <w:shd w:fill="F2F2F2" w:color="auto" w:val="clear"/>
          </w:tcPr>
          <w:p>
            <w:pPr>
              <w:jc w:val="left"/>
            </w:pPr>
            <w:r>
              <w:rPr>
                <w:b w:val="false"/>
                <w:bCs w:val="false"/>
              </w:rPr>
              <w:t xml:space="preserve">DrivAge (per year, controlling for BonusMalus)</w:t>
            </w:r>
          </w:p>
        </w:tc>
        <w:tc>
          <w:tcPr>
            <w:tcW w:type="dxa" w:w="3000"/>
            <w:shd w:fill="F2F2F2" w:color="auto" w:val="clear"/>
          </w:tcPr>
          <w:p>
            <w:pPr>
              <w:jc w:val="left"/>
            </w:pPr>
            <w:r>
              <w:rPr>
                <w:b w:val="false"/>
                <w:bCs w:val="false"/>
              </w:rPr>
              <w:t xml:space="preserve">1.006 (+0.6% per year)</w:t>
            </w:r>
          </w:p>
        </w:tc>
      </w:tr>
      <w:tr>
        <w:tc>
          <w:tcPr>
            <w:tcW w:type="dxa" w:w="6000"/>
          </w:tcPr>
          <w:p>
            <w:pPr>
              <w:jc w:val="left"/>
            </w:pPr>
            <w:r>
              <w:rPr>
                <w:b w:val="false"/>
                <w:bCs w:val="false"/>
              </w:rPr>
              <w:t xml:space="preserve">BonusMalus (per point)</w:t>
            </w:r>
          </w:p>
        </w:tc>
        <w:tc>
          <w:tcPr>
            <w:tcW w:type="dxa" w:w="3000"/>
          </w:tcPr>
          <w:p>
            <w:pPr>
              <w:jc w:val="left"/>
            </w:pPr>
            <w:r>
              <w:rPr>
                <w:b w:val="false"/>
                <w:bCs w:val="false"/>
              </w:rPr>
              <w:t xml:space="preserve">1.023 (+2.3% per point)</w:t>
            </w:r>
          </w:p>
        </w:tc>
      </w:tr>
      <w:tr>
        <w:tc>
          <w:tcPr>
            <w:tcW w:type="dxa" w:w="6000"/>
            <w:shd w:fill="F2F2F2" w:color="auto" w:val="clear"/>
          </w:tcPr>
          <w:p>
            <w:pPr>
              <w:jc w:val="left"/>
            </w:pPr>
            <w:r>
              <w:rPr>
                <w:b w:val="false"/>
                <w:bCs w:val="false"/>
              </w:rPr>
              <w:t xml:space="preserve">log(Density)</w:t>
            </w:r>
          </w:p>
        </w:tc>
        <w:tc>
          <w:tcPr>
            <w:tcW w:type="dxa" w:w="3000"/>
            <w:shd w:fill="F2F2F2" w:color="auto" w:val="clear"/>
          </w:tcPr>
          <w:p>
            <w:pPr>
              <w:jc w:val="left"/>
            </w:pPr>
            <w:r>
              <w:rPr>
                <w:b w:val="false"/>
                <w:bCs w:val="false"/>
              </w:rPr>
              <w:t xml:space="preserve">1.043</w:t>
            </w:r>
          </w:p>
        </w:tc>
      </w:tr>
      <w:tr>
        <w:tc>
          <w:tcPr>
            <w:tcW w:type="dxa" w:w="6000"/>
          </w:tcPr>
          <w:p>
            <w:pPr>
              <w:jc w:val="left"/>
            </w:pPr>
            <w:r>
              <w:rPr>
                <w:b w:val="false"/>
                <w:bCs w:val="false"/>
              </w:rPr>
              <w:t xml:space="preserve">VehPower (per unit)</w:t>
            </w:r>
          </w:p>
        </w:tc>
        <w:tc>
          <w:tcPr>
            <w:tcW w:type="dxa" w:w="3000"/>
          </w:tcPr>
          <w:p>
            <w:pPr>
              <w:jc w:val="left"/>
            </w:pPr>
            <w:r>
              <w:rPr>
                <w:b w:val="false"/>
                <w:bCs w:val="false"/>
              </w:rPr>
              <w:t xml:space="preserve">1.015</w:t>
            </w:r>
          </w:p>
        </w:tc>
      </w:tr>
    </w:tbl>
    <w:p>
      <w:pPr>
        <w:spacing w:after="160"/>
      </w:pPr>
      <w:r>
        <w:t xml:space="preserve"/>
      </w:r>
    </w:p>
    <w:p>
      <w:pPr>
        <w:pStyle w:val="Heading2"/>
        <w:spacing w:after="150" w:before="300"/>
      </w:pPr>
      <w:r>
        <w:t xml:space="preserve">Compounded Effects — Realistic Rating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2E5C8A" w:color="auto" w:val="clear"/>
          </w:tcPr>
          <w:p>
            <w:r>
              <w:rPr>
                <w:b/>
                <w:bCs/>
                <w:color w:val="FFFFFF"/>
              </w:rPr>
              <w:t xml:space="preserve">Scenario</w:t>
            </w:r>
          </w:p>
        </w:tc>
        <w:tc>
          <w:tcPr>
            <w:tcW w:type="dxa" w:w="2500"/>
            <w:shd w:fill="2E5C8A" w:color="auto" w:val="clear"/>
          </w:tcPr>
          <w:p>
            <w:r>
              <w:rPr>
                <w:b/>
                <w:bCs/>
                <w:color w:val="FFFFFF"/>
              </w:rPr>
              <w:t xml:space="preserve">Relativity vs. Baseline</w:t>
            </w:r>
          </w:p>
        </w:tc>
      </w:tr>
      <w:tr>
        <w:tc>
          <w:tcPr>
            <w:tcW w:type="dxa" w:w="6500"/>
          </w:tcPr>
          <w:p>
            <w:pPr>
              <w:jc w:val="left"/>
            </w:pPr>
            <w:r>
              <w:rPr>
                <w:b w:val="false"/>
                <w:bCs w:val="false"/>
              </w:rPr>
              <w:t xml:space="preserve">BonusMalus 130 vs. baseline 50</w:t>
            </w:r>
          </w:p>
        </w:tc>
        <w:tc>
          <w:tcPr>
            <w:tcW w:type="dxa" w:w="2500"/>
          </w:tcPr>
          <w:p>
            <w:pPr>
              <w:jc w:val="left"/>
            </w:pPr>
            <w:r>
              <w:rPr>
                <w:b w:val="false"/>
                <w:bCs w:val="false"/>
              </w:rPr>
              <w:t xml:space="preserve">6.07×</w:t>
            </w:r>
          </w:p>
        </w:tc>
      </w:tr>
      <w:tr>
        <w:tc>
          <w:tcPr>
            <w:tcW w:type="dxa" w:w="6500"/>
            <w:shd w:fill="F2F2F2" w:color="auto" w:val="clear"/>
          </w:tcPr>
          <w:p>
            <w:pPr>
              <w:jc w:val="left"/>
            </w:pPr>
            <w:r>
              <w:rPr>
                <w:b w:val="false"/>
                <w:bCs w:val="false"/>
              </w:rPr>
              <w:t xml:space="preserve">Vehicle age 1 year vs. 10 years</w:t>
            </w:r>
          </w:p>
        </w:tc>
        <w:tc>
          <w:tcPr>
            <w:tcW w:type="dxa" w:w="2500"/>
            <w:shd w:fill="F2F2F2" w:color="auto" w:val="clear"/>
          </w:tcPr>
          <w:p>
            <w:pPr>
              <w:jc w:val="left"/>
            </w:pPr>
            <w:r>
              <w:rPr>
                <w:b w:val="false"/>
                <w:bCs w:val="false"/>
              </w:rPr>
              <w:t xml:space="preserve">1.41×</w:t>
            </w:r>
          </w:p>
        </w:tc>
      </w:tr>
      <w:tr>
        <w:tc>
          <w:tcPr>
            <w:tcW w:type="dxa" w:w="6500"/>
          </w:tcPr>
          <w:p>
            <w:pPr>
              <w:jc w:val="left"/>
            </w:pPr>
            <w:r>
              <w:rPr>
                <w:b w:val="false"/>
                <w:bCs w:val="false"/>
              </w:rPr>
              <w:t xml:space="preserve">Driver age 55 vs. 25 (age effect only)</w:t>
            </w:r>
          </w:p>
        </w:tc>
        <w:tc>
          <w:tcPr>
            <w:tcW w:type="dxa" w:w="2500"/>
          </w:tcPr>
          <w:p>
            <w:pPr>
              <w:jc w:val="left"/>
            </w:pPr>
            <w:r>
              <w:rPr>
                <w:b w:val="false"/>
                <w:bCs w:val="false"/>
              </w:rPr>
              <w:t xml:space="preserve">1.21×</w:t>
            </w:r>
          </w:p>
        </w:tc>
      </w:tr>
      <w:tr>
        <w:tc>
          <w:tcPr>
            <w:tcW w:type="dxa" w:w="6500"/>
            <w:shd w:fill="F2F2F2" w:color="auto" w:val="clear"/>
          </w:tcPr>
          <w:p>
            <w:pPr>
              <w:jc w:val="left"/>
            </w:pPr>
            <w:r>
              <w:rPr>
                <w:b w:val="false"/>
                <w:bCs w:val="false"/>
              </w:rPr>
              <w:t xml:space="preserve">Combined: young driver + high BonusMalus + new vehicle</w:t>
            </w:r>
          </w:p>
        </w:tc>
        <w:tc>
          <w:tcPr>
            <w:tcW w:type="dxa" w:w="2500"/>
            <w:shd w:fill="F2F2F2" w:color="auto" w:val="clear"/>
          </w:tcPr>
          <w:p>
            <w:pPr>
              <w:jc w:val="left"/>
            </w:pPr>
            <w:r>
              <w:rPr>
                <w:b w:val="false"/>
                <w:bCs w:val="false"/>
              </w:rPr>
              <w:t xml:space="preserve">10.40×</w:t>
            </w:r>
          </w:p>
        </w:tc>
      </w:tr>
    </w:tbl>
    <w:p>
      <w:pPr>
        <w:spacing w:after="160"/>
      </w:pPr>
      <w:r>
        <w:t xml:space="preserve"/>
      </w:r>
    </w:p>
    <w:p>
      <w:pPr>
        <w:spacing w:after="160"/>
      </w:pPr>
      <w:r>
        <w:t xml:space="preserve">The compounded scenario illustrates how multiplicative rating factors interact in practice: a policyholder combining several elevated risk characteristics can carry over ten times the baseline expected claim frequency — a magnitude that would be lost if each factor were reviewed only in isolation.</w:t>
      </w:r>
    </w:p>
    <w:p>
      <w:pPr>
        <w:pStyle w:val="Heading1"/>
        <w:spacing w:after="200" w:before="400"/>
      </w:pPr>
      <w:r>
        <w:t xml:space="preserve">7. Limitations &amp; Further Work</w:t>
      </w:r>
    </w:p>
    <w:p>
      <w:pPr>
        <w:pStyle w:val="ListParagraph"/>
        <w:numPr>
          <w:ilvl w:val="0"/>
          <w:numId w:val="1"/>
        </w:numPr>
        <w:spacing w:after="80"/>
      </w:pPr>
      <w:r>
        <w:t xml:space="preserve">Claim severity remains largely unexplained by available covariates (R² is effectively low; only BonusMalus is significant) — a richer feature set (e.g. claim type, region-level cost-of-repair indices) would likely improve this component.</w:t>
      </w:r>
    </w:p>
    <w:p>
      <w:pPr>
        <w:pStyle w:val="ListParagraph"/>
        <w:numPr>
          <w:ilvl w:val="0"/>
          <w:numId w:val="1"/>
        </w:numPr>
        <w:spacing w:after="80"/>
      </w:pPr>
      <w:r>
        <w:t xml:space="preserve">The Tweedie GLM's AIC could not be computed via base R's glm() (no closed-form likelihood for general variance power) — a profile-likelihood approach (e.g. via the tweedie or cplm packages) would allow formal AIC/BIC-based model comparison.</w:t>
      </w:r>
    </w:p>
    <w:p>
      <w:pPr>
        <w:pStyle w:val="ListParagraph"/>
        <w:numPr>
          <w:ilvl w:val="0"/>
          <w:numId w:val="1"/>
        </w:numPr>
        <w:spacing w:after="80"/>
      </w:pPr>
      <w:r>
        <w:t xml:space="preserve">Large losses were capped at €200,000 for modelling stability; a production pricing framework would model the tail separately (e.g. via extreme value theory) rather than truncating it.</w:t>
      </w:r>
    </w:p>
    <w:p>
      <w:pPr>
        <w:pStyle w:val="ListParagraph"/>
        <w:numPr>
          <w:ilvl w:val="0"/>
          <w:numId w:val="1"/>
        </w:numPr>
        <w:spacing w:after="80"/>
      </w:pPr>
      <w:r>
        <w:t xml:space="preserve">XGBoost was tuned with a fixed hyperparameter set (max_depth = 4, learning rate = 0.1, 100 rounds); a full cross-validated grid search would likely improve its performance further and should be considered before any production use.</w:t>
      </w:r>
    </w:p>
    <w:p>
      <w:pPr>
        <w:pStyle w:val="ListParagraph"/>
        <w:numPr>
          <w:ilvl w:val="0"/>
          <w:numId w:val="1"/>
        </w:numPr>
        <w:spacing w:after="80"/>
      </w:pPr>
      <w:r>
        <w:t xml:space="preserve">The hybrid GLM + ML-flagging approach proposed in Section 5 is a conceptual recommendation supported by this analysis; operationalising it (e.g. defining specific override rules, monitoring cadence) is a natural next phase of work.</w:t>
      </w:r>
    </w:p>
    <w:p>
      <w:pPr>
        <w:pStyle w:val="Heading1"/>
        <w:spacing w:after="200" w:before="400"/>
      </w:pPr>
      <w:r>
        <w:t xml:space="preserve">8. Conclusion</w:t>
      </w:r>
    </w:p>
    <w:p>
      <w:pPr>
        <w:spacing w:after="160"/>
      </w:pPr>
      <w:r>
        <w:t xml:space="preserve">This project delivers a complete actuarial pricing workflow — from raw data cleaning through GLM and machine learning model development to formal, statistically validated out-of-sample testing. Beyond building working models, the analysis surfaces and explains a genuine confounding effect in driver age, quantifies where a classical GLM's linear structure leads to real, statistically significant mispricing (young drivers, newest vehicles), and shows precisely where and why a gradient-boosted alternative adds value. The resulting recommendation — a GLM-based rating engine augmented by ML-driven calibration checks — reflects how leading insurers and reinsurers are increasingly combining classical and modern methods in practice, rather than treating them as competing alternatives.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Motor Insurance Pricing — Frequency-Severity GLM vs. XGBoost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b/>
      <w:bCs/>
      <w:color w:val="1F4E79"/>
      <w:sz w:val="30"/>
      <w:szCs w:val="30"/>
    </w:rPr>
  </w:style>
  <w:style w:type="paragraph" w:styleId="Heading2">
    <w:name w:val="Heading 2"/>
    <w:basedOn w:val="Normal"/>
    <w:next w:val="Normal"/>
    <w:pPr>
      <w:spacing w:after="150" w:before="300"/>
      <w:outlineLvl w:val="1"/>
    </w:pPr>
    <w:rPr>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2026-08-22T19:24:43.537Z</dcterms:created>
  <dcterms:modified xsi:type="dcterms:W3CDTF">2026-08-22T19:24:43.551Z</dcterms:modified>
</cp:coreProperties>
</file>

<file path=docProps/custom.xml><?xml version="1.0" encoding="utf-8"?>
<Properties xmlns="http://schemas.openxmlformats.org/officeDocument/2006/custom-properties" xmlns:vt="http://schemas.openxmlformats.org/officeDocument/2006/docPropsVTypes"/>
</file>