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500"/>
        <w:jc w:val="center"/>
      </w:pPr>
      <w:r>
        <w:rPr>
          <w:b/>
          <w:bCs/>
          <w:color w:val="047857"/>
          <w:sz w:val="76"/>
          <w:szCs w:val="76"/>
        </w:rPr>
        <w:t xml:space="preserve">Recoup</w:t>
      </w:r>
    </w:p>
    <w:p>
      <w:pPr>
        <w:spacing w:after="160"/>
        <w:jc w:val="center"/>
      </w:pPr>
      <w:r>
        <w:rPr>
          <w:color w:val="1F2937"/>
          <w:sz w:val="30"/>
          <w:szCs w:val="30"/>
        </w:rPr>
        <w:t xml:space="preserve">ML-First, Bounded Revenue Recovery for Razorpay</w:t>
      </w:r>
    </w:p>
    <w:p>
      <w:pPr>
        <w:spacing w:after="40"/>
        <w:jc w:val="center"/>
      </w:pPr>
      <w:r>
        <w:rPr>
          <w:color w:val="6B7280"/>
          <w:sz w:val="22"/>
          <w:szCs w:val="22"/>
        </w:rPr>
        <w:t xml:space="preserve">Razorpay AI Buildathon 2026  ·  AI Revenue Recovery Track</w:t>
      </w:r>
    </w:p>
    <w:p>
      <w:pPr>
        <w:spacing w:after="0" w:before="1500"/>
        <w:jc w:val="center"/>
      </w:pPr>
      <w:r>
        <w:rPr>
          <w:b/>
          <w:bCs/>
          <w:color w:val="1F2937"/>
          <w:sz w:val="24"/>
          <w:szCs w:val="24"/>
        </w:rPr>
        <w:t xml:space="preserve">Project &amp; Architecture Report</w:t>
      </w:r>
    </w:p>
    <w:p>
      <w:pPr>
        <w:jc w:val="center"/>
      </w:pPr>
      <w:r>
        <w:rPr>
          <w:color w:val="047857"/>
          <w:sz w:val="20"/>
          <w:szCs w:val="20"/>
        </w:rPr>
        <w:t xml:space="preserve">Revision 2 — ML-first decision layer</w:t>
      </w:r>
    </w:p>
    <w:p>
      <w:pPr>
        <w:jc w:val="center"/>
      </w:pPr>
      <w:r>
        <w:rPr>
          <w:color w:val="6B7280"/>
          <w:sz w:val="22"/>
          <w:szCs w:val="22"/>
        </w:rPr>
        <w:t xml:space="preserve">Prepared by: Adhithyaa   ·   August 2026</w:t>
      </w:r>
    </w:p>
    <w:p>
      <w:r>
        <w:br w:type="page"/>
      </w:r>
    </w:p>
    <w:p>
      <w:pPr>
        <w:spacing w:after="120"/>
      </w:pPr>
      <w:r>
        <w:rPr>
          <w:b/>
          <w:bCs/>
          <w:color w:val="065F46"/>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b/>
          <w:bCs/>
          <w:color w:val="065F46"/>
        </w:rPr>
        <w:t xml:space="preserve">1. Executive Summary</w:t>
      </w:r>
    </w:p>
    <w:p>
      <w:pPr>
        <w:spacing w:after="120" w:line="276"/>
      </w:pPr>
      <w:r>
        <w:rPr>
          <w:b/>
          <w:bCs/>
          <w:color w:val="1F2937"/>
        </w:rPr>
        <w:t xml:space="preserve">Recoup</w:t>
      </w:r>
      <w:r>
        <w:rPr>
          <w:color w:val="1F2937"/>
        </w:rPr>
        <w:t xml:space="preserve"> is a merchant-owned, bounded revenue-recovery system for Razorpay. It detects at-risk payments (failed payments and abandoned checkouts), predicts the best recovery action with </w:t>
      </w:r>
      <w:r>
        <w:rPr>
          <w:b/>
          <w:bCs/>
          <w:color w:val="1F2937"/>
        </w:rPr>
        <w:t xml:space="preserve">tabular machine learning</w:t>
      </w:r>
      <w:r>
        <w:rPr>
          <w:color w:val="1F2937"/>
        </w:rPr>
        <w:t xml:space="preserve">, executes only bounded, policy-safe actions, and proves the result with measurable recovered revenue and a full audit trail.</w:t>
      </w:r>
    </w:p>
    <w:p>
      <w:pPr>
        <w:spacing w:after="120" w:line="276"/>
      </w:pPr>
      <w:r>
        <w:rPr>
          <w:color w:val="1F2937"/>
        </w:rPr>
        <w:t xml:space="preserve">The decision layer is </w:t>
      </w:r>
      <w:r>
        <w:rPr>
          <w:b/>
          <w:bCs/>
          <w:color w:val="1F2937"/>
        </w:rPr>
        <w:t xml:space="preserve">ML-first, not LLM-first</w:t>
      </w:r>
      <w:r>
        <w:rPr>
          <w:color w:val="1F2937"/>
        </w:rPr>
        <w:t xml:space="preserve">. Gradient-boosted tabular models (CatBoost primary, XGBoost benchmark, Logistic Regression baseline) predict recovery probability and the next-best action; probabilities are </w:t>
      </w:r>
      <w:r>
        <w:rPr>
          <w:b/>
          <w:bCs/>
          <w:color w:val="1F2937"/>
        </w:rPr>
        <w:t xml:space="preserve">calibrated</w:t>
      </w:r>
      <w:r>
        <w:rPr>
          <w:color w:val="1F2937"/>
        </w:rPr>
        <w:t xml:space="preserve"> so confidence is trustworthy; an </w:t>
      </w:r>
      <w:r>
        <w:rPr>
          <w:b/>
          <w:bCs/>
          <w:color w:val="1F2937"/>
        </w:rPr>
        <w:t xml:space="preserve">IsolationForest</w:t>
      </w:r>
      <w:r>
        <w:rPr>
          <w:color w:val="1F2937"/>
        </w:rPr>
        <w:t xml:space="preserve"> flags anomalous cases and failure spikes. A large language model is used </w:t>
      </w:r>
      <w:r>
        <w:rPr>
          <w:b/>
          <w:bCs/>
          <w:color w:val="1F2937"/>
        </w:rPr>
        <w:t xml:space="preserve">only</w:t>
      </w:r>
      <w:r>
        <w:rPr>
          <w:color w:val="1F2937"/>
        </w:rPr>
        <w:t xml:space="preserve"> for on-demand text — explaining a decision, drafting a customer message, or summarizing an escalation — and never decides an action or moves money.</w:t>
      </w:r>
    </w:p>
    <w:p>
      <w:pPr>
        <w:spacing w:after="120" w:line="276"/>
      </w:pPr>
      <w:r>
        <w:rPr>
          <w:color w:val="1F2937"/>
        </w:rPr>
        <w:t xml:space="preserve">The governing principle is unchanged and strict: </w:t>
      </w:r>
      <w:r>
        <w:rPr>
          <w:b/>
          <w:bCs/>
          <w:color w:val="1F2937"/>
        </w:rPr>
        <w:t xml:space="preserve">ML proposes, deterministic code disposes.</w:t>
      </w:r>
      <w:r>
        <w:rPr>
          <w:color w:val="1F2937"/>
        </w:rPr>
        <w:t xml:space="preserve"> The policy engine can override or block any model proposal, the executor performs only an allow-listed set of actions, and every transition is written to an immutable audit log. Recovery is confirmed by a real Razorpay webhook. This makes Recoup a trustworthy operations tool a revenue-ops team can run, tune, and audit.</w:t>
      </w:r>
    </w:p>
    <w:p>
      <w:pPr>
        <w:pStyle w:val="Heading1"/>
        <w:spacing w:after="140" w:before="300"/>
      </w:pPr>
      <w:r>
        <w:rPr>
          <w:b/>
          <w:bCs/>
          <w:color w:val="065F46"/>
        </w:rPr>
        <w:t xml:space="preserve">2. The Problem</w:t>
      </w:r>
    </w:p>
    <w:p>
      <w:pPr>
        <w:spacing w:after="120" w:line="276"/>
      </w:pPr>
      <w:r>
        <w:rPr>
          <w:color w:val="1F2937"/>
        </w:rPr>
        <w:t xml:space="preserve">A meaningful share of online payments fail, and most failures are recoverable — the customer wanted to pay; the failure was mechanical. In India this is typically a UPI collect timeout, a brief bank-downtime window, a card decline, an abandoned 3-D-Secure step, or a failed e-mandate. Each has a </w:t>
      </w:r>
      <w:r>
        <w:rPr>
          <w:b/>
          <w:bCs/>
          <w:color w:val="1F2937"/>
        </w:rPr>
        <w:t xml:space="preserve">different correct recovery move and a different correct timing</w:t>
      </w:r>
      <w:r>
        <w:rPr>
          <w:color w:val="1F2937"/>
        </w:rPr>
        <w:t xml:space="preserve">. Retrying everything blindly annoys customers and burns gateway cost; doing nothing leaves earned revenue on the table. The problem is decisioning under constraints — and it is fundamentally a </w:t>
      </w:r>
      <w:r>
        <w:rPr>
          <w:b/>
          <w:bCs/>
          <w:color w:val="1F2937"/>
        </w:rPr>
        <w:t xml:space="preserve">prediction</w:t>
      </w:r>
      <w:r>
        <w:rPr>
          <w:color w:val="1F2937"/>
        </w:rPr>
        <w:t xml:space="preserve"> problem, which is why ML, not an LLM, belongs at its centre.</w:t>
      </w:r>
    </w:p>
    <w:p>
      <w:pPr>
        <w:pStyle w:val="Heading1"/>
        <w:spacing w:after="140" w:before="300"/>
      </w:pPr>
      <w:r>
        <w:rPr>
          <w:b/>
          <w:bCs/>
          <w:color w:val="065F46"/>
        </w:rPr>
        <w:t xml:space="preserve">3. What Recoup Does</w:t>
      </w:r>
    </w:p>
    <w:p>
      <w:pPr>
        <w:spacing w:after="120" w:line="276"/>
      </w:pPr>
      <w:r>
        <w:rPr>
          <w:color w:val="1F2937"/>
        </w:rPr>
        <w:t xml:space="preserve">For every at-risk payment Recoup runs a bounded pipeline:</w:t>
      </w:r>
    </w:p>
    <w:p>
      <w:pPr>
        <w:pStyle w:val="ListParagraph"/>
        <w:numPr>
          <w:ilvl w:val="0"/>
          <w:numId w:val="1"/>
        </w:numPr>
        <w:spacing w:after="60" w:line="268"/>
      </w:pPr>
      <w:r>
        <w:rPr>
          <w:b/>
          <w:bCs/>
          <w:color w:val="1F2937"/>
        </w:rPr>
        <w:t xml:space="preserve">Detects</w:t>
      </w:r>
      <w:r>
        <w:rPr>
          <w:color w:val="1F2937"/>
        </w:rPr>
        <w:t xml:space="preserve"> the failure and opens a case;</w:t>
      </w:r>
    </w:p>
    <w:p>
      <w:pPr>
        <w:pStyle w:val="ListParagraph"/>
        <w:numPr>
          <w:ilvl w:val="0"/>
          <w:numId w:val="1"/>
        </w:numPr>
        <w:spacing w:after="60" w:line="268"/>
      </w:pPr>
      <w:r>
        <w:rPr>
          <w:b/>
          <w:bCs/>
          <w:color w:val="1F2937"/>
        </w:rPr>
        <w:t xml:space="preserve">Scores</w:t>
      </w:r>
      <w:r>
        <w:rPr>
          <w:color w:val="1F2937"/>
        </w:rPr>
        <w:t xml:space="preserve"> it deterministically (value × recovery likelihood) so the most valuable cases are worked first;</w:t>
      </w:r>
    </w:p>
    <w:p>
      <w:pPr>
        <w:pStyle w:val="ListParagraph"/>
        <w:numPr>
          <w:ilvl w:val="0"/>
          <w:numId w:val="1"/>
        </w:numPr>
        <w:spacing w:after="60" w:line="268"/>
      </w:pPr>
      <w:r>
        <w:rPr>
          <w:b/>
          <w:bCs/>
          <w:color w:val="1F2937"/>
        </w:rPr>
        <w:t xml:space="preserve">Predicts</w:t>
      </w:r>
      <w:r>
        <w:rPr>
          <w:color w:val="1F2937"/>
        </w:rPr>
        <w:t xml:space="preserve"> with ML: recovery probability, the best action, an escalation probability, an anomaly score, and a calibrated confidence;</w:t>
      </w:r>
    </w:p>
    <w:p>
      <w:pPr>
        <w:pStyle w:val="ListParagraph"/>
        <w:numPr>
          <w:ilvl w:val="0"/>
          <w:numId w:val="1"/>
        </w:numPr>
        <w:spacing w:after="60" w:line="268"/>
      </w:pPr>
      <w:r>
        <w:rPr>
          <w:b/>
          <w:bCs/>
          <w:color w:val="1F2937"/>
        </w:rPr>
        <w:t xml:space="preserve">Checks</w:t>
      </w:r>
      <w:r>
        <w:rPr>
          <w:color w:val="1F2937"/>
        </w:rPr>
        <w:t xml:space="preserve"> the prediction against a deterministic policy engine that can override or block it;</w:t>
      </w:r>
    </w:p>
    <w:p>
      <w:pPr>
        <w:pStyle w:val="ListParagraph"/>
        <w:numPr>
          <w:ilvl w:val="0"/>
          <w:numId w:val="1"/>
        </w:numPr>
        <w:spacing w:after="60" w:line="268"/>
      </w:pPr>
      <w:r>
        <w:rPr>
          <w:b/>
          <w:bCs/>
          <w:color w:val="1F2937"/>
        </w:rPr>
        <w:t xml:space="preserve">Executes</w:t>
      </w:r>
      <w:r>
        <w:rPr>
          <w:color w:val="1F2937"/>
        </w:rPr>
        <w:t xml:space="preserve"> only the approved action (a real Razorpay payment link, a scheduled retry, a message, or a human escalation);</w:t>
      </w:r>
    </w:p>
    <w:p>
      <w:pPr>
        <w:pStyle w:val="ListParagraph"/>
        <w:numPr>
          <w:ilvl w:val="0"/>
          <w:numId w:val="1"/>
        </w:numPr>
        <w:spacing w:after="60" w:line="268"/>
      </w:pPr>
      <w:r>
        <w:rPr>
          <w:b/>
          <w:bCs/>
          <w:color w:val="1F2937"/>
        </w:rPr>
        <w:t xml:space="preserve">Confirms</w:t>
      </w:r>
      <w:r>
        <w:rPr>
          <w:color w:val="1F2937"/>
        </w:rPr>
        <w:t xml:space="preserve"> recovery via a Razorpay webhook and records the money recovered;</w:t>
      </w:r>
    </w:p>
    <w:p>
      <w:pPr>
        <w:pStyle w:val="ListParagraph"/>
        <w:numPr>
          <w:ilvl w:val="0"/>
          <w:numId w:val="1"/>
        </w:numPr>
        <w:spacing w:after="60" w:line="268"/>
      </w:pPr>
      <w:r>
        <w:rPr>
          <w:b/>
          <w:bCs/>
          <w:color w:val="1F2937"/>
        </w:rPr>
        <w:t xml:space="preserve">Logs</w:t>
      </w:r>
      <w:r>
        <w:rPr>
          <w:color w:val="1F2937"/>
        </w:rPr>
        <w:t xml:space="preserve"> every step to an immutable audit trail; the LLM can, on demand, explain or draft text.</w:t>
      </w:r>
    </w:p>
    <w:p>
      <w:pPr>
        <w:pStyle w:val="Heading1"/>
        <w:spacing w:after="140" w:before="300"/>
      </w:pPr>
      <w:r>
        <w:rPr>
          <w:b/>
          <w:bCs/>
          <w:color w:val="065F46"/>
        </w:rPr>
        <w:t xml:space="preserve">4. How Recoup Differs — the Competitive Landscape</w:t>
      </w:r>
    </w:p>
    <w:p>
      <w:pPr>
        <w:spacing w:after="120" w:line="276"/>
      </w:pPr>
      <w:r>
        <w:rPr>
          <w:color w:val="1F2937"/>
        </w:rPr>
        <w:t xml:space="preserve">Failed-payment recovery is a crowded field. Recoup does not claim to out-predict incumbents with more data; it occupies a different position — the </w:t>
      </w:r>
      <w:r>
        <w:rPr>
          <w:b/>
          <w:bCs/>
          <w:color w:val="1F2937"/>
        </w:rPr>
        <w:t xml:space="preserve">transparent, controllable, auditable, merchant-owned</w:t>
      </w:r>
      <w:r>
        <w:rPr>
          <w:color w:val="1F2937"/>
        </w:rPr>
        <w:t xml:space="preserve"> layer. The major approaches: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065F46" w:color="auto" w:val="clear"/>
            <w:tcMar>
              <w:top w:type="dxa" w:w="60"/>
              <w:left w:type="dxa" w:w="90"/>
              <w:bottom w:type="dxa" w:w="60"/>
              <w:right w:type="dxa" w:w="90"/>
            </w:tcMar>
          </w:tcPr>
          <w:p>
            <w:r>
              <w:rPr>
                <w:b/>
                <w:bCs/>
                <w:color w:val="FFFFFF"/>
              </w:rPr>
              <w:t xml:space="preserve">Player</w:t>
            </w:r>
          </w:p>
        </w:tc>
        <w:tc>
          <w:tcPr>
            <w:tcW w:type="dxa" w:w="7360"/>
            <w:shd w:fill="065F46" w:color="auto" w:val="clear"/>
            <w:tcMar>
              <w:top w:type="dxa" w:w="60"/>
              <w:left w:type="dxa" w:w="90"/>
              <w:bottom w:type="dxa" w:w="60"/>
              <w:right w:type="dxa" w:w="90"/>
            </w:tcMar>
          </w:tcPr>
          <w:p>
            <w:r>
              <w:rPr>
                <w:b/>
                <w:bCs/>
                <w:color w:val="FFFFFF"/>
              </w:rPr>
              <w:t xml:space="preserve">How they fix failed payments</w:t>
            </w:r>
          </w:p>
        </w:tc>
      </w:tr>
      <w:tr>
        <w:tc>
          <w:tcPr>
            <w:tcW w:type="dxa" w:w="2000"/>
            <w:tcMar>
              <w:top w:type="dxa" w:w="60"/>
              <w:left w:type="dxa" w:w="90"/>
              <w:bottom w:type="dxa" w:w="60"/>
              <w:right w:type="dxa" w:w="90"/>
            </w:tcMar>
          </w:tcPr>
          <w:p>
            <w:r>
              <w:rPr>
                <w:color w:val="1F2937"/>
              </w:rPr>
              <w:t xml:space="preserve">Razorpay (native)</w:t>
            </w:r>
          </w:p>
        </w:tc>
        <w:tc>
          <w:tcPr>
            <w:tcW w:type="dxa" w:w="7360"/>
            <w:tcMar>
              <w:top w:type="dxa" w:w="60"/>
              <w:left w:type="dxa" w:w="90"/>
              <w:bottom w:type="dxa" w:w="60"/>
              <w:right w:type="dxa" w:w="90"/>
            </w:tcMar>
          </w:tcPr>
          <w:p>
            <w:r>
              <w:rPr>
                <w:color w:val="1F2937"/>
              </w:rPr>
              <w:t xml:space="preserve">Intelligent Payment Retry (a next-best-action algorithm) + Failed Payment Recovery (multi-channel links) + subscription dunning. Managed, no-code, closed.</w:t>
            </w:r>
          </w:p>
        </w:tc>
      </w:tr>
      <w:tr>
        <w:tc>
          <w:tcPr>
            <w:tcW w:type="dxa" w:w="2000"/>
            <w:shd w:fill="F3F7F5" w:color="auto" w:val="clear"/>
            <w:tcMar>
              <w:top w:type="dxa" w:w="60"/>
              <w:left w:type="dxa" w:w="90"/>
              <w:bottom w:type="dxa" w:w="60"/>
              <w:right w:type="dxa" w:w="90"/>
            </w:tcMar>
          </w:tcPr>
          <w:p>
            <w:r>
              <w:rPr>
                <w:color w:val="1F2937"/>
              </w:rPr>
              <w:t xml:space="preserve">Stripe</w:t>
            </w:r>
          </w:p>
        </w:tc>
        <w:tc>
          <w:tcPr>
            <w:tcW w:type="dxa" w:w="7360"/>
            <w:shd w:fill="F3F7F5" w:color="auto" w:val="clear"/>
            <w:tcMar>
              <w:top w:type="dxa" w:w="60"/>
              <w:left w:type="dxa" w:w="90"/>
              <w:bottom w:type="dxa" w:w="60"/>
              <w:right w:type="dxa" w:w="90"/>
            </w:tcMar>
          </w:tcPr>
          <w:p>
            <w:r>
              <w:rPr>
                <w:color w:val="1F2937"/>
              </w:rPr>
              <w:t xml:space="preserve">Smart Retries — ML on 500+ attributes across the whole Stripe network to pick the best retry moment; Adaptive Acceptance retries declines at authorization. Network-scale black box.</w:t>
            </w:r>
          </w:p>
        </w:tc>
      </w:tr>
      <w:tr>
        <w:tc>
          <w:tcPr>
            <w:tcW w:type="dxa" w:w="2000"/>
            <w:tcMar>
              <w:top w:type="dxa" w:w="60"/>
              <w:left w:type="dxa" w:w="90"/>
              <w:bottom w:type="dxa" w:w="60"/>
              <w:right w:type="dxa" w:w="90"/>
            </w:tcMar>
          </w:tcPr>
          <w:p>
            <w:r>
              <w:rPr>
                <w:color w:val="1F2937"/>
              </w:rPr>
              <w:t xml:space="preserve">Chargebee / Recurly</w:t>
            </w:r>
          </w:p>
        </w:tc>
        <w:tc>
          <w:tcPr>
            <w:tcW w:type="dxa" w:w="7360"/>
            <w:tcMar>
              <w:top w:type="dxa" w:w="60"/>
              <w:left w:type="dxa" w:w="90"/>
              <w:bottom w:type="dxa" w:w="60"/>
              <w:right w:type="dxa" w:w="90"/>
            </w:tcMar>
          </w:tcPr>
          <w:p>
            <w:r>
              <w:rPr>
                <w:color w:val="1F2937"/>
              </w:rPr>
              <w:t xml:space="preserve">Configurable dunning workflows on top of any gateway — retry schedules, retry/no-retry classification, automated pause/cancel. Rules-template-based, subscription-centric.</w:t>
            </w:r>
          </w:p>
        </w:tc>
      </w:tr>
      <w:tr>
        <w:tc>
          <w:tcPr>
            <w:tcW w:type="dxa" w:w="2000"/>
            <w:shd w:fill="F3F7F5" w:color="auto" w:val="clear"/>
            <w:tcMar>
              <w:top w:type="dxa" w:w="60"/>
              <w:left w:type="dxa" w:w="90"/>
              <w:bottom w:type="dxa" w:w="60"/>
              <w:right w:type="dxa" w:w="90"/>
            </w:tcMar>
          </w:tcPr>
          <w:p>
            <w:r>
              <w:rPr>
                <w:color w:val="1F2937"/>
              </w:rPr>
              <w:t xml:space="preserve">Butter / FlexPay</w:t>
            </w:r>
          </w:p>
        </w:tc>
        <w:tc>
          <w:tcPr>
            <w:tcW w:type="dxa" w:w="7360"/>
            <w:shd w:fill="F3F7F5" w:color="auto" w:val="clear"/>
            <w:tcMar>
              <w:top w:type="dxa" w:w="60"/>
              <w:left w:type="dxa" w:w="90"/>
              <w:bottom w:type="dxa" w:w="60"/>
              <w:right w:type="dxa" w:w="90"/>
            </w:tcMar>
          </w:tcPr>
          <w:p>
            <w:r>
              <w:rPr>
                <w:color w:val="1F2937"/>
              </w:rPr>
              <w:t xml:space="preserve">Outsourced ML recovery specialists — Butter scores ~128 data points per payment; FlexPay splits invisible vs engaged recovery. Zero merchant control by design.</w:t>
            </w:r>
          </w:p>
        </w:tc>
      </w:tr>
      <w:tr>
        <w:tc>
          <w:tcPr>
            <w:tcW w:type="dxa" w:w="2000"/>
            <w:tcMar>
              <w:top w:type="dxa" w:w="60"/>
              <w:left w:type="dxa" w:w="90"/>
              <w:bottom w:type="dxa" w:w="60"/>
              <w:right w:type="dxa" w:w="90"/>
            </w:tcMar>
          </w:tcPr>
          <w:p>
            <w:r>
              <w:rPr>
                <w:color w:val="1F2937"/>
              </w:rPr>
              <w:t xml:space="preserve">Juspay / Cashfree</w:t>
            </w:r>
          </w:p>
        </w:tc>
        <w:tc>
          <w:tcPr>
            <w:tcW w:type="dxa" w:w="7360"/>
            <w:tcMar>
              <w:top w:type="dxa" w:w="60"/>
              <w:left w:type="dxa" w:w="90"/>
              <w:bottom w:type="dxa" w:w="60"/>
              <w:right w:type="dxa" w:w="90"/>
            </w:tcMar>
          </w:tcPr>
          <w:p>
            <w:r>
              <w:rPr>
                <w:color w:val="1F2937"/>
              </w:rPr>
              <w:t xml:space="preserve">Prevent the failure at the moment of payment — real-time routing, gateway health scores, instant 20–30s UPI retries. Strong pre-failure, weak on the aftermath.</w:t>
            </w:r>
          </w:p>
        </w:tc>
      </w:tr>
    </w:tbl>
    <w:p>
      <w:pPr>
        <w:spacing w:after="80"/>
      </w:pPr>
    </w:p>
    <w:p>
      <w:pPr>
        <w:spacing w:after="120" w:line="276"/>
      </w:pPr>
      <w:r>
        <w:rPr>
          <w:color w:val="1F2937"/>
        </w:rPr>
        <w:t xml:space="preserve">Every one of these is a black box the merchant switches on. Recoup is the glass-box alternative: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065F46" w:color="auto" w:val="clear"/>
            <w:tcMar>
              <w:top w:type="dxa" w:w="60"/>
              <w:left w:type="dxa" w:w="90"/>
              <w:bottom w:type="dxa" w:w="60"/>
              <w:right w:type="dxa" w:w="90"/>
            </w:tcMar>
          </w:tcPr>
          <w:p>
            <w:r>
              <w:rPr>
                <w:b/>
                <w:bCs/>
                <w:color w:val="FFFFFF"/>
              </w:rPr>
              <w:t xml:space="preserve">Dimension</w:t>
            </w:r>
          </w:p>
        </w:tc>
        <w:tc>
          <w:tcPr>
            <w:tcW w:type="dxa" w:w="3200"/>
            <w:shd w:fill="065F46" w:color="auto" w:val="clear"/>
            <w:tcMar>
              <w:top w:type="dxa" w:w="60"/>
              <w:left w:type="dxa" w:w="90"/>
              <w:bottom w:type="dxa" w:w="60"/>
              <w:right w:type="dxa" w:w="90"/>
            </w:tcMar>
          </w:tcPr>
          <w:p>
            <w:r>
              <w:rPr>
                <w:b/>
                <w:bCs/>
                <w:color w:val="FFFFFF"/>
              </w:rPr>
              <w:t xml:space="preserve">Managed black boxes</w:t>
            </w:r>
          </w:p>
        </w:tc>
        <w:tc>
          <w:tcPr>
            <w:tcW w:type="dxa" w:w="3960"/>
            <w:shd w:fill="065F46" w:color="auto" w:val="clear"/>
            <w:tcMar>
              <w:top w:type="dxa" w:w="60"/>
              <w:left w:type="dxa" w:w="90"/>
              <w:bottom w:type="dxa" w:w="60"/>
              <w:right w:type="dxa" w:w="90"/>
            </w:tcMar>
          </w:tcPr>
          <w:p>
            <w:r>
              <w:rPr>
                <w:b/>
                <w:bCs/>
                <w:color w:val="FFFFFF"/>
              </w:rPr>
              <w:t xml:space="preserve">Recoup</w:t>
            </w:r>
          </w:p>
        </w:tc>
      </w:tr>
      <w:tr>
        <w:tc>
          <w:tcPr>
            <w:tcW w:type="dxa" w:w="2200"/>
            <w:tcMar>
              <w:top w:type="dxa" w:w="60"/>
              <w:left w:type="dxa" w:w="90"/>
              <w:bottom w:type="dxa" w:w="60"/>
              <w:right w:type="dxa" w:w="90"/>
            </w:tcMar>
          </w:tcPr>
          <w:p>
            <w:r>
              <w:rPr>
                <w:color w:val="1F2937"/>
              </w:rPr>
              <w:t xml:space="preserve">Decision transparency</w:t>
            </w:r>
          </w:p>
        </w:tc>
        <w:tc>
          <w:tcPr>
            <w:tcW w:type="dxa" w:w="3200"/>
            <w:tcMar>
              <w:top w:type="dxa" w:w="60"/>
              <w:left w:type="dxa" w:w="90"/>
              <w:bottom w:type="dxa" w:w="60"/>
              <w:right w:type="dxa" w:w="90"/>
            </w:tcMar>
          </w:tcPr>
          <w:p>
            <w:r>
              <w:rPr>
                <w:color w:val="1F2937"/>
              </w:rPr>
              <w:t xml:space="preserve">Analytics only</w:t>
            </w:r>
          </w:p>
        </w:tc>
        <w:tc>
          <w:tcPr>
            <w:tcW w:type="dxa" w:w="3960"/>
            <w:tcMar>
              <w:top w:type="dxa" w:w="60"/>
              <w:left w:type="dxa" w:w="90"/>
              <w:bottom w:type="dxa" w:w="60"/>
              <w:right w:type="dxa" w:w="90"/>
            </w:tcMar>
          </w:tcPr>
          <w:p>
            <w:r>
              <w:rPr>
                <w:color w:val="1F2937"/>
              </w:rPr>
              <w:t xml:space="preserve">Per-case diagnosis, calibrated probabilities, per-action odds, and reasoning shown</w:t>
            </w:r>
          </w:p>
        </w:tc>
      </w:tr>
      <w:tr>
        <w:tc>
          <w:tcPr>
            <w:tcW w:type="dxa" w:w="2200"/>
            <w:shd w:fill="F3F7F5" w:color="auto" w:val="clear"/>
            <w:tcMar>
              <w:top w:type="dxa" w:w="60"/>
              <w:left w:type="dxa" w:w="90"/>
              <w:bottom w:type="dxa" w:w="60"/>
              <w:right w:type="dxa" w:w="90"/>
            </w:tcMar>
          </w:tcPr>
          <w:p>
            <w:r>
              <w:rPr>
                <w:color w:val="1F2937"/>
              </w:rPr>
              <w:t xml:space="preserve">Who owns the rules</w:t>
            </w:r>
          </w:p>
        </w:tc>
        <w:tc>
          <w:tcPr>
            <w:tcW w:type="dxa" w:w="3200"/>
            <w:shd w:fill="F3F7F5" w:color="auto" w:val="clear"/>
            <w:tcMar>
              <w:top w:type="dxa" w:w="60"/>
              <w:left w:type="dxa" w:w="90"/>
              <w:bottom w:type="dxa" w:w="60"/>
              <w:right w:type="dxa" w:w="90"/>
            </w:tcMar>
          </w:tcPr>
          <w:p>
            <w:r>
              <w:rPr>
                <w:color w:val="1F2937"/>
              </w:rPr>
              <w:t xml:space="preserve">The vendor's algorithm</w:t>
            </w:r>
          </w:p>
        </w:tc>
        <w:tc>
          <w:tcPr>
            <w:tcW w:type="dxa" w:w="3960"/>
            <w:shd w:fill="F3F7F5" w:color="auto" w:val="clear"/>
            <w:tcMar>
              <w:top w:type="dxa" w:w="60"/>
              <w:left w:type="dxa" w:w="90"/>
              <w:bottom w:type="dxa" w:w="60"/>
              <w:right w:type="dxa" w:w="90"/>
            </w:tcMar>
          </w:tcPr>
          <w:p>
            <w:r>
              <w:rPr>
                <w:color w:val="1F2937"/>
              </w:rPr>
              <w:t xml:space="preserve">Merchant-defined policy: discount caps, quiet hours, approval thresholds, opt-out, pursuit floor</w:t>
            </w:r>
          </w:p>
        </w:tc>
      </w:tr>
      <w:tr>
        <w:tc>
          <w:tcPr>
            <w:tcW w:type="dxa" w:w="2200"/>
            <w:tcMar>
              <w:top w:type="dxa" w:w="60"/>
              <w:left w:type="dxa" w:w="90"/>
              <w:bottom w:type="dxa" w:w="60"/>
              <w:right w:type="dxa" w:w="90"/>
            </w:tcMar>
          </w:tcPr>
          <w:p>
            <w:r>
              <w:rPr>
                <w:color w:val="1F2937"/>
              </w:rPr>
              <w:t xml:space="preserve">Human-in-the-loop</w:t>
            </w:r>
          </w:p>
        </w:tc>
        <w:tc>
          <w:tcPr>
            <w:tcW w:type="dxa" w:w="3200"/>
            <w:tcMar>
              <w:top w:type="dxa" w:w="60"/>
              <w:left w:type="dxa" w:w="90"/>
              <w:bottom w:type="dxa" w:w="60"/>
              <w:right w:type="dxa" w:w="90"/>
            </w:tcMar>
          </w:tcPr>
          <w:p>
            <w:r>
              <w:rPr>
                <w:color w:val="1F2937"/>
              </w:rPr>
              <w:t xml:space="preserve">Automated; limited override</w:t>
            </w:r>
          </w:p>
        </w:tc>
        <w:tc>
          <w:tcPr>
            <w:tcW w:type="dxa" w:w="3960"/>
            <w:tcMar>
              <w:top w:type="dxa" w:w="60"/>
              <w:left w:type="dxa" w:w="90"/>
              <w:bottom w:type="dxa" w:w="60"/>
              <w:right w:type="dxa" w:w="90"/>
            </w:tcMar>
          </w:tcPr>
          <w:p>
            <w:r>
              <w:rPr>
                <w:color w:val="1F2937"/>
              </w:rPr>
              <w:t xml:space="preserve">Ranked at-risk queue an analyst works, with escalate + approve</w:t>
            </w:r>
          </w:p>
        </w:tc>
      </w:tr>
      <w:tr>
        <w:tc>
          <w:tcPr>
            <w:tcW w:type="dxa" w:w="2200"/>
            <w:shd w:fill="F3F7F5" w:color="auto" w:val="clear"/>
            <w:tcMar>
              <w:top w:type="dxa" w:w="60"/>
              <w:left w:type="dxa" w:w="90"/>
              <w:bottom w:type="dxa" w:w="60"/>
              <w:right w:type="dxa" w:w="90"/>
            </w:tcMar>
          </w:tcPr>
          <w:p>
            <w:r>
              <w:rPr>
                <w:color w:val="1F2937"/>
              </w:rPr>
              <w:t xml:space="preserve">Auditability</w:t>
            </w:r>
          </w:p>
        </w:tc>
        <w:tc>
          <w:tcPr>
            <w:tcW w:type="dxa" w:w="3200"/>
            <w:shd w:fill="F3F7F5" w:color="auto" w:val="clear"/>
            <w:tcMar>
              <w:top w:type="dxa" w:w="60"/>
              <w:left w:type="dxa" w:w="90"/>
              <w:bottom w:type="dxa" w:w="60"/>
              <w:right w:type="dxa" w:w="90"/>
            </w:tcMar>
          </w:tcPr>
          <w:p>
            <w:r>
              <w:rPr>
                <w:color w:val="1F2937"/>
              </w:rPr>
              <w:t xml:space="preserve">Conversion analytics</w:t>
            </w:r>
          </w:p>
        </w:tc>
        <w:tc>
          <w:tcPr>
            <w:tcW w:type="dxa" w:w="3960"/>
            <w:shd w:fill="F3F7F5" w:color="auto" w:val="clear"/>
            <w:tcMar>
              <w:top w:type="dxa" w:w="60"/>
              <w:left w:type="dxa" w:w="90"/>
              <w:bottom w:type="dxa" w:w="60"/>
              <w:right w:type="dxa" w:w="90"/>
            </w:tcMar>
          </w:tcPr>
          <w:p>
            <w:r>
              <w:rPr>
                <w:color w:val="1F2937"/>
              </w:rPr>
              <w:t xml:space="preserve">Immutable trail of every ML prediction, policy check and action</w:t>
            </w:r>
          </w:p>
        </w:tc>
      </w:tr>
      <w:tr>
        <w:tc>
          <w:tcPr>
            <w:tcW w:type="dxa" w:w="2200"/>
            <w:tcMar>
              <w:top w:type="dxa" w:w="60"/>
              <w:left w:type="dxa" w:w="90"/>
              <w:bottom w:type="dxa" w:w="60"/>
              <w:right w:type="dxa" w:w="90"/>
            </w:tcMar>
          </w:tcPr>
          <w:p>
            <w:r>
              <w:rPr>
                <w:color w:val="1F2937"/>
              </w:rPr>
              <w:t xml:space="preserve">Model governance</w:t>
            </w:r>
          </w:p>
        </w:tc>
        <w:tc>
          <w:tcPr>
            <w:tcW w:type="dxa" w:w="3200"/>
            <w:tcMar>
              <w:top w:type="dxa" w:w="60"/>
              <w:left w:type="dxa" w:w="90"/>
              <w:bottom w:type="dxa" w:w="60"/>
              <w:right w:type="dxa" w:w="90"/>
            </w:tcMar>
          </w:tcPr>
          <w:p>
            <w:r>
              <w:rPr>
                <w:color w:val="1F2937"/>
              </w:rPr>
              <w:t xml:space="preserve">None visible</w:t>
            </w:r>
          </w:p>
        </w:tc>
        <w:tc>
          <w:tcPr>
            <w:tcW w:type="dxa" w:w="3960"/>
            <w:tcMar>
              <w:top w:type="dxa" w:w="60"/>
              <w:left w:type="dxa" w:w="90"/>
              <w:bottom w:type="dxa" w:w="60"/>
              <w:right w:type="dxa" w:w="90"/>
            </w:tcMar>
          </w:tcPr>
          <w:p>
            <w:r>
              <w:rPr>
                <w:color w:val="1F2937"/>
              </w:rPr>
              <w:t xml:space="preserve">Benchmarked models, calibration curve, feature importances, held-out validation on the dashboard</w:t>
            </w:r>
          </w:p>
        </w:tc>
      </w:tr>
    </w:tbl>
    <w:p>
      <w:pPr>
        <w:spacing w:after="80"/>
      </w:pPr>
    </w:p>
    <w:p>
      <w:pPr>
        <w:spacing w:after="120" w:line="276"/>
      </w:pPr>
      <w:r>
        <w:rPr>
          <w:b/>
          <w:bCs/>
          <w:color w:val="1F2937"/>
        </w:rPr>
        <w:t xml:space="preserve">Honest gaps</w:t>
      </w:r>
      <w:r>
        <w:rPr>
          <w:color w:val="1F2937"/>
        </w:rPr>
        <w:t xml:space="preserve"> (owned, not hidden): no network-scale data moat; no card-account-updater; no authorization-stage optimization; retries are simulated in the demo. Recovery is confirmed at *capture*, not yet at *settlement*.</w:t>
      </w:r>
    </w:p>
    <w:p>
      <w:pPr>
        <w:pStyle w:val="Heading1"/>
        <w:spacing w:after="140" w:before="300"/>
      </w:pPr>
      <w:r>
        <w:rPr>
          <w:b/>
          <w:bCs/>
          <w:color w:val="065F46"/>
        </w:rPr>
        <w:t xml:space="preserve">5. System Architecture</w:t>
      </w:r>
    </w:p>
    <w:p>
      <w:pPr>
        <w:pStyle w:val="Heading2"/>
        <w:spacing w:after="100" w:before="220"/>
      </w:pPr>
      <w:r>
        <w:rPr>
          <w:b/>
          <w:bCs/>
          <w:color w:val="047857"/>
        </w:rPr>
        <w:t xml:space="preserve">5.1 Three tiers, each doing what it is best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065F46" w:color="auto" w:val="clear"/>
            <w:tcMar>
              <w:top w:type="dxa" w:w="60"/>
              <w:left w:type="dxa" w:w="90"/>
              <w:bottom w:type="dxa" w:w="60"/>
              <w:right w:type="dxa" w:w="90"/>
            </w:tcMar>
          </w:tcPr>
          <w:p>
            <w:r>
              <w:rPr>
                <w:b/>
                <w:bCs/>
                <w:color w:val="FFFFFF"/>
              </w:rPr>
              <w:t xml:space="preserve">Tier</w:t>
            </w:r>
          </w:p>
        </w:tc>
        <w:tc>
          <w:tcPr>
            <w:tcW w:type="dxa" w:w="4000"/>
            <w:shd w:fill="065F46" w:color="auto" w:val="clear"/>
            <w:tcMar>
              <w:top w:type="dxa" w:w="60"/>
              <w:left w:type="dxa" w:w="90"/>
              <w:bottom w:type="dxa" w:w="60"/>
              <w:right w:type="dxa" w:w="90"/>
            </w:tcMar>
          </w:tcPr>
          <w:p>
            <w:r>
              <w:rPr>
                <w:b/>
                <w:bCs/>
                <w:color w:val="FFFFFF"/>
              </w:rPr>
              <w:t xml:space="preserve">Owns</w:t>
            </w:r>
          </w:p>
        </w:tc>
        <w:tc>
          <w:tcPr>
            <w:tcW w:type="dxa" w:w="3160"/>
            <w:shd w:fill="065F46" w:color="auto" w:val="clear"/>
            <w:tcMar>
              <w:top w:type="dxa" w:w="60"/>
              <w:left w:type="dxa" w:w="90"/>
              <w:bottom w:type="dxa" w:w="60"/>
              <w:right w:type="dxa" w:w="90"/>
            </w:tcMar>
          </w:tcPr>
          <w:p>
            <w:r>
              <w:rPr>
                <w:b/>
                <w:bCs/>
                <w:color w:val="FFFFFF"/>
              </w:rPr>
              <w:t xml:space="preserve">Why</w:t>
            </w:r>
          </w:p>
        </w:tc>
      </w:tr>
      <w:tr>
        <w:tc>
          <w:tcPr>
            <w:tcW w:type="dxa" w:w="2200"/>
            <w:tcMar>
              <w:top w:type="dxa" w:w="60"/>
              <w:left w:type="dxa" w:w="90"/>
              <w:bottom w:type="dxa" w:w="60"/>
              <w:right w:type="dxa" w:w="90"/>
            </w:tcMar>
          </w:tcPr>
          <w:p>
            <w:r>
              <w:rPr>
                <w:color w:val="1F2937"/>
              </w:rPr>
              <w:t xml:space="preserve">Deterministic code</w:t>
            </w:r>
          </w:p>
        </w:tc>
        <w:tc>
          <w:tcPr>
            <w:tcW w:type="dxa" w:w="4000"/>
            <w:tcMar>
              <w:top w:type="dxa" w:w="60"/>
              <w:left w:type="dxa" w:w="90"/>
              <w:bottom w:type="dxa" w:w="60"/>
              <w:right w:type="dxa" w:w="90"/>
            </w:tcMar>
          </w:tcPr>
          <w:p>
            <w:r>
              <w:rPr>
                <w:color w:val="1F2937"/>
              </w:rPr>
              <w:t xml:space="preserve">Policy, safety, state, money movement, metrics</w:t>
            </w:r>
          </w:p>
        </w:tc>
        <w:tc>
          <w:tcPr>
            <w:tcW w:type="dxa" w:w="3160"/>
            <w:tcMar>
              <w:top w:type="dxa" w:w="60"/>
              <w:left w:type="dxa" w:w="90"/>
              <w:bottom w:type="dxa" w:w="60"/>
              <w:right w:type="dxa" w:w="90"/>
            </w:tcMar>
          </w:tcPr>
          <w:p>
            <w:r>
              <w:rPr>
                <w:color w:val="1F2937"/>
              </w:rPr>
              <w:t xml:space="preserve">Must be predictable and auditable</w:t>
            </w:r>
          </w:p>
        </w:tc>
      </w:tr>
      <w:tr>
        <w:tc>
          <w:tcPr>
            <w:tcW w:type="dxa" w:w="2200"/>
            <w:shd w:fill="F3F7F5" w:color="auto" w:val="clear"/>
            <w:tcMar>
              <w:top w:type="dxa" w:w="60"/>
              <w:left w:type="dxa" w:w="90"/>
              <w:bottom w:type="dxa" w:w="60"/>
              <w:right w:type="dxa" w:w="90"/>
            </w:tcMar>
          </w:tcPr>
          <w:p>
            <w:r>
              <w:rPr>
                <w:color w:val="1F2937"/>
              </w:rPr>
              <w:t xml:space="preserve">Machine learning</w:t>
            </w:r>
          </w:p>
        </w:tc>
        <w:tc>
          <w:tcPr>
            <w:tcW w:type="dxa" w:w="4000"/>
            <w:shd w:fill="F3F7F5" w:color="auto" w:val="clear"/>
            <w:tcMar>
              <w:top w:type="dxa" w:w="60"/>
              <w:left w:type="dxa" w:w="90"/>
              <w:bottom w:type="dxa" w:w="60"/>
              <w:right w:type="dxa" w:w="90"/>
            </w:tcMar>
          </w:tcPr>
          <w:p>
            <w:r>
              <w:rPr>
                <w:color w:val="1F2937"/>
              </w:rPr>
              <w:t xml:space="preserve">The numbers: recovery probability, next-best action, escalation, anomaly</w:t>
            </w:r>
          </w:p>
        </w:tc>
        <w:tc>
          <w:tcPr>
            <w:tcW w:type="dxa" w:w="3160"/>
            <w:shd w:fill="F3F7F5" w:color="auto" w:val="clear"/>
            <w:tcMar>
              <w:top w:type="dxa" w:w="60"/>
              <w:left w:type="dxa" w:w="90"/>
              <w:bottom w:type="dxa" w:w="60"/>
              <w:right w:type="dxa" w:w="90"/>
            </w:tcMar>
          </w:tcPr>
          <w:p>
            <w:r>
              <w:rPr>
                <w:color w:val="1F2937"/>
              </w:rPr>
              <w:t xml:space="preserve">A prediction problem; calibrated and benchmarked; learns from outcomes</w:t>
            </w:r>
          </w:p>
        </w:tc>
      </w:tr>
      <w:tr>
        <w:tc>
          <w:tcPr>
            <w:tcW w:type="dxa" w:w="2200"/>
            <w:tcMar>
              <w:top w:type="dxa" w:w="60"/>
              <w:left w:type="dxa" w:w="90"/>
              <w:bottom w:type="dxa" w:w="60"/>
              <w:right w:type="dxa" w:w="90"/>
            </w:tcMar>
          </w:tcPr>
          <w:p>
            <w:r>
              <w:rPr>
                <w:color w:val="1F2937"/>
              </w:rPr>
              <w:t xml:space="preserve">LLM (narrow)</w:t>
            </w:r>
          </w:p>
        </w:tc>
        <w:tc>
          <w:tcPr>
            <w:tcW w:type="dxa" w:w="4000"/>
            <w:tcMar>
              <w:top w:type="dxa" w:w="60"/>
              <w:left w:type="dxa" w:w="90"/>
              <w:bottom w:type="dxa" w:w="60"/>
              <w:right w:type="dxa" w:w="90"/>
            </w:tcMar>
          </w:tcPr>
          <w:p>
            <w:r>
              <w:rPr>
                <w:color w:val="1F2937"/>
              </w:rPr>
              <w:t xml:space="preserve">The language: explanations, message drafts, escalation summaries</w:t>
            </w:r>
          </w:p>
        </w:tc>
        <w:tc>
          <w:tcPr>
            <w:tcW w:type="dxa" w:w="3160"/>
            <w:tcMar>
              <w:top w:type="dxa" w:w="60"/>
              <w:left w:type="dxa" w:w="90"/>
              <w:bottom w:type="dxa" w:w="60"/>
              <w:right w:type="dxa" w:w="90"/>
            </w:tcMar>
          </w:tcPr>
          <w:p>
            <w:r>
              <w:rPr>
                <w:color w:val="1F2937"/>
              </w:rPr>
              <w:t xml:space="preserve">The only genuinely language-shaped work; never in the money path</w:t>
            </w:r>
          </w:p>
        </w:tc>
      </w:tr>
    </w:tbl>
    <w:p>
      <w:pPr>
        <w:pStyle w:val="Heading2"/>
        <w:spacing w:after="100" w:before="220"/>
      </w:pPr>
      <w:r>
        <w:rPr>
          <w:b/>
          <w:bCs/>
          <w:color w:val="047857"/>
        </w:rPr>
        <w:t xml:space="preserve">5.2 The recovery pipeline</w:t>
      </w:r>
    </w:p>
    <w:p>
      <w:pPr>
        <w:spacing w:after="120" w:line="276"/>
      </w:pPr>
      <w:r>
        <w:rPr>
          <w:color w:val="1F2937"/>
        </w:rPr>
        <w:t xml:space="preserve">ingest → normalize → deterministic risk-score → </w:t>
      </w:r>
      <w:r>
        <w:rPr>
          <w:b/>
          <w:bCs/>
          <w:color w:val="1F2937"/>
        </w:rPr>
        <w:t xml:space="preserve">ML prediction</w:t>
      </w:r>
      <w:r>
        <w:rPr>
          <w:color w:val="1F2937"/>
        </w:rPr>
        <w:t xml:space="preserve"> → deterministic </w:t>
      </w:r>
      <w:r>
        <w:rPr>
          <w:b/>
          <w:bCs/>
          <w:color w:val="1F2937"/>
        </w:rPr>
        <w:t xml:space="preserve">policy</w:t>
      </w:r>
      <w:r>
        <w:rPr>
          <w:color w:val="1F2937"/>
        </w:rPr>
        <w:t xml:space="preserve"> (can override) → </w:t>
      </w:r>
      <w:r>
        <w:rPr>
          <w:b/>
          <w:bCs/>
          <w:color w:val="1F2937"/>
        </w:rPr>
        <w:t xml:space="preserve">executor</w:t>
      </w:r>
      <w:r>
        <w:rPr>
          <w:color w:val="1F2937"/>
        </w:rPr>
        <w:t xml:space="preserve"> (allow-listed actions only) → outcome (Razorpay webhook) → metrics + audit. ML sits at exactly one stage, fenced on both sides.</w:t>
      </w:r>
    </w:p>
    <w:p>
      <w:pPr>
        <w:pStyle w:val="Heading2"/>
        <w:spacing w:after="100" w:before="220"/>
      </w:pPr>
      <w:r>
        <w:rPr>
          <w:b/>
          <w:bCs/>
          <w:color w:val="047857"/>
        </w:rPr>
        <w:t xml:space="preserve">5.3 Core modules</w:t>
      </w:r>
    </w:p>
    <w:p>
      <w:pPr>
        <w:pStyle w:val="ListParagraph"/>
        <w:numPr>
          <w:ilvl w:val="0"/>
          <w:numId w:val="1"/>
        </w:numPr>
        <w:spacing w:after="60" w:line="268"/>
      </w:pPr>
      <w:r>
        <w:rPr>
          <w:b/>
          <w:bCs/>
          <w:color w:val="1F2937"/>
        </w:rPr>
        <w:t xml:space="preserve">Ingestion &amp; normalization</w:t>
      </w:r>
      <w:r>
        <w:rPr>
          <w:color w:val="1F2937"/>
        </w:rPr>
        <w:t xml:space="preserve"> — any source (Razorpay webhook, CSV, demo) → one canonical, idempotent event;</w:t>
      </w:r>
    </w:p>
    <w:p>
      <w:pPr>
        <w:pStyle w:val="ListParagraph"/>
        <w:numPr>
          <w:ilvl w:val="0"/>
          <w:numId w:val="1"/>
        </w:numPr>
        <w:spacing w:after="60" w:line="268"/>
      </w:pPr>
      <w:r>
        <w:rPr>
          <w:b/>
          <w:bCs/>
          <w:color w:val="1F2937"/>
        </w:rPr>
        <w:t xml:space="preserve">Risk scoring</w:t>
      </w:r>
      <w:r>
        <w:rPr>
          <w:color w:val="1F2937"/>
        </w:rPr>
        <w:t xml:space="preserve"> — deterministic value/urgency ranking;</w:t>
      </w:r>
    </w:p>
    <w:p>
      <w:pPr>
        <w:pStyle w:val="ListParagraph"/>
        <w:numPr>
          <w:ilvl w:val="0"/>
          <w:numId w:val="1"/>
        </w:numPr>
        <w:spacing w:after="60" w:line="268"/>
      </w:pPr>
      <w:r>
        <w:rPr>
          <w:b/>
          <w:bCs/>
          <w:color w:val="1F2937"/>
        </w:rPr>
        <w:t xml:space="preserve">ML service</w:t>
      </w:r>
      <w:r>
        <w:rPr>
          <w:color w:val="1F2937"/>
        </w:rPr>
        <w:t xml:space="preserve"> — a Python FastAPI service (CatBoost/XGBoost/LogReg + calibration + IsolationForest);</w:t>
      </w:r>
    </w:p>
    <w:p>
      <w:pPr>
        <w:pStyle w:val="ListParagraph"/>
        <w:numPr>
          <w:ilvl w:val="0"/>
          <w:numId w:val="1"/>
        </w:numPr>
        <w:spacing w:after="60" w:line="268"/>
      </w:pPr>
      <w:r>
        <w:rPr>
          <w:b/>
          <w:bCs/>
          <w:color w:val="1F2937"/>
        </w:rPr>
        <w:t xml:space="preserve">Decision layer</w:t>
      </w:r>
      <w:r>
        <w:rPr>
          <w:color w:val="1F2937"/>
        </w:rPr>
        <w:t xml:space="preserve"> (Node) — calls the ML service, maps the prediction to an action; deterministic fallback if ML is down;</w:t>
      </w:r>
    </w:p>
    <w:p>
      <w:pPr>
        <w:pStyle w:val="ListParagraph"/>
        <w:numPr>
          <w:ilvl w:val="0"/>
          <w:numId w:val="1"/>
        </w:numPr>
        <w:spacing w:after="60" w:line="268"/>
      </w:pPr>
      <w:r>
        <w:rPr>
          <w:b/>
          <w:bCs/>
          <w:color w:val="1F2937"/>
        </w:rPr>
        <w:t xml:space="preserve">Policy engine</w:t>
      </w:r>
      <w:r>
        <w:rPr>
          <w:color w:val="1F2937"/>
        </w:rPr>
        <w:t xml:space="preserve"> — deterministic guardrails that can override or block the ML proposal;</w:t>
      </w:r>
    </w:p>
    <w:p>
      <w:pPr>
        <w:pStyle w:val="ListParagraph"/>
        <w:numPr>
          <w:ilvl w:val="0"/>
          <w:numId w:val="1"/>
        </w:numPr>
        <w:spacing w:after="60" w:line="268"/>
      </w:pPr>
      <w:r>
        <w:rPr>
          <w:b/>
          <w:bCs/>
          <w:color w:val="1F2937"/>
        </w:rPr>
        <w:t xml:space="preserve">Action executor</w:t>
      </w:r>
      <w:r>
        <w:rPr>
          <w:color w:val="1F2937"/>
        </w:rPr>
        <w:t xml:space="preserve"> — performs only allow-listed actions (real Razorpay links, retries, messages, escalations);</w:t>
      </w:r>
    </w:p>
    <w:p>
      <w:pPr>
        <w:pStyle w:val="ListParagraph"/>
        <w:numPr>
          <w:ilvl w:val="0"/>
          <w:numId w:val="1"/>
        </w:numPr>
        <w:spacing w:after="60" w:line="268"/>
      </w:pPr>
      <w:r>
        <w:rPr>
          <w:b/>
          <w:bCs/>
          <w:color w:val="1F2937"/>
        </w:rPr>
        <w:t xml:space="preserve">State machine &amp; audit log</w:t>
      </w:r>
      <w:r>
        <w:rPr>
          <w:color w:val="1F2937"/>
        </w:rPr>
        <w:t xml:space="preserve"> — explicit, validated, logged transitions;</w:t>
      </w:r>
    </w:p>
    <w:p>
      <w:pPr>
        <w:pStyle w:val="ListParagraph"/>
        <w:numPr>
          <w:ilvl w:val="0"/>
          <w:numId w:val="1"/>
        </w:numPr>
        <w:spacing w:after="60" w:line="268"/>
      </w:pPr>
      <w:r>
        <w:rPr>
          <w:b/>
          <w:bCs/>
          <w:color w:val="1F2937"/>
        </w:rPr>
        <w:t xml:space="preserve">Retry / expiry worker</w:t>
      </w:r>
      <w:r>
        <w:rPr>
          <w:color w:val="1F2937"/>
        </w:rPr>
        <w:t xml:space="preserve">; </w:t>
      </w:r>
      <w:r>
        <w:rPr>
          <w:b/>
          <w:bCs/>
          <w:color w:val="1F2937"/>
        </w:rPr>
        <w:t xml:space="preserve">metrics service</w:t>
      </w:r>
      <w:r>
        <w:rPr>
          <w:color w:val="1F2937"/>
        </w:rPr>
        <w:t xml:space="preserve">; </w:t>
      </w:r>
      <w:r>
        <w:rPr>
          <w:b/>
          <w:bCs/>
          <w:color w:val="1F2937"/>
        </w:rPr>
        <w:t xml:space="preserve">narrow LLM service</w:t>
      </w:r>
      <w:r>
        <w:rPr>
          <w:color w:val="1F2937"/>
        </w:rPr>
        <w:t xml:space="preserve">; </w:t>
      </w:r>
      <w:r>
        <w:rPr>
          <w:b/>
          <w:bCs/>
          <w:color w:val="1F2937"/>
        </w:rPr>
        <w:t xml:space="preserve">React dashboard</w:t>
      </w:r>
      <w:r>
        <w:rPr>
          <w:color w:val="1F2937"/>
        </w:rPr>
        <w:t xml:space="preserve">.</w:t>
      </w:r>
    </w:p>
    <w:p>
      <w:pPr>
        <w:pStyle w:val="Heading2"/>
        <w:spacing w:after="100" w:before="220"/>
      </w:pPr>
      <w:r>
        <w:rPr>
          <w:b/>
          <w:bCs/>
          <w:color w:val="047857"/>
        </w:rPr>
        <w:t xml:space="preserve">5.4 Case state machine</w:t>
      </w:r>
    </w:p>
    <w:p>
      <w:pPr>
        <w:spacing w:after="120" w:line="276"/>
      </w:pPr>
      <w:r>
        <w:rPr>
          <w:color w:val="1F2937"/>
        </w:rPr>
        <w:t xml:space="preserve">new → at_risk → analyzed → action_selected → action_dispatched → waiting_for_outcome → recovered | expired | manual_escalation</w:t>
      </w:r>
    </w:p>
    <w:p>
      <w:pPr>
        <w:spacing w:after="120" w:line="276"/>
      </w:pPr>
      <w:r>
        <w:rPr>
          <w:color w:val="1F2937"/>
        </w:rPr>
        <w:t xml:space="preserve">Every transition is validated against an allow-list of legal edges and written to the audit trail.</w:t>
      </w:r>
    </w:p>
    <w:p>
      <w:pPr>
        <w:pStyle w:val="Heading2"/>
        <w:spacing w:after="100" w:before="220"/>
      </w:pPr>
      <w:r>
        <w:rPr>
          <w:b/>
          <w:bCs/>
          <w:color w:val="047857"/>
        </w:rPr>
        <w:t xml:space="preserve">5.5 Data model</w:t>
      </w:r>
    </w:p>
    <w:p>
      <w:pPr>
        <w:spacing w:after="120" w:line="276"/>
      </w:pPr>
      <w:r>
        <w:rPr>
          <w:color w:val="1F2937"/>
        </w:rPr>
        <w:t xml:space="preserve">PostgreSQL via Prisma. Existing tables — </w:t>
      </w:r>
      <w:r>
        <w:rPr>
          <w:b/>
          <w:bCs/>
          <w:color w:val="1F2937"/>
        </w:rPr>
        <w:t xml:space="preserve">Merchant, Customer, Event, Case, Decision, Action, Outcome, AuditLog</w:t>
      </w:r>
      <w:r>
        <w:rPr>
          <w:color w:val="1F2937"/>
        </w:rPr>
        <w:t xml:space="preserve"> — plus new ML tables added in this revision: </w:t>
      </w:r>
      <w:r>
        <w:rPr>
          <w:b/>
          <w:bCs/>
          <w:color w:val="1F2937"/>
        </w:rPr>
        <w:t xml:space="preserve">Prediction</w:t>
      </w:r>
      <w:r>
        <w:rPr>
          <w:color w:val="1F2937"/>
        </w:rPr>
        <w:t xml:space="preserve"> (the six ML outputs + per-action detail, per case), </w:t>
      </w:r>
      <w:r>
        <w:rPr>
          <w:b/>
          <w:bCs/>
          <w:color w:val="1F2937"/>
        </w:rPr>
        <w:t xml:space="preserve">ModelRun</w:t>
      </w:r>
      <w:r>
        <w:rPr>
          <w:color w:val="1F2937"/>
        </w:rPr>
        <w:t xml:space="preserve"> (a loaded model version + its metrics snapshot), and </w:t>
      </w:r>
      <w:r>
        <w:rPr>
          <w:b/>
          <w:bCs/>
          <w:color w:val="1F2937"/>
        </w:rPr>
        <w:t xml:space="preserve">AnomalyFlag</w:t>
      </w:r>
      <w:r>
        <w:rPr>
          <w:color w:val="1F2937"/>
        </w:rPr>
        <w:t xml:space="preserve"> (windowed failure-spike detections). All money is stored as integer paise.</w:t>
      </w:r>
    </w:p>
    <w:p>
      <w:pPr>
        <w:pStyle w:val="Heading1"/>
        <w:spacing w:after="140" w:before="300"/>
      </w:pPr>
      <w:r>
        <w:rPr>
          <w:b/>
          <w:bCs/>
          <w:color w:val="065F46"/>
        </w:rPr>
        <w:t xml:space="preserve">6. ML Architecture</w:t>
      </w:r>
    </w:p>
    <w:p>
      <w:pPr>
        <w:spacing w:after="120" w:line="276"/>
      </w:pPr>
      <w:r>
        <w:rPr>
          <w:color w:val="1F2937"/>
        </w:rPr>
        <w:t xml:space="preserve">The models are organized as three prediction heads plus anomaly detection, all sharing one feature schema (a single source of truth used by both training and serving, so there is no train/serve skew).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60"/>
        <w:gridCol w:w="2800"/>
      </w:tblGrid>
      <w:tr>
        <w:trPr>
          <w:tblHeader/>
        </w:trPr>
        <w:tc>
          <w:tcPr>
            <w:tcW w:type="dxa" w:w="1500"/>
            <w:shd w:fill="065F46" w:color="auto" w:val="clear"/>
            <w:tcMar>
              <w:top w:type="dxa" w:w="60"/>
              <w:left w:type="dxa" w:w="90"/>
              <w:bottom w:type="dxa" w:w="60"/>
              <w:right w:type="dxa" w:w="90"/>
            </w:tcMar>
          </w:tcPr>
          <w:p>
            <w:r>
              <w:rPr>
                <w:b/>
                <w:bCs/>
                <w:color w:val="FFFFFF"/>
              </w:rPr>
              <w:t xml:space="preserve">Component</w:t>
            </w:r>
          </w:p>
        </w:tc>
        <w:tc>
          <w:tcPr>
            <w:tcW w:type="dxa" w:w="2500"/>
            <w:shd w:fill="065F46" w:color="auto" w:val="clear"/>
            <w:tcMar>
              <w:top w:type="dxa" w:w="60"/>
              <w:left w:type="dxa" w:w="90"/>
              <w:bottom w:type="dxa" w:w="60"/>
              <w:right w:type="dxa" w:w="90"/>
            </w:tcMar>
          </w:tcPr>
          <w:p>
            <w:r>
              <w:rPr>
                <w:b/>
                <w:bCs/>
                <w:color w:val="FFFFFF"/>
              </w:rPr>
              <w:t xml:space="preserve">Model</w:t>
            </w:r>
          </w:p>
        </w:tc>
        <w:tc>
          <w:tcPr>
            <w:tcW w:type="dxa" w:w="2560"/>
            <w:shd w:fill="065F46" w:color="auto" w:val="clear"/>
            <w:tcMar>
              <w:top w:type="dxa" w:w="60"/>
              <w:left w:type="dxa" w:w="90"/>
              <w:bottom w:type="dxa" w:w="60"/>
              <w:right w:type="dxa" w:w="90"/>
            </w:tcMar>
          </w:tcPr>
          <w:p>
            <w:r>
              <w:rPr>
                <w:b/>
                <w:bCs/>
                <w:color w:val="FFFFFF"/>
              </w:rPr>
              <w:t xml:space="preserve">Output</w:t>
            </w:r>
          </w:p>
        </w:tc>
        <w:tc>
          <w:tcPr>
            <w:tcW w:type="dxa" w:w="2800"/>
            <w:shd w:fill="065F46" w:color="auto" w:val="clear"/>
            <w:tcMar>
              <w:top w:type="dxa" w:w="60"/>
              <w:left w:type="dxa" w:w="90"/>
              <w:bottom w:type="dxa" w:w="60"/>
              <w:right w:type="dxa" w:w="90"/>
            </w:tcMar>
          </w:tcPr>
          <w:p>
            <w:r>
              <w:rPr>
                <w:b/>
                <w:bCs/>
                <w:color w:val="FFFFFF"/>
              </w:rPr>
              <w:t xml:space="preserve">Why this model</w:t>
            </w:r>
          </w:p>
        </w:tc>
      </w:tr>
      <w:tr>
        <w:tc>
          <w:tcPr>
            <w:tcW w:type="dxa" w:w="1500"/>
            <w:tcMar>
              <w:top w:type="dxa" w:w="60"/>
              <w:left w:type="dxa" w:w="90"/>
              <w:bottom w:type="dxa" w:w="60"/>
              <w:right w:type="dxa" w:w="90"/>
            </w:tcMar>
          </w:tcPr>
          <w:p>
            <w:r>
              <w:rPr>
                <w:color w:val="1F2937"/>
              </w:rPr>
              <w:t xml:space="preserve">Recovery head</w:t>
            </w:r>
          </w:p>
        </w:tc>
        <w:tc>
          <w:tcPr>
            <w:tcW w:type="dxa" w:w="2500"/>
            <w:tcMar>
              <w:top w:type="dxa" w:w="60"/>
              <w:left w:type="dxa" w:w="90"/>
              <w:bottom w:type="dxa" w:w="60"/>
              <w:right w:type="dxa" w:w="90"/>
            </w:tcMar>
          </w:tcPr>
          <w:p>
            <w:r>
              <w:rPr>
                <w:color w:val="1F2937"/>
              </w:rPr>
              <w:t xml:space="preserve">CatBoost (primary), XGBoost (benchmark), Logistic Regression (baseline)</w:t>
            </w:r>
          </w:p>
        </w:tc>
        <w:tc>
          <w:tcPr>
            <w:tcW w:type="dxa" w:w="2560"/>
            <w:tcMar>
              <w:top w:type="dxa" w:w="60"/>
              <w:left w:type="dxa" w:w="90"/>
              <w:bottom w:type="dxa" w:w="60"/>
              <w:right w:type="dxa" w:w="90"/>
            </w:tcMar>
          </w:tcPr>
          <w:p>
            <w:r>
              <w:rPr>
                <w:color w:val="1F2937"/>
              </w:rPr>
              <w:t xml:space="preserve">P(recover | case + action), per candidate action</w:t>
            </w:r>
          </w:p>
        </w:tc>
        <w:tc>
          <w:tcPr>
            <w:tcW w:type="dxa" w:w="2800"/>
            <w:tcMar>
              <w:top w:type="dxa" w:w="60"/>
              <w:left w:type="dxa" w:w="90"/>
              <w:bottom w:type="dxa" w:w="60"/>
              <w:right w:type="dxa" w:w="90"/>
            </w:tcMar>
          </w:tcPr>
          <w:p>
            <w:r>
              <w:rPr>
                <w:color w:val="1F2937"/>
              </w:rPr>
              <w:t xml:space="preserve">CatBoost handles many categorical features natively; benchmarked against XGBoost and a LogReg baseline</w:t>
            </w:r>
          </w:p>
        </w:tc>
      </w:tr>
      <w:tr>
        <w:tc>
          <w:tcPr>
            <w:tcW w:type="dxa" w:w="1500"/>
            <w:shd w:fill="F3F7F5" w:color="auto" w:val="clear"/>
            <w:tcMar>
              <w:top w:type="dxa" w:w="60"/>
              <w:left w:type="dxa" w:w="90"/>
              <w:bottom w:type="dxa" w:w="60"/>
              <w:right w:type="dxa" w:w="90"/>
            </w:tcMar>
          </w:tcPr>
          <w:p>
            <w:r>
              <w:rPr>
                <w:color w:val="1F2937"/>
              </w:rPr>
              <w:t xml:space="preserve">Action head</w:t>
            </w:r>
          </w:p>
        </w:tc>
        <w:tc>
          <w:tcPr>
            <w:tcW w:type="dxa" w:w="2500"/>
            <w:shd w:fill="F3F7F5" w:color="auto" w:val="clear"/>
            <w:tcMar>
              <w:top w:type="dxa" w:w="60"/>
              <w:left w:type="dxa" w:w="90"/>
              <w:bottom w:type="dxa" w:w="60"/>
              <w:right w:type="dxa" w:w="90"/>
            </w:tcMar>
          </w:tcPr>
          <w:p>
            <w:r>
              <w:rPr>
                <w:color w:val="1F2937"/>
              </w:rPr>
              <w:t xml:space="preserve">CatBoost multiclass</w:t>
            </w:r>
          </w:p>
        </w:tc>
        <w:tc>
          <w:tcPr>
            <w:tcW w:type="dxa" w:w="2560"/>
            <w:shd w:fill="F3F7F5" w:color="auto" w:val="clear"/>
            <w:tcMar>
              <w:top w:type="dxa" w:w="60"/>
              <w:left w:type="dxa" w:w="90"/>
              <w:bottom w:type="dxa" w:w="60"/>
              <w:right w:type="dxa" w:w="90"/>
            </w:tcMar>
          </w:tcPr>
          <w:p>
            <w:r>
              <w:rPr>
                <w:color w:val="1F2937"/>
              </w:rPr>
              <w:t xml:space="preserve">best action class</w:t>
            </w:r>
          </w:p>
        </w:tc>
        <w:tc>
          <w:tcPr>
            <w:tcW w:type="dxa" w:w="2800"/>
            <w:shd w:fill="F3F7F5" w:color="auto" w:val="clear"/>
            <w:tcMar>
              <w:top w:type="dxa" w:w="60"/>
              <w:left w:type="dxa" w:w="90"/>
              <w:bottom w:type="dxa" w:w="60"/>
              <w:right w:type="dxa" w:w="90"/>
            </w:tcMar>
          </w:tcPr>
          <w:p>
            <w:r>
              <w:rPr>
                <w:color w:val="1F2937"/>
              </w:rPr>
              <w:t xml:space="preserve">Predicts the economically-optimal next-best action</w:t>
            </w:r>
          </w:p>
        </w:tc>
      </w:tr>
      <w:tr>
        <w:tc>
          <w:tcPr>
            <w:tcW w:type="dxa" w:w="1500"/>
            <w:tcMar>
              <w:top w:type="dxa" w:w="60"/>
              <w:left w:type="dxa" w:w="90"/>
              <w:bottom w:type="dxa" w:w="60"/>
              <w:right w:type="dxa" w:w="90"/>
            </w:tcMar>
          </w:tcPr>
          <w:p>
            <w:r>
              <w:rPr>
                <w:color w:val="1F2937"/>
              </w:rPr>
              <w:t xml:space="preserve">Escalation head</w:t>
            </w:r>
          </w:p>
        </w:tc>
        <w:tc>
          <w:tcPr>
            <w:tcW w:type="dxa" w:w="2500"/>
            <w:tcMar>
              <w:top w:type="dxa" w:w="60"/>
              <w:left w:type="dxa" w:w="90"/>
              <w:bottom w:type="dxa" w:w="60"/>
              <w:right w:type="dxa" w:w="90"/>
            </w:tcMar>
          </w:tcPr>
          <w:p>
            <w:r>
              <w:rPr>
                <w:color w:val="1F2937"/>
              </w:rPr>
              <w:t xml:space="preserve">CatBoost + CalibratedClassifierCV (sigmoid)</w:t>
            </w:r>
          </w:p>
        </w:tc>
        <w:tc>
          <w:tcPr>
            <w:tcW w:type="dxa" w:w="2560"/>
            <w:tcMar>
              <w:top w:type="dxa" w:w="60"/>
              <w:left w:type="dxa" w:w="90"/>
              <w:bottom w:type="dxa" w:w="60"/>
              <w:right w:type="dxa" w:w="90"/>
            </w:tcMar>
          </w:tcPr>
          <w:p>
            <w:r>
              <w:rPr>
                <w:color w:val="1F2937"/>
              </w:rPr>
              <w:t xml:space="preserve">P(not automated-recoverable)</w:t>
            </w:r>
          </w:p>
        </w:tc>
        <w:tc>
          <w:tcPr>
            <w:tcW w:type="dxa" w:w="2800"/>
            <w:tcMar>
              <w:top w:type="dxa" w:w="60"/>
              <w:left w:type="dxa" w:w="90"/>
              <w:bottom w:type="dxa" w:w="60"/>
              <w:right w:type="dxa" w:w="90"/>
            </w:tcMar>
          </w:tcPr>
          <w:p>
            <w:r>
              <w:rPr>
                <w:color w:val="1F2937"/>
              </w:rPr>
              <w:t xml:space="preserve">Flags cases that need a human</w:t>
            </w:r>
          </w:p>
        </w:tc>
      </w:tr>
      <w:tr>
        <w:tc>
          <w:tcPr>
            <w:tcW w:type="dxa" w:w="1500"/>
            <w:shd w:fill="F3F7F5" w:color="auto" w:val="clear"/>
            <w:tcMar>
              <w:top w:type="dxa" w:w="60"/>
              <w:left w:type="dxa" w:w="90"/>
              <w:bottom w:type="dxa" w:w="60"/>
              <w:right w:type="dxa" w:w="90"/>
            </w:tcMar>
          </w:tcPr>
          <w:p>
            <w:r>
              <w:rPr>
                <w:color w:val="1F2937"/>
              </w:rPr>
              <w:t xml:space="preserve">Calibration</w:t>
            </w:r>
          </w:p>
        </w:tc>
        <w:tc>
          <w:tcPr>
            <w:tcW w:type="dxa" w:w="2500"/>
            <w:shd w:fill="F3F7F5" w:color="auto" w:val="clear"/>
            <w:tcMar>
              <w:top w:type="dxa" w:w="60"/>
              <w:left w:type="dxa" w:w="90"/>
              <w:bottom w:type="dxa" w:w="60"/>
              <w:right w:type="dxa" w:w="90"/>
            </w:tcMar>
          </w:tcPr>
          <w:p>
            <w:r>
              <w:rPr>
                <w:color w:val="1F2937"/>
              </w:rPr>
              <w:t xml:space="preserve">CalibratedClassifierCV (isotonic / sigmoid, FrozenEstimator)</w:t>
            </w:r>
          </w:p>
        </w:tc>
        <w:tc>
          <w:tcPr>
            <w:tcW w:type="dxa" w:w="2560"/>
            <w:shd w:fill="F3F7F5" w:color="auto" w:val="clear"/>
            <w:tcMar>
              <w:top w:type="dxa" w:w="60"/>
              <w:left w:type="dxa" w:w="90"/>
              <w:bottom w:type="dxa" w:w="60"/>
              <w:right w:type="dxa" w:w="90"/>
            </w:tcMar>
          </w:tcPr>
          <w:p>
            <w:r>
              <w:rPr>
                <w:color w:val="1F2937"/>
              </w:rPr>
              <w:t xml:space="preserve">trustworthy confidence</w:t>
            </w:r>
          </w:p>
        </w:tc>
        <w:tc>
          <w:tcPr>
            <w:tcW w:type="dxa" w:w="2800"/>
            <w:shd w:fill="F3F7F5" w:color="auto" w:val="clear"/>
            <w:tcMar>
              <w:top w:type="dxa" w:w="60"/>
              <w:left w:type="dxa" w:w="90"/>
              <w:bottom w:type="dxa" w:w="60"/>
              <w:right w:type="dxa" w:w="90"/>
            </w:tcMar>
          </w:tcPr>
          <w:p>
            <w:r>
              <w:rPr>
                <w:color w:val="1F2937"/>
              </w:rPr>
              <w:t xml:space="preserve">Confidence must be reliable before it is displayed or thresholded</w:t>
            </w:r>
          </w:p>
        </w:tc>
      </w:tr>
      <w:tr>
        <w:tc>
          <w:tcPr>
            <w:tcW w:type="dxa" w:w="1500"/>
            <w:tcMar>
              <w:top w:type="dxa" w:w="60"/>
              <w:left w:type="dxa" w:w="90"/>
              <w:bottom w:type="dxa" w:w="60"/>
              <w:right w:type="dxa" w:w="90"/>
            </w:tcMar>
          </w:tcPr>
          <w:p>
            <w:r>
              <w:rPr>
                <w:color w:val="1F2937"/>
              </w:rPr>
              <w:t xml:space="preserve">Anomaly</w:t>
            </w:r>
          </w:p>
        </w:tc>
        <w:tc>
          <w:tcPr>
            <w:tcW w:type="dxa" w:w="2500"/>
            <w:tcMar>
              <w:top w:type="dxa" w:w="60"/>
              <w:left w:type="dxa" w:w="90"/>
              <w:bottom w:type="dxa" w:w="60"/>
              <w:right w:type="dxa" w:w="90"/>
            </w:tcMar>
          </w:tcPr>
          <w:p>
            <w:r>
              <w:rPr>
                <w:color w:val="1F2937"/>
              </w:rPr>
              <w:t xml:space="preserve">IsolationForest (per-case + windowed)</w:t>
            </w:r>
          </w:p>
        </w:tc>
        <w:tc>
          <w:tcPr>
            <w:tcW w:type="dxa" w:w="2560"/>
            <w:tcMar>
              <w:top w:type="dxa" w:w="60"/>
              <w:left w:type="dxa" w:w="90"/>
              <w:bottom w:type="dxa" w:w="60"/>
              <w:right w:type="dxa" w:w="90"/>
            </w:tcMar>
          </w:tcPr>
          <w:p>
            <w:r>
              <w:rPr>
                <w:color w:val="1F2937"/>
              </w:rPr>
              <w:t xml:space="preserve">anomaly score; failure-spike flags</w:t>
            </w:r>
          </w:p>
        </w:tc>
        <w:tc>
          <w:tcPr>
            <w:tcW w:type="dxa" w:w="2800"/>
            <w:tcMar>
              <w:top w:type="dxa" w:w="60"/>
              <w:left w:type="dxa" w:w="90"/>
              <w:bottom w:type="dxa" w:w="60"/>
              <w:right w:type="dxa" w:w="90"/>
            </w:tcMar>
          </w:tcPr>
          <w:p>
            <w:r>
              <w:rPr>
                <w:color w:val="1F2937"/>
              </w:rPr>
              <w:t xml:space="preserve">Unsupervised detection of unusual cases and incident windows</w:t>
            </w:r>
          </w:p>
        </w:tc>
      </w:tr>
    </w:tbl>
    <w:p>
      <w:pPr>
        <w:spacing w:after="80"/>
      </w:pPr>
    </w:p>
    <w:p>
      <w:pPr>
        <w:spacing w:after="120" w:line="276"/>
      </w:pPr>
      <w:r>
        <w:rPr>
          <w:color w:val="1F2937"/>
        </w:rPr>
        <w:t xml:space="preserve">The action decision is also cross-checked against the </w:t>
      </w:r>
      <w:r>
        <w:rPr>
          <w:b/>
          <w:bCs/>
          <w:color w:val="1F2937"/>
        </w:rPr>
        <w:t xml:space="preserve">expected-net-value</w:t>
      </w:r>
      <w:r>
        <w:rPr>
          <w:color w:val="1F2937"/>
        </w:rPr>
        <w:t xml:space="preserve"> argmax over the calibrated per-action recovery probabilities (EV = probability × collectable − action cost), so the choice is decision-theoretic, not just a classifier label.</w:t>
      </w:r>
    </w:p>
    <w:p>
      <w:pPr>
        <w:pStyle w:val="Heading1"/>
        <w:spacing w:after="140" w:before="300"/>
      </w:pPr>
      <w:r>
        <w:rPr>
          <w:b/>
          <w:bCs/>
          <w:color w:val="065F46"/>
        </w:rPr>
        <w:t xml:space="preserve">7. Feature List (Training &amp; Serving)</w:t>
      </w:r>
    </w:p>
    <w:p>
      <w:pPr>
        <w:spacing w:after="120" w:line="276"/>
      </w:pPr>
      <w:r>
        <w:rPr>
          <w:color w:val="1F2937"/>
        </w:rPr>
        <w:t xml:space="preserve">Twenty-two tabular features, grouped below. Categorical features are handled natively by CatBoost; all are defaulted safely at serve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65F46" w:color="auto" w:val="clear"/>
            <w:tcMar>
              <w:top w:type="dxa" w:w="60"/>
              <w:left w:type="dxa" w:w="90"/>
              <w:bottom w:type="dxa" w:w="60"/>
              <w:right w:type="dxa" w:w="90"/>
            </w:tcMar>
          </w:tcPr>
          <w:p>
            <w:r>
              <w:rPr>
                <w:b/>
                <w:bCs/>
                <w:color w:val="FFFFFF"/>
              </w:rPr>
              <w:t xml:space="preserve">Group</w:t>
            </w:r>
          </w:p>
        </w:tc>
        <w:tc>
          <w:tcPr>
            <w:tcW w:type="dxa" w:w="7560"/>
            <w:shd w:fill="065F46" w:color="auto" w:val="clear"/>
            <w:tcMar>
              <w:top w:type="dxa" w:w="60"/>
              <w:left w:type="dxa" w:w="90"/>
              <w:bottom w:type="dxa" w:w="60"/>
              <w:right w:type="dxa" w:w="90"/>
            </w:tcMar>
          </w:tcPr>
          <w:p>
            <w:r>
              <w:rPr>
                <w:b/>
                <w:bCs/>
                <w:color w:val="FFFFFF"/>
              </w:rPr>
              <w:t xml:space="preserve">Features</w:t>
            </w:r>
          </w:p>
        </w:tc>
      </w:tr>
      <w:tr>
        <w:tc>
          <w:tcPr>
            <w:tcW w:type="dxa" w:w="1800"/>
            <w:tcMar>
              <w:top w:type="dxa" w:w="60"/>
              <w:left w:type="dxa" w:w="90"/>
              <w:bottom w:type="dxa" w:w="60"/>
              <w:right w:type="dxa" w:w="90"/>
            </w:tcMar>
          </w:tcPr>
          <w:p>
            <w:r>
              <w:rPr>
                <w:color w:val="1F2937"/>
              </w:rPr>
              <w:t xml:space="preserve">Payment</w:t>
            </w:r>
          </w:p>
        </w:tc>
        <w:tc>
          <w:tcPr>
            <w:tcW w:type="dxa" w:w="7560"/>
            <w:tcMar>
              <w:top w:type="dxa" w:w="60"/>
              <w:left w:type="dxa" w:w="90"/>
              <w:bottom w:type="dxa" w:w="60"/>
              <w:right w:type="dxa" w:w="90"/>
            </w:tcMar>
          </w:tcPr>
          <w:p>
            <w:r>
              <w:rPr>
                <w:color w:val="1F2937"/>
              </w:rPr>
              <w:t xml:space="preserve">amount (log), order_value, currency, payment_method, failure_reason, channel</w:t>
            </w:r>
          </w:p>
        </w:tc>
      </w:tr>
      <w:tr>
        <w:tc>
          <w:tcPr>
            <w:tcW w:type="dxa" w:w="1800"/>
            <w:shd w:fill="F3F7F5" w:color="auto" w:val="clear"/>
            <w:tcMar>
              <w:top w:type="dxa" w:w="60"/>
              <w:left w:type="dxa" w:w="90"/>
              <w:bottom w:type="dxa" w:w="60"/>
              <w:right w:type="dxa" w:w="90"/>
            </w:tcMar>
          </w:tcPr>
          <w:p>
            <w:r>
              <w:rPr>
                <w:color w:val="1F2937"/>
              </w:rPr>
              <w:t xml:space="preserve">Timing</w:t>
            </w:r>
          </w:p>
        </w:tc>
        <w:tc>
          <w:tcPr>
            <w:tcW w:type="dxa" w:w="7560"/>
            <w:shd w:fill="F3F7F5" w:color="auto" w:val="clear"/>
            <w:tcMar>
              <w:top w:type="dxa" w:w="60"/>
              <w:left w:type="dxa" w:w="90"/>
              <w:bottom w:type="dxa" w:w="60"/>
              <w:right w:type="dxa" w:w="90"/>
            </w:tcMar>
          </w:tcPr>
          <w:p>
            <w:r>
              <w:rPr>
                <w:color w:val="1F2937"/>
              </w:rPr>
              <w:t xml:space="preserve">time_since_failure_min, case_age_min, hour_of_day, day_of_week, retry_count</w:t>
            </w:r>
          </w:p>
        </w:tc>
      </w:tr>
      <w:tr>
        <w:tc>
          <w:tcPr>
            <w:tcW w:type="dxa" w:w="1800"/>
            <w:tcMar>
              <w:top w:type="dxa" w:w="60"/>
              <w:left w:type="dxa" w:w="90"/>
              <w:bottom w:type="dxa" w:w="60"/>
              <w:right w:type="dxa" w:w="90"/>
            </w:tcMar>
          </w:tcPr>
          <w:p>
            <w:r>
              <w:rPr>
                <w:color w:val="1F2937"/>
              </w:rPr>
              <w:t xml:space="preserve">Customer</w:t>
            </w:r>
          </w:p>
        </w:tc>
        <w:tc>
          <w:tcPr>
            <w:tcW w:type="dxa" w:w="7560"/>
            <w:tcMar>
              <w:top w:type="dxa" w:w="60"/>
              <w:left w:type="dxa" w:w="90"/>
              <w:bottom w:type="dxa" w:w="60"/>
              <w:right w:type="dxa" w:w="90"/>
            </w:tcMar>
          </w:tcPr>
          <w:p>
            <w:r>
              <w:rPr>
                <w:color w:val="1F2937"/>
              </w:rPr>
              <w:t xml:space="preserve">customer_segment, historical_conversion_rate, prior_failed_attempts, opt_out_flag</w:t>
            </w:r>
          </w:p>
        </w:tc>
      </w:tr>
      <w:tr>
        <w:tc>
          <w:tcPr>
            <w:tcW w:type="dxa" w:w="1800"/>
            <w:shd w:fill="F3F7F5" w:color="auto" w:val="clear"/>
            <w:tcMar>
              <w:top w:type="dxa" w:w="60"/>
              <w:left w:type="dxa" w:w="90"/>
              <w:bottom w:type="dxa" w:w="60"/>
              <w:right w:type="dxa" w:w="90"/>
            </w:tcMar>
          </w:tcPr>
          <w:p>
            <w:r>
              <w:rPr>
                <w:color w:val="1F2937"/>
              </w:rPr>
              <w:t xml:space="preserve">Merchant</w:t>
            </w:r>
          </w:p>
        </w:tc>
        <w:tc>
          <w:tcPr>
            <w:tcW w:type="dxa" w:w="7560"/>
            <w:shd w:fill="F3F7F5" w:color="auto" w:val="clear"/>
            <w:tcMar>
              <w:top w:type="dxa" w:w="60"/>
              <w:left w:type="dxa" w:w="90"/>
              <w:bottom w:type="dxa" w:w="60"/>
              <w:right w:type="dxa" w:w="90"/>
            </w:tcMar>
          </w:tcPr>
          <w:p>
            <w:r>
              <w:rPr>
                <w:color w:val="1F2937"/>
              </w:rPr>
              <w:t xml:space="preserve">merchant_type, past_recovery_rate</w:t>
            </w:r>
          </w:p>
        </w:tc>
      </w:tr>
      <w:tr>
        <w:tc>
          <w:tcPr>
            <w:tcW w:type="dxa" w:w="1800"/>
            <w:tcMar>
              <w:top w:type="dxa" w:w="60"/>
              <w:left w:type="dxa" w:w="90"/>
              <w:bottom w:type="dxa" w:w="60"/>
              <w:right w:type="dxa" w:w="90"/>
            </w:tcMar>
          </w:tcPr>
          <w:p>
            <w:r>
              <w:rPr>
                <w:color w:val="1F2937"/>
              </w:rPr>
              <w:t xml:space="preserve">Context / history</w:t>
            </w:r>
          </w:p>
        </w:tc>
        <w:tc>
          <w:tcPr>
            <w:tcW w:type="dxa" w:w="7560"/>
            <w:tcMar>
              <w:top w:type="dxa" w:w="60"/>
              <w:left w:type="dxa" w:w="90"/>
              <w:bottom w:type="dxa" w:w="60"/>
              <w:right w:type="dxa" w:w="90"/>
            </w:tcMar>
          </w:tcPr>
          <w:p>
            <w:r>
              <w:rPr>
                <w:color w:val="1F2937"/>
              </w:rPr>
              <w:t xml:space="preserve">urgency_score, previous_contact_attempts, last_action_type, last_action_outcome, (action, for the recovery head)</w:t>
            </w:r>
          </w:p>
        </w:tc>
      </w:tr>
    </w:tbl>
    <w:p>
      <w:pPr>
        <w:pStyle w:val="Heading1"/>
        <w:spacing w:after="140" w:before="300"/>
      </w:pPr>
      <w:r>
        <w:rPr>
          <w:b/>
          <w:bCs/>
          <w:color w:val="065F46"/>
        </w:rPr>
        <w:t xml:space="preserve">8. Inference Flow</w:t>
      </w:r>
    </w:p>
    <w:p>
      <w:pPr>
        <w:pStyle w:val="ListParagraph"/>
        <w:numPr>
          <w:ilvl w:val="0"/>
          <w:numId w:val="1"/>
        </w:numPr>
        <w:spacing w:after="60" w:line="268"/>
      </w:pPr>
      <w:r>
        <w:rPr>
          <w:color w:val="1F2937"/>
        </w:rPr>
        <w:t xml:space="preserve">The pipeline loads a case and computes deterministic risk/urgency scores.</w:t>
      </w:r>
    </w:p>
    <w:p>
      <w:pPr>
        <w:pStyle w:val="ListParagraph"/>
        <w:numPr>
          <w:ilvl w:val="0"/>
          <w:numId w:val="1"/>
        </w:numPr>
        <w:spacing w:after="60" w:line="268"/>
      </w:pPr>
      <w:r>
        <w:rPr>
          <w:color w:val="1F2937"/>
        </w:rPr>
        <w:t xml:space="preserve">A feature payload is built from the case (payment, timing, customer, merchant, history) and POSTed to the ML service /predict.</w:t>
      </w:r>
    </w:p>
    <w:p>
      <w:pPr>
        <w:pStyle w:val="ListParagraph"/>
        <w:numPr>
          <w:ilvl w:val="0"/>
          <w:numId w:val="1"/>
        </w:numPr>
        <w:spacing w:after="60" w:line="268"/>
      </w:pPr>
      <w:r>
        <w:rPr>
          <w:color w:val="1F2937"/>
        </w:rPr>
        <w:t xml:space="preserve">The service returns recovery_probability, action_class, calibrated_confidence, escalation_probability, anomaly_score, reason_tag, and the per-action recovery odds.</w:t>
      </w:r>
    </w:p>
    <w:p>
      <w:pPr>
        <w:pStyle w:val="ListParagraph"/>
        <w:numPr>
          <w:ilvl w:val="0"/>
          <w:numId w:val="1"/>
        </w:numPr>
        <w:spacing w:after="60" w:line="268"/>
      </w:pPr>
      <w:r>
        <w:rPr>
          <w:color w:val="1F2937"/>
        </w:rPr>
        <w:t xml:space="preserve">A Prediction row is persisted; the case reason and recovery probability are updated.</w:t>
      </w:r>
    </w:p>
    <w:p>
      <w:pPr>
        <w:pStyle w:val="ListParagraph"/>
        <w:numPr>
          <w:ilvl w:val="0"/>
          <w:numId w:val="1"/>
        </w:numPr>
        <w:spacing w:after="60" w:line="268"/>
      </w:pPr>
      <w:r>
        <w:rPr>
          <w:color w:val="1F2937"/>
        </w:rPr>
        <w:t xml:space="preserve">The deterministic policy engine evaluates the proposed action (and can override or block it).</w:t>
      </w:r>
    </w:p>
    <w:p>
      <w:pPr>
        <w:pStyle w:val="ListParagraph"/>
        <w:numPr>
          <w:ilvl w:val="0"/>
          <w:numId w:val="1"/>
        </w:numPr>
        <w:spacing w:after="60" w:line="268"/>
      </w:pPr>
      <w:r>
        <w:rPr>
          <w:color w:val="1F2937"/>
        </w:rPr>
        <w:t xml:space="preserve">The executor performs only the approved, allow-listed action; the case transitions and everything is audited.</w:t>
      </w:r>
    </w:p>
    <w:p>
      <w:pPr>
        <w:pStyle w:val="ListParagraph"/>
        <w:numPr>
          <w:ilvl w:val="0"/>
          <w:numId w:val="1"/>
        </w:numPr>
        <w:spacing w:after="60" w:line="268"/>
      </w:pPr>
      <w:r>
        <w:rPr>
          <w:color w:val="1F2937"/>
        </w:rPr>
        <w:t xml:space="preserve">If the ML service is unreachable, the decision layer falls back to deterministic rule-based scoring — the pipeline never stalls.</w:t>
      </w:r>
    </w:p>
    <w:p>
      <w:pPr>
        <w:pStyle w:val="Heading1"/>
        <w:spacing w:after="140" w:before="300"/>
      </w:pPr>
      <w:r>
        <w:rPr>
          <w:b/>
          <w:bCs/>
          <w:color w:val="065F46"/>
        </w:rPr>
        <w:t xml:space="preserve">9. Model Results &amp; Validation Plan</w:t>
      </w:r>
    </w:p>
    <w:p>
      <w:pPr>
        <w:spacing w:after="120" w:line="276"/>
      </w:pPr>
      <w:r>
        <w:rPr>
          <w:color w:val="1F2937"/>
        </w:rPr>
        <w:t xml:space="preserve">Trained on a </w:t>
      </w:r>
      <w:r>
        <w:rPr>
          <w:b/>
          <w:bCs/>
          <w:color w:val="1F2937"/>
        </w:rPr>
        <w:t xml:space="preserve">30,000-row</w:t>
      </w:r>
      <w:r>
        <w:rPr>
          <w:color w:val="1F2937"/>
        </w:rPr>
        <w:t xml:space="preserve"> synthetic world model with real causal structure (a reason×action fit matrix, economic best-action labels, and injected incident windows), split </w:t>
      </w:r>
      <w:r>
        <w:rPr>
          <w:b/>
          <w:bCs/>
          <w:color w:val="1F2937"/>
        </w:rPr>
        <w:t xml:space="preserve">24,000 train / 6,000 held-out test</w:t>
      </w:r>
      <w:r>
        <w:rPr>
          <w:color w:val="1F2937"/>
        </w:rPr>
        <w:t xml:space="preserve"> (31.05% recovered). Metrics are on the held-out test set.</w:t>
      </w:r>
    </w:p>
    <w:p>
      <w:pPr>
        <w:pStyle w:val="Heading2"/>
        <w:spacing w:after="100" w:before="220"/>
      </w:pPr>
      <w:r>
        <w:rPr>
          <w:b/>
          <w:bCs/>
          <w:color w:val="047857"/>
        </w:rPr>
        <w:t xml:space="preserve">9.1 Recovery head — ROC-AUC (higher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320"/>
        <w:gridCol w:w="1120"/>
        <w:gridCol w:w="1320"/>
      </w:tblGrid>
      <w:tr>
        <w:trPr>
          <w:tblHeader/>
        </w:trPr>
        <w:tc>
          <w:tcPr>
            <w:tcW w:type="dxa" w:w="3400"/>
            <w:shd w:fill="065F46" w:color="auto" w:val="clear"/>
            <w:tcMar>
              <w:top w:type="dxa" w:w="60"/>
              <w:left w:type="dxa" w:w="90"/>
              <w:bottom w:type="dxa" w:w="60"/>
              <w:right w:type="dxa" w:w="90"/>
            </w:tcMar>
          </w:tcPr>
          <w:p>
            <w:r>
              <w:rPr>
                <w:b/>
                <w:bCs/>
                <w:color w:val="FFFFFF"/>
              </w:rPr>
              <w:t xml:space="preserve">Model</w:t>
            </w:r>
          </w:p>
        </w:tc>
        <w:tc>
          <w:tcPr>
            <w:tcW w:type="dxa" w:w="2200"/>
            <w:shd w:fill="065F46" w:color="auto" w:val="clear"/>
            <w:tcMar>
              <w:top w:type="dxa" w:w="60"/>
              <w:left w:type="dxa" w:w="90"/>
              <w:bottom w:type="dxa" w:w="60"/>
              <w:right w:type="dxa" w:w="90"/>
            </w:tcMar>
          </w:tcPr>
          <w:p>
            <w:r>
              <w:rPr>
                <w:b/>
                <w:bCs/>
                <w:color w:val="FFFFFF"/>
              </w:rPr>
              <w:t xml:space="preserve">Role</w:t>
            </w:r>
          </w:p>
        </w:tc>
        <w:tc>
          <w:tcPr>
            <w:tcW w:type="dxa" w:w="1320"/>
            <w:shd w:fill="065F46" w:color="auto" w:val="clear"/>
            <w:tcMar>
              <w:top w:type="dxa" w:w="60"/>
              <w:left w:type="dxa" w:w="90"/>
              <w:bottom w:type="dxa" w:w="60"/>
              <w:right w:type="dxa" w:w="90"/>
            </w:tcMar>
          </w:tcPr>
          <w:p>
            <w:r>
              <w:rPr>
                <w:b/>
                <w:bCs/>
                <w:color w:val="FFFFFF"/>
              </w:rPr>
              <w:t xml:space="preserve">ROC-AUC</w:t>
            </w:r>
          </w:p>
        </w:tc>
        <w:tc>
          <w:tcPr>
            <w:tcW w:type="dxa" w:w="1120"/>
            <w:shd w:fill="065F46" w:color="auto" w:val="clear"/>
            <w:tcMar>
              <w:top w:type="dxa" w:w="60"/>
              <w:left w:type="dxa" w:w="90"/>
              <w:bottom w:type="dxa" w:w="60"/>
              <w:right w:type="dxa" w:w="90"/>
            </w:tcMar>
          </w:tcPr>
          <w:p>
            <w:r>
              <w:rPr>
                <w:b/>
                <w:bCs/>
                <w:color w:val="FFFFFF"/>
              </w:rPr>
              <w:t xml:space="preserve">F1</w:t>
            </w:r>
          </w:p>
        </w:tc>
        <w:tc>
          <w:tcPr>
            <w:tcW w:type="dxa" w:w="1320"/>
            <w:shd w:fill="065F46" w:color="auto" w:val="clear"/>
            <w:tcMar>
              <w:top w:type="dxa" w:w="60"/>
              <w:left w:type="dxa" w:w="90"/>
              <w:bottom w:type="dxa" w:w="60"/>
              <w:right w:type="dxa" w:w="90"/>
            </w:tcMar>
          </w:tcPr>
          <w:p>
            <w:r>
              <w:rPr>
                <w:b/>
                <w:bCs/>
                <w:color w:val="FFFFFF"/>
              </w:rPr>
              <w:t xml:space="preserve">Brier</w:t>
            </w:r>
          </w:p>
        </w:tc>
      </w:tr>
      <w:tr>
        <w:tc>
          <w:tcPr>
            <w:tcW w:type="dxa" w:w="3400"/>
            <w:tcMar>
              <w:top w:type="dxa" w:w="60"/>
              <w:left w:type="dxa" w:w="90"/>
              <w:bottom w:type="dxa" w:w="60"/>
              <w:right w:type="dxa" w:w="90"/>
            </w:tcMar>
          </w:tcPr>
          <w:p>
            <w:r>
              <w:rPr>
                <w:color w:val="1F2937"/>
              </w:rPr>
              <w:t xml:space="preserve">Logistic Regression</w:t>
            </w:r>
          </w:p>
        </w:tc>
        <w:tc>
          <w:tcPr>
            <w:tcW w:type="dxa" w:w="2200"/>
            <w:tcMar>
              <w:top w:type="dxa" w:w="60"/>
              <w:left w:type="dxa" w:w="90"/>
              <w:bottom w:type="dxa" w:w="60"/>
              <w:right w:type="dxa" w:w="90"/>
            </w:tcMar>
          </w:tcPr>
          <w:p>
            <w:r>
              <w:rPr>
                <w:color w:val="1F2937"/>
              </w:rPr>
              <w:t xml:space="preserve">baseline</w:t>
            </w:r>
          </w:p>
        </w:tc>
        <w:tc>
          <w:tcPr>
            <w:tcW w:type="dxa" w:w="1320"/>
            <w:tcMar>
              <w:top w:type="dxa" w:w="60"/>
              <w:left w:type="dxa" w:w="90"/>
              <w:bottom w:type="dxa" w:w="60"/>
              <w:right w:type="dxa" w:w="90"/>
            </w:tcMar>
          </w:tcPr>
          <w:p>
            <w:r>
              <w:rPr>
                <w:color w:val="1F2937"/>
              </w:rPr>
              <w:t xml:space="preserve">0.749</w:t>
            </w:r>
          </w:p>
        </w:tc>
        <w:tc>
          <w:tcPr>
            <w:tcW w:type="dxa" w:w="1120"/>
            <w:tcMar>
              <w:top w:type="dxa" w:w="60"/>
              <w:left w:type="dxa" w:w="90"/>
              <w:bottom w:type="dxa" w:w="60"/>
              <w:right w:type="dxa" w:w="90"/>
            </w:tcMar>
          </w:tcPr>
          <w:p>
            <w:r>
              <w:rPr>
                <w:color w:val="1F2937"/>
              </w:rPr>
              <w:t xml:space="preserve">0.44</w:t>
            </w:r>
          </w:p>
        </w:tc>
        <w:tc>
          <w:tcPr>
            <w:tcW w:type="dxa" w:w="1320"/>
            <w:tcMar>
              <w:top w:type="dxa" w:w="60"/>
              <w:left w:type="dxa" w:w="90"/>
              <w:bottom w:type="dxa" w:w="60"/>
              <w:right w:type="dxa" w:w="90"/>
            </w:tcMar>
          </w:tcPr>
          <w:p>
            <w:r>
              <w:rPr>
                <w:color w:val="1F2937"/>
              </w:rPr>
              <w:t xml:space="preserve">0.177</w:t>
            </w:r>
          </w:p>
        </w:tc>
      </w:tr>
      <w:tr>
        <w:tc>
          <w:tcPr>
            <w:tcW w:type="dxa" w:w="3400"/>
            <w:shd w:fill="F3F7F5" w:color="auto" w:val="clear"/>
            <w:tcMar>
              <w:top w:type="dxa" w:w="60"/>
              <w:left w:type="dxa" w:w="90"/>
              <w:bottom w:type="dxa" w:w="60"/>
              <w:right w:type="dxa" w:w="90"/>
            </w:tcMar>
          </w:tcPr>
          <w:p>
            <w:r>
              <w:rPr>
                <w:color w:val="1F2937"/>
              </w:rPr>
              <w:t xml:space="preserve">XGBoost</w:t>
            </w:r>
          </w:p>
        </w:tc>
        <w:tc>
          <w:tcPr>
            <w:tcW w:type="dxa" w:w="2200"/>
            <w:shd w:fill="F3F7F5" w:color="auto" w:val="clear"/>
            <w:tcMar>
              <w:top w:type="dxa" w:w="60"/>
              <w:left w:type="dxa" w:w="90"/>
              <w:bottom w:type="dxa" w:w="60"/>
              <w:right w:type="dxa" w:w="90"/>
            </w:tcMar>
          </w:tcPr>
          <w:p>
            <w:r>
              <w:rPr>
                <w:color w:val="1F2937"/>
              </w:rPr>
              <w:t xml:space="preserve">benchmark</w:t>
            </w:r>
          </w:p>
        </w:tc>
        <w:tc>
          <w:tcPr>
            <w:tcW w:type="dxa" w:w="1320"/>
            <w:shd w:fill="F3F7F5" w:color="auto" w:val="clear"/>
            <w:tcMar>
              <w:top w:type="dxa" w:w="60"/>
              <w:left w:type="dxa" w:w="90"/>
              <w:bottom w:type="dxa" w:w="60"/>
              <w:right w:type="dxa" w:w="90"/>
            </w:tcMar>
          </w:tcPr>
          <w:p>
            <w:r>
              <w:rPr>
                <w:color w:val="1F2937"/>
              </w:rPr>
              <w:t xml:space="preserve">0.741</w:t>
            </w:r>
          </w:p>
        </w:tc>
        <w:tc>
          <w:tcPr>
            <w:tcW w:type="dxa" w:w="1120"/>
            <w:shd w:fill="F3F7F5" w:color="auto" w:val="clear"/>
            <w:tcMar>
              <w:top w:type="dxa" w:w="60"/>
              <w:left w:type="dxa" w:w="90"/>
              <w:bottom w:type="dxa" w:w="60"/>
              <w:right w:type="dxa" w:w="90"/>
            </w:tcMar>
          </w:tcPr>
          <w:p>
            <w:r>
              <w:rPr>
                <w:color w:val="1F2937"/>
              </w:rPr>
              <w:t xml:space="preserve">0.46</w:t>
            </w:r>
          </w:p>
        </w:tc>
        <w:tc>
          <w:tcPr>
            <w:tcW w:type="dxa" w:w="1320"/>
            <w:shd w:fill="F3F7F5" w:color="auto" w:val="clear"/>
            <w:tcMar>
              <w:top w:type="dxa" w:w="60"/>
              <w:left w:type="dxa" w:w="90"/>
              <w:bottom w:type="dxa" w:w="60"/>
              <w:right w:type="dxa" w:w="90"/>
            </w:tcMar>
          </w:tcPr>
          <w:p>
            <w:r>
              <w:rPr>
                <w:color w:val="1F2937"/>
              </w:rPr>
              <w:t xml:space="preserve">0.180</w:t>
            </w:r>
          </w:p>
        </w:tc>
      </w:tr>
      <w:tr>
        <w:tc>
          <w:tcPr>
            <w:tcW w:type="dxa" w:w="3400"/>
            <w:tcMar>
              <w:top w:type="dxa" w:w="60"/>
              <w:left w:type="dxa" w:w="90"/>
              <w:bottom w:type="dxa" w:w="60"/>
              <w:right w:type="dxa" w:w="90"/>
            </w:tcMar>
          </w:tcPr>
          <w:p>
            <w:r>
              <w:rPr>
                <w:color w:val="1F2937"/>
              </w:rPr>
              <w:t xml:space="preserve">CatBoost (uncalibrated)</w:t>
            </w:r>
          </w:p>
        </w:tc>
        <w:tc>
          <w:tcPr>
            <w:tcW w:type="dxa" w:w="2200"/>
            <w:tcMar>
              <w:top w:type="dxa" w:w="60"/>
              <w:left w:type="dxa" w:w="90"/>
              <w:bottom w:type="dxa" w:w="60"/>
              <w:right w:type="dxa" w:w="90"/>
            </w:tcMar>
          </w:tcPr>
          <w:p>
            <w:r>
              <w:rPr>
                <w:color w:val="1F2937"/>
              </w:rPr>
              <w:t xml:space="preserve">primary</w:t>
            </w:r>
          </w:p>
        </w:tc>
        <w:tc>
          <w:tcPr>
            <w:tcW w:type="dxa" w:w="1320"/>
            <w:tcMar>
              <w:top w:type="dxa" w:w="60"/>
              <w:left w:type="dxa" w:w="90"/>
              <w:bottom w:type="dxa" w:w="60"/>
              <w:right w:type="dxa" w:w="90"/>
            </w:tcMar>
          </w:tcPr>
          <w:p>
            <w:r>
              <w:rPr>
                <w:color w:val="1F2937"/>
              </w:rPr>
              <w:t xml:space="preserve">0.759</w:t>
            </w:r>
          </w:p>
        </w:tc>
        <w:tc>
          <w:tcPr>
            <w:tcW w:type="dxa" w:w="1120"/>
            <w:tcMar>
              <w:top w:type="dxa" w:w="60"/>
              <w:left w:type="dxa" w:w="90"/>
              <w:bottom w:type="dxa" w:w="60"/>
              <w:right w:type="dxa" w:w="90"/>
            </w:tcMar>
          </w:tcPr>
          <w:p>
            <w:r>
              <w:rPr>
                <w:color w:val="1F2937"/>
              </w:rPr>
              <w:t xml:space="preserve">—</w:t>
            </w:r>
          </w:p>
        </w:tc>
        <w:tc>
          <w:tcPr>
            <w:tcW w:type="dxa" w:w="1320"/>
            <w:tcMar>
              <w:top w:type="dxa" w:w="60"/>
              <w:left w:type="dxa" w:w="90"/>
              <w:bottom w:type="dxa" w:w="60"/>
              <w:right w:type="dxa" w:w="90"/>
            </w:tcMar>
          </w:tcPr>
          <w:p>
            <w:r>
              <w:rPr>
                <w:color w:val="1F2937"/>
              </w:rPr>
              <w:t xml:space="preserve">0.174</w:t>
            </w:r>
          </w:p>
        </w:tc>
      </w:tr>
      <w:tr>
        <w:tc>
          <w:tcPr>
            <w:tcW w:type="dxa" w:w="3400"/>
            <w:shd w:fill="F3F7F5" w:color="auto" w:val="clear"/>
            <w:tcMar>
              <w:top w:type="dxa" w:w="60"/>
              <w:left w:type="dxa" w:w="90"/>
              <w:bottom w:type="dxa" w:w="60"/>
              <w:right w:type="dxa" w:w="90"/>
            </w:tcMar>
          </w:tcPr>
          <w:p>
            <w:r>
              <w:rPr>
                <w:color w:val="1F2937"/>
              </w:rPr>
              <w:t xml:space="preserve">CatBoost + isotonic calibration</w:t>
            </w:r>
          </w:p>
        </w:tc>
        <w:tc>
          <w:tcPr>
            <w:tcW w:type="dxa" w:w="2200"/>
            <w:shd w:fill="F3F7F5" w:color="auto" w:val="clear"/>
            <w:tcMar>
              <w:top w:type="dxa" w:w="60"/>
              <w:left w:type="dxa" w:w="90"/>
              <w:bottom w:type="dxa" w:w="60"/>
              <w:right w:type="dxa" w:w="90"/>
            </w:tcMar>
          </w:tcPr>
          <w:p>
            <w:r>
              <w:rPr>
                <w:color w:val="1F2937"/>
              </w:rPr>
              <w:t xml:space="preserve">primary (deployed)</w:t>
            </w:r>
          </w:p>
        </w:tc>
        <w:tc>
          <w:tcPr>
            <w:tcW w:type="dxa" w:w="1320"/>
            <w:shd w:fill="F3F7F5" w:color="auto" w:val="clear"/>
            <w:tcMar>
              <w:top w:type="dxa" w:w="60"/>
              <w:left w:type="dxa" w:w="90"/>
              <w:bottom w:type="dxa" w:w="60"/>
              <w:right w:type="dxa" w:w="90"/>
            </w:tcMar>
          </w:tcPr>
          <w:p>
            <w:r>
              <w:rPr>
                <w:color w:val="1F2937"/>
              </w:rPr>
              <w:t xml:space="preserve">0.756</w:t>
            </w:r>
          </w:p>
        </w:tc>
        <w:tc>
          <w:tcPr>
            <w:tcW w:type="dxa" w:w="1120"/>
            <w:shd w:fill="F3F7F5" w:color="auto" w:val="clear"/>
            <w:tcMar>
              <w:top w:type="dxa" w:w="60"/>
              <w:left w:type="dxa" w:w="90"/>
              <w:bottom w:type="dxa" w:w="60"/>
              <w:right w:type="dxa" w:w="90"/>
            </w:tcMar>
          </w:tcPr>
          <w:p>
            <w:r>
              <w:rPr>
                <w:color w:val="1F2937"/>
              </w:rPr>
              <w:t xml:space="preserve">0.40</w:t>
            </w:r>
          </w:p>
        </w:tc>
        <w:tc>
          <w:tcPr>
            <w:tcW w:type="dxa" w:w="1320"/>
            <w:shd w:fill="F3F7F5" w:color="auto" w:val="clear"/>
            <w:tcMar>
              <w:top w:type="dxa" w:w="60"/>
              <w:left w:type="dxa" w:w="90"/>
              <w:bottom w:type="dxa" w:w="60"/>
              <w:right w:type="dxa" w:w="90"/>
            </w:tcMar>
          </w:tcPr>
          <w:p>
            <w:r>
              <w:rPr>
                <w:color w:val="1F2937"/>
              </w:rPr>
              <w:t xml:space="preserve">0.175</w:t>
            </w:r>
          </w:p>
        </w:tc>
      </w:tr>
    </w:tbl>
    <w:p>
      <w:pPr>
        <w:spacing w:after="120" w:line="276"/>
      </w:pPr>
      <w:r>
        <w:rPr>
          <w:color w:val="1F2937"/>
        </w:rPr>
        <w:t xml:space="preserve">CatBoost is the strongest of the three; calibration trades a negligible amount of ranking power for trustworthy probabilities.</w:t>
      </w:r>
    </w:p>
    <w:p>
      <w:pPr>
        <w:pStyle w:val="Heading2"/>
        <w:spacing w:after="100" w:before="220"/>
      </w:pPr>
      <w:r>
        <w:rPr>
          <w:b/>
          <w:bCs/>
          <w:color w:val="047857"/>
        </w:rPr>
        <w:t xml:space="preserve">9.2 Action head, escalation head, anomaly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tblHeader/>
        </w:trPr>
        <w:tc>
          <w:tcPr>
            <w:tcW w:type="dxa" w:w="2500"/>
            <w:shd w:fill="065F46" w:color="auto" w:val="clear"/>
            <w:tcMar>
              <w:top w:type="dxa" w:w="60"/>
              <w:left w:type="dxa" w:w="90"/>
              <w:bottom w:type="dxa" w:w="60"/>
              <w:right w:type="dxa" w:w="90"/>
            </w:tcMar>
          </w:tcPr>
          <w:p>
            <w:r>
              <w:rPr>
                <w:b/>
                <w:bCs/>
                <w:color w:val="FFFFFF"/>
              </w:rPr>
              <w:t xml:space="preserve">Head</w:t>
            </w:r>
          </w:p>
        </w:tc>
        <w:tc>
          <w:tcPr>
            <w:tcW w:type="dxa" w:w="2600"/>
            <w:shd w:fill="065F46" w:color="auto" w:val="clear"/>
            <w:tcMar>
              <w:top w:type="dxa" w:w="60"/>
              <w:left w:type="dxa" w:w="90"/>
              <w:bottom w:type="dxa" w:w="60"/>
              <w:right w:type="dxa" w:w="90"/>
            </w:tcMar>
          </w:tcPr>
          <w:p>
            <w:r>
              <w:rPr>
                <w:b/>
                <w:bCs/>
                <w:color w:val="FFFFFF"/>
              </w:rPr>
              <w:t xml:space="preserve">Metric</w:t>
            </w:r>
          </w:p>
        </w:tc>
        <w:tc>
          <w:tcPr>
            <w:tcW w:type="dxa" w:w="4260"/>
            <w:shd w:fill="065F46" w:color="auto" w:val="clear"/>
            <w:tcMar>
              <w:top w:type="dxa" w:w="60"/>
              <w:left w:type="dxa" w:w="90"/>
              <w:bottom w:type="dxa" w:w="60"/>
              <w:right w:type="dxa" w:w="90"/>
            </w:tcMar>
          </w:tcPr>
          <w:p>
            <w:r>
              <w:rPr>
                <w:b/>
                <w:bCs/>
                <w:color w:val="FFFFFF"/>
              </w:rPr>
              <w:t xml:space="preserve">Result</w:t>
            </w:r>
          </w:p>
        </w:tc>
      </w:tr>
      <w:tr>
        <w:tc>
          <w:tcPr>
            <w:tcW w:type="dxa" w:w="2500"/>
            <w:tcMar>
              <w:top w:type="dxa" w:w="60"/>
              <w:left w:type="dxa" w:w="90"/>
              <w:bottom w:type="dxa" w:w="60"/>
              <w:right w:type="dxa" w:w="90"/>
            </w:tcMar>
          </w:tcPr>
          <w:p>
            <w:r>
              <w:rPr>
                <w:color w:val="1F2937"/>
              </w:rPr>
              <w:t xml:space="preserve">Action (best action)</w:t>
            </w:r>
          </w:p>
        </w:tc>
        <w:tc>
          <w:tcPr>
            <w:tcW w:type="dxa" w:w="2600"/>
            <w:tcMar>
              <w:top w:type="dxa" w:w="60"/>
              <w:left w:type="dxa" w:w="90"/>
              <w:bottom w:type="dxa" w:w="60"/>
              <w:right w:type="dxa" w:w="90"/>
            </w:tcMar>
          </w:tcPr>
          <w:p>
            <w:r>
              <w:rPr>
                <w:color w:val="1F2937"/>
              </w:rPr>
              <w:t xml:space="preserve">accuracy / macro-F1</w:t>
            </w:r>
          </w:p>
        </w:tc>
        <w:tc>
          <w:tcPr>
            <w:tcW w:type="dxa" w:w="4260"/>
            <w:tcMar>
              <w:top w:type="dxa" w:w="60"/>
              <w:left w:type="dxa" w:w="90"/>
              <w:bottom w:type="dxa" w:w="60"/>
              <w:right w:type="dxa" w:w="90"/>
            </w:tcMar>
          </w:tcPr>
          <w:p>
            <w:r>
              <w:rPr>
                <w:color w:val="1F2937"/>
              </w:rPr>
              <w:t xml:space="preserve">99.5% / 0.965 (CatBoost); agreement with EV-argmax 84.7%</w:t>
            </w:r>
          </w:p>
        </w:tc>
      </w:tr>
      <w:tr>
        <w:tc>
          <w:tcPr>
            <w:tcW w:type="dxa" w:w="2500"/>
            <w:shd w:fill="F3F7F5" w:color="auto" w:val="clear"/>
            <w:tcMar>
              <w:top w:type="dxa" w:w="60"/>
              <w:left w:type="dxa" w:w="90"/>
              <w:bottom w:type="dxa" w:w="60"/>
              <w:right w:type="dxa" w:w="90"/>
            </w:tcMar>
          </w:tcPr>
          <w:p>
            <w:r>
              <w:rPr>
                <w:color w:val="1F2937"/>
              </w:rPr>
              <w:t xml:space="preserve">Escalation (needs human)</w:t>
            </w:r>
          </w:p>
        </w:tc>
        <w:tc>
          <w:tcPr>
            <w:tcW w:type="dxa" w:w="2600"/>
            <w:shd w:fill="F3F7F5" w:color="auto" w:val="clear"/>
            <w:tcMar>
              <w:top w:type="dxa" w:w="60"/>
              <w:left w:type="dxa" w:w="90"/>
              <w:bottom w:type="dxa" w:w="60"/>
              <w:right w:type="dxa" w:w="90"/>
            </w:tcMar>
          </w:tcPr>
          <w:p>
            <w:r>
              <w:rPr>
                <w:color w:val="1F2937"/>
              </w:rPr>
              <w:t xml:space="preserve">ROC-AUC / Brier</w:t>
            </w:r>
          </w:p>
        </w:tc>
        <w:tc>
          <w:tcPr>
            <w:tcW w:type="dxa" w:w="4260"/>
            <w:shd w:fill="F3F7F5" w:color="auto" w:val="clear"/>
            <w:tcMar>
              <w:top w:type="dxa" w:w="60"/>
              <w:left w:type="dxa" w:w="90"/>
              <w:bottom w:type="dxa" w:w="60"/>
              <w:right w:type="dxa" w:w="90"/>
            </w:tcMar>
          </w:tcPr>
          <w:p>
            <w:r>
              <w:rPr>
                <w:color w:val="1F2937"/>
              </w:rPr>
              <w:t xml:space="preserve">0.999 / 0.012 (precision 0.98, recall 0.99)</w:t>
            </w:r>
          </w:p>
        </w:tc>
      </w:tr>
      <w:tr>
        <w:tc>
          <w:tcPr>
            <w:tcW w:type="dxa" w:w="2500"/>
            <w:tcMar>
              <w:top w:type="dxa" w:w="60"/>
              <w:left w:type="dxa" w:w="90"/>
              <w:bottom w:type="dxa" w:w="60"/>
              <w:right w:type="dxa" w:w="90"/>
            </w:tcMar>
          </w:tcPr>
          <w:p>
            <w:r>
              <w:rPr>
                <w:color w:val="1F2937"/>
              </w:rPr>
              <w:t xml:space="preserve">Anomaly — failure spikes</w:t>
            </w:r>
          </w:p>
        </w:tc>
        <w:tc>
          <w:tcPr>
            <w:tcW w:type="dxa" w:w="2600"/>
            <w:tcMar>
              <w:top w:type="dxa" w:w="60"/>
              <w:left w:type="dxa" w:w="90"/>
              <w:bottom w:type="dxa" w:w="60"/>
              <w:right w:type="dxa" w:w="90"/>
            </w:tcMar>
          </w:tcPr>
          <w:p>
            <w:r>
              <w:rPr>
                <w:color w:val="1F2937"/>
              </w:rPr>
              <w:t xml:space="preserve">incident detection rate</w:t>
            </w:r>
          </w:p>
        </w:tc>
        <w:tc>
          <w:tcPr>
            <w:tcW w:type="dxa" w:w="4260"/>
            <w:tcMar>
              <w:top w:type="dxa" w:w="60"/>
              <w:left w:type="dxa" w:w="90"/>
              <w:bottom w:type="dxa" w:w="60"/>
              <w:right w:type="dxa" w:w="90"/>
            </w:tcMar>
          </w:tcPr>
          <w:p>
            <w:r>
              <w:rPr>
                <w:color w:val="1F2937"/>
              </w:rPr>
              <w:t xml:space="preserve">87.5% of injected incident windows (per-case flag rate ~2%)</w:t>
            </w:r>
          </w:p>
        </w:tc>
      </w:tr>
    </w:tbl>
    <w:p>
      <w:pPr>
        <w:pStyle w:val="Heading2"/>
        <w:spacing w:after="100" w:before="220"/>
      </w:pPr>
      <w:r>
        <w:rPr>
          <w:b/>
          <w:bCs/>
          <w:color w:val="047857"/>
        </w:rPr>
        <w:t xml:space="preserve">9.3 Calibration</w:t>
      </w:r>
    </w:p>
    <w:p>
      <w:pPr>
        <w:spacing w:after="120" w:line="276"/>
      </w:pPr>
      <w:r>
        <w:rPr>
          <w:color w:val="1F2937"/>
        </w:rPr>
        <w:t xml:space="preserve">Predicted vs. observed recovery rates track the diagonal across the meaningful range (e.g. predicted 0.24 → observed 0.24; 0.32 → 0.32; 0.47 → 0.47; 0.78 → 0.77), confirming the displayed confidence is trustworthy. The calibration curve is rendered live on the dashboard Model panel.</w:t>
      </w:r>
    </w:p>
    <w:p>
      <w:pPr>
        <w:pStyle w:val="Heading2"/>
        <w:spacing w:after="100" w:before="220"/>
      </w:pPr>
      <w:r>
        <w:rPr>
          <w:b/>
          <w:bCs/>
          <w:color w:val="047857"/>
        </w:rPr>
        <w:t xml:space="preserve">9.4 Validation strategy</w:t>
      </w:r>
    </w:p>
    <w:p>
      <w:pPr>
        <w:pStyle w:val="ListParagraph"/>
        <w:numPr>
          <w:ilvl w:val="0"/>
          <w:numId w:val="1"/>
        </w:numPr>
        <w:spacing w:after="60" w:line="268"/>
      </w:pPr>
      <w:r>
        <w:rPr>
          <w:color w:val="1F2937"/>
        </w:rPr>
        <w:t xml:space="preserve">Train CatBoost and XGBoost on the same split; keep Logistic Regression as a baseline.</w:t>
      </w:r>
    </w:p>
    <w:p>
      <w:pPr>
        <w:pStyle w:val="ListParagraph"/>
        <w:numPr>
          <w:ilvl w:val="0"/>
          <w:numId w:val="1"/>
        </w:numPr>
        <w:spacing w:after="60" w:line="268"/>
      </w:pPr>
      <w:r>
        <w:rPr>
          <w:color w:val="1F2937"/>
        </w:rPr>
        <w:t xml:space="preserve">Calibrate probabilities (isotonic for recovery, sigmoid for escalation) on a held-out calibration fold before display or thresholding.</w:t>
      </w:r>
    </w:p>
    <w:p>
      <w:pPr>
        <w:pStyle w:val="ListParagraph"/>
        <w:numPr>
          <w:ilvl w:val="0"/>
          <w:numId w:val="1"/>
        </w:numPr>
        <w:spacing w:after="60" w:line="268"/>
      </w:pPr>
      <w:r>
        <w:rPr>
          <w:color w:val="1F2937"/>
        </w:rPr>
        <w:t xml:space="preserve">Report ROC-AUC, PR-AUC, precision, recall, F1 and the Brier score; compare the calibration curve.</w:t>
      </w:r>
    </w:p>
    <w:p>
      <w:pPr>
        <w:pStyle w:val="ListParagraph"/>
        <w:numPr>
          <w:ilvl w:val="0"/>
          <w:numId w:val="1"/>
        </w:numPr>
        <w:spacing w:after="60" w:line="268"/>
      </w:pPr>
      <w:r>
        <w:rPr>
          <w:color w:val="1F2937"/>
        </w:rPr>
        <w:t xml:space="preserve">Validate anomaly detection against known injected incidents.</w:t>
      </w:r>
    </w:p>
    <w:p>
      <w:pPr>
        <w:pStyle w:val="ListParagraph"/>
        <w:numPr>
          <w:ilvl w:val="0"/>
          <w:numId w:val="1"/>
        </w:numPr>
        <w:spacing w:after="60" w:line="268"/>
      </w:pPr>
      <w:r>
        <w:rPr>
          <w:color w:val="1F2937"/>
        </w:rPr>
        <w:t xml:space="preserve">Model-output schema validation at the service boundary; deterministic fallback and webhook-signature checks in the runtime.</w:t>
      </w:r>
    </w:p>
    <w:p>
      <w:pPr>
        <w:pStyle w:val="Heading1"/>
        <w:spacing w:after="140" w:before="300"/>
      </w:pPr>
      <w:r>
        <w:rPr>
          <w:b/>
          <w:bCs/>
          <w:color w:val="065F46"/>
        </w:rPr>
        <w:t xml:space="preserve">10. The Policy Engine (Deterministic Guardrails)</w:t>
      </w:r>
    </w:p>
    <w:p>
      <w:pPr>
        <w:spacing w:after="120" w:line="276"/>
      </w:pPr>
      <w:r>
        <w:rPr>
          <w:color w:val="1F2937"/>
        </w:rPr>
        <w:t xml:space="preserve">Runs after the ML prediction and can override any proposal. Configurable rules: max retries (3); max discount / incentive (10%, only when economically justified); quiet hours (21:00–08:00 IST) suppress outreach but allow retries; no outreach to opted-out customers; human approval above a value threshold (₹25,000) or when an incentive is proposed; a minimum pursuit floor (₹100) below which recovery is uneconomical and blocked; only allow-listed actions may ever be executed. Each evaluation records which rules passed and a human-readable explanation.</w:t>
      </w:r>
    </w:p>
    <w:p>
      <w:pPr>
        <w:pStyle w:val="Heading1"/>
        <w:spacing w:after="140" w:before="300"/>
      </w:pPr>
      <w:r>
        <w:rPr>
          <w:b/>
          <w:bCs/>
          <w:color w:val="065F46"/>
        </w:rPr>
        <w:t xml:space="preserve">11. The Action Executor</w:t>
      </w:r>
    </w:p>
    <w:p>
      <w:pPr>
        <w:spacing w:after="120" w:line="276"/>
      </w:pPr>
      <w:r>
        <w:rPr>
          <w:color w:val="1F2937"/>
        </w:rPr>
        <w:t xml:space="preserve">Performs exactly one policy-approved action: schedule a smart retry, create a real Razorpay payment link (optionally with a capped incentive), send a reminder, escalate to a human, or take no action. Every action is validated, logged, idempotent (safe to replay), and — where possible — reversible. A gateway failure degrades gracefully to a simulated link and logs the reason rather than crashing the batch.</w:t>
      </w:r>
    </w:p>
    <w:p>
      <w:pPr>
        <w:pStyle w:val="Heading1"/>
        <w:spacing w:after="140" w:before="300"/>
      </w:pPr>
      <w:r>
        <w:rPr>
          <w:b/>
          <w:bCs/>
          <w:color w:val="065F46"/>
        </w:rPr>
        <w:t xml:space="preserve">12. Razorpay Integration &amp; Recovery Confirmation</w:t>
      </w:r>
    </w:p>
    <w:p>
      <w:pPr>
        <w:spacing w:after="120" w:line="276"/>
      </w:pPr>
      <w:r>
        <w:rPr>
          <w:color w:val="1F2937"/>
        </w:rPr>
        <w:t xml:space="preserve">Recoup uses Razorpay test-mode for real Payment Links and webhook verification. The executor stamps the case id onto each link (reference_id and notes). When the customer pays, Razorpay POSTs a webhook whose </w:t>
      </w:r>
      <w:r>
        <w:rPr>
          <w:b/>
          <w:bCs/>
          <w:color w:val="1F2937"/>
        </w:rPr>
        <w:t xml:space="preserve">X-Razorpay-Signature</w:t>
      </w:r>
      <w:r>
        <w:rPr>
          <w:color w:val="1F2937"/>
        </w:rPr>
        <w:t xml:space="preserve"> is an HMAC-SHA256 of the raw body keyed with the webhook secret; Recoup verifies it in constant time (rejecting spoofed calls), extracts the case id, and marks the case recovered idempotently. Conceptually, recovered = a </w:t>
      </w:r>
      <w:r>
        <w:rPr>
          <w:b/>
          <w:bCs/>
          <w:color w:val="1F2937"/>
        </w:rPr>
        <w:t xml:space="preserve">captured</w:t>
      </w:r>
      <w:r>
        <w:rPr>
          <w:color w:val="1F2937"/>
        </w:rPr>
        <w:t xml:space="preserve"> payment; </w:t>
      </w:r>
      <w:r>
        <w:rPr>
          <w:b/>
          <w:bCs/>
          <w:color w:val="1F2937"/>
        </w:rPr>
        <w:t xml:space="preserve">settlement</w:t>
      </w:r>
      <w:r>
        <w:rPr>
          <w:color w:val="1F2937"/>
        </w:rPr>
        <w:t xml:space="preserve"> (money reaching the bank, typically T+2) is a separate later event and a documented next step.</w:t>
      </w:r>
    </w:p>
    <w:p>
      <w:pPr>
        <w:pStyle w:val="Heading1"/>
        <w:spacing w:after="140" w:before="300"/>
      </w:pPr>
      <w:r>
        <w:rPr>
          <w:b/>
          <w:bCs/>
          <w:color w:val="065F46"/>
        </w:rPr>
        <w:t xml:space="preserve">13. The Narrowed LLM</w:t>
      </w:r>
    </w:p>
    <w:p>
      <w:pPr>
        <w:spacing w:after="120" w:line="276"/>
      </w:pPr>
      <w:r>
        <w:rPr>
          <w:color w:val="1F2937"/>
        </w:rPr>
        <w:t xml:space="preserve">The LLM is provider-agnostic (Groq, Gemini, a local Ollama model, or Claude) and used </w:t>
      </w:r>
      <w:r>
        <w:rPr>
          <w:b/>
          <w:bCs/>
          <w:color w:val="1F2937"/>
        </w:rPr>
        <w:t xml:space="preserve">only on demand</w:t>
      </w:r>
      <w:r>
        <w:rPr>
          <w:color w:val="1F2937"/>
        </w:rPr>
        <w:t xml:space="preserve"> for three text tasks: explaining a decision in plain language, drafting a customer message, and summarizing an escalation for a human. It is never in the decision or money path, and each function has a deterministic template fallback, so the system works even with no LLM configured or when the free tier rate-limits.</w:t>
      </w:r>
    </w:p>
    <w:p>
      <w:pPr>
        <w:pStyle w:val="Heading1"/>
        <w:spacing w:after="140" w:before="300"/>
      </w:pPr>
      <w:r>
        <w:rPr>
          <w:b/>
          <w:bCs/>
          <w:color w:val="065F46"/>
        </w:rPr>
        <w:t xml:space="preserve">14. The Dashboard</w:t>
      </w:r>
    </w:p>
    <w:p>
      <w:pPr>
        <w:spacing w:after="120" w:line="276"/>
      </w:pPr>
      <w:r>
        <w:rPr>
          <w:color w:val="1F2937"/>
        </w:rPr>
        <w:t xml:space="preserve">An operator console. The main view shows recovered ₹, recovery rate, gross at-risk and active cases; a before/after impact bar; a live recovery-pipeline funnel; breakdowns by reason and action; and a </w:t>
      </w:r>
      <w:r>
        <w:rPr>
          <w:b/>
          <w:bCs/>
          <w:color w:val="1F2937"/>
        </w:rPr>
        <w:t xml:space="preserve">Model panel</w:t>
      </w:r>
      <w:r>
        <w:rPr>
          <w:color w:val="1F2937"/>
        </w:rPr>
        <w:t xml:space="preserve"> — the recovery ROC-AUC comparison (CatBoost &gt; XGBoost &gt; LogReg), the calibration curve, top decision features, escalation Brier, and the spike-detection rate. Each case shows a </w:t>
      </w:r>
      <w:r>
        <w:rPr>
          <w:b/>
          <w:bCs/>
          <w:color w:val="1F2937"/>
        </w:rPr>
        <w:t xml:space="preserve">journey tracker</w:t>
      </w:r>
      <w:r>
        <w:rPr>
          <w:color w:val="1F2937"/>
        </w:rPr>
        <w:t xml:space="preserve">, an </w:t>
      </w:r>
      <w:r>
        <w:rPr>
          <w:b/>
          <w:bCs/>
          <w:color w:val="1F2937"/>
        </w:rPr>
        <w:t xml:space="preserve">ML prediction panel</w:t>
      </w:r>
      <w:r>
        <w:rPr>
          <w:color w:val="1F2937"/>
        </w:rPr>
        <w:t xml:space="preserve"> (recovery probability, calibrated confidence, escalation risk, anomaly score, and per-action recovery bars with the chosen action highlighted), the policy checks, the action and drafted message, the outcome, the audit timeline, and on-demand </w:t>
      </w:r>
      <w:r>
        <w:rPr>
          <w:b/>
          <w:bCs/>
          <w:color w:val="1F2937"/>
        </w:rPr>
        <w:t xml:space="preserve">AI-assist</w:t>
      </w:r>
      <w:r>
        <w:rPr>
          <w:color w:val="1F2937"/>
        </w:rPr>
        <w:t xml:space="preserve"> buttons. Header pills report ML model version, LLM provider, and Razorpay mode.</w:t>
      </w:r>
    </w:p>
    <w:p>
      <w:pPr>
        <w:pStyle w:val="Heading1"/>
        <w:spacing w:after="140" w:before="300"/>
      </w:pPr>
      <w:r>
        <w:rPr>
          <w:b/>
          <w:bCs/>
          <w:color w:val="065F46"/>
        </w:rPr>
        <w:t xml:space="preserve">15.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65F46" w:color="auto" w:val="clear"/>
            <w:tcMar>
              <w:top w:type="dxa" w:w="60"/>
              <w:left w:type="dxa" w:w="90"/>
              <w:bottom w:type="dxa" w:w="60"/>
              <w:right w:type="dxa" w:w="90"/>
            </w:tcMar>
          </w:tcPr>
          <w:p>
            <w:r>
              <w:rPr>
                <w:b/>
                <w:bCs/>
                <w:color w:val="FFFFFF"/>
              </w:rPr>
              <w:t xml:space="preserve">Layer</w:t>
            </w:r>
          </w:p>
        </w:tc>
        <w:tc>
          <w:tcPr>
            <w:tcW w:type="dxa" w:w="7560"/>
            <w:shd w:fill="065F46" w:color="auto" w:val="clear"/>
            <w:tcMar>
              <w:top w:type="dxa" w:w="60"/>
              <w:left w:type="dxa" w:w="90"/>
              <w:bottom w:type="dxa" w:w="60"/>
              <w:right w:type="dxa" w:w="90"/>
            </w:tcMar>
          </w:tcPr>
          <w:p>
            <w:r>
              <w:rPr>
                <w:b/>
                <w:bCs/>
                <w:color w:val="FFFFFF"/>
              </w:rPr>
              <w:t xml:space="preserve">Choice</w:t>
            </w:r>
          </w:p>
        </w:tc>
      </w:tr>
      <w:tr>
        <w:tc>
          <w:tcPr>
            <w:tcW w:type="dxa" w:w="1800"/>
            <w:tcMar>
              <w:top w:type="dxa" w:w="60"/>
              <w:left w:type="dxa" w:w="90"/>
              <w:bottom w:type="dxa" w:w="60"/>
              <w:right w:type="dxa" w:w="90"/>
            </w:tcMar>
          </w:tcPr>
          <w:p>
            <w:r>
              <w:rPr>
                <w:color w:val="1F2937"/>
              </w:rPr>
              <w:t xml:space="preserve">Frontend</w:t>
            </w:r>
          </w:p>
        </w:tc>
        <w:tc>
          <w:tcPr>
            <w:tcW w:type="dxa" w:w="7560"/>
            <w:tcMar>
              <w:top w:type="dxa" w:w="60"/>
              <w:left w:type="dxa" w:w="90"/>
              <w:bottom w:type="dxa" w:w="60"/>
              <w:right w:type="dxa" w:w="90"/>
            </w:tcMar>
          </w:tcPr>
          <w:p>
            <w:r>
              <w:rPr>
                <w:color w:val="1F2937"/>
              </w:rPr>
              <w:t xml:space="preserve">React + TypeScript + Vite + Tailwind</w:t>
            </w:r>
          </w:p>
        </w:tc>
      </w:tr>
      <w:tr>
        <w:tc>
          <w:tcPr>
            <w:tcW w:type="dxa" w:w="1800"/>
            <w:shd w:fill="F3F7F5" w:color="auto" w:val="clear"/>
            <w:tcMar>
              <w:top w:type="dxa" w:w="60"/>
              <w:left w:type="dxa" w:w="90"/>
              <w:bottom w:type="dxa" w:w="60"/>
              <w:right w:type="dxa" w:w="90"/>
            </w:tcMar>
          </w:tcPr>
          <w:p>
            <w:r>
              <w:rPr>
                <w:color w:val="1F2937"/>
              </w:rPr>
              <w:t xml:space="preserve">Backend API</w:t>
            </w:r>
          </w:p>
        </w:tc>
        <w:tc>
          <w:tcPr>
            <w:tcW w:type="dxa" w:w="7560"/>
            <w:shd w:fill="F3F7F5" w:color="auto" w:val="clear"/>
            <w:tcMar>
              <w:top w:type="dxa" w:w="60"/>
              <w:left w:type="dxa" w:w="90"/>
              <w:bottom w:type="dxa" w:w="60"/>
              <w:right w:type="dxa" w:w="90"/>
            </w:tcMar>
          </w:tcPr>
          <w:p>
            <w:r>
              <w:rPr>
                <w:color w:val="1F2937"/>
              </w:rPr>
              <w:t xml:space="preserve">Node + Express + Prisma</w:t>
            </w:r>
          </w:p>
        </w:tc>
      </w:tr>
      <w:tr>
        <w:tc>
          <w:tcPr>
            <w:tcW w:type="dxa" w:w="1800"/>
            <w:tcMar>
              <w:top w:type="dxa" w:w="60"/>
              <w:left w:type="dxa" w:w="90"/>
              <w:bottom w:type="dxa" w:w="60"/>
              <w:right w:type="dxa" w:w="90"/>
            </w:tcMar>
          </w:tcPr>
          <w:p>
            <w:r>
              <w:rPr>
                <w:color w:val="1F2937"/>
              </w:rPr>
              <w:t xml:space="preserve">Database</w:t>
            </w:r>
          </w:p>
        </w:tc>
        <w:tc>
          <w:tcPr>
            <w:tcW w:type="dxa" w:w="7560"/>
            <w:tcMar>
              <w:top w:type="dxa" w:w="60"/>
              <w:left w:type="dxa" w:w="90"/>
              <w:bottom w:type="dxa" w:w="60"/>
              <w:right w:type="dxa" w:w="90"/>
            </w:tcMar>
          </w:tcPr>
          <w:p>
            <w:r>
              <w:rPr>
                <w:color w:val="1F2937"/>
              </w:rPr>
              <w:t xml:space="preserve">PostgreSQL (embedded for local dev; any Postgres URL for deploy)</w:t>
            </w:r>
          </w:p>
        </w:tc>
      </w:tr>
      <w:tr>
        <w:tc>
          <w:tcPr>
            <w:tcW w:type="dxa" w:w="1800"/>
            <w:shd w:fill="F3F7F5" w:color="auto" w:val="clear"/>
            <w:tcMar>
              <w:top w:type="dxa" w:w="60"/>
              <w:left w:type="dxa" w:w="90"/>
              <w:bottom w:type="dxa" w:w="60"/>
              <w:right w:type="dxa" w:w="90"/>
            </w:tcMar>
          </w:tcPr>
          <w:p>
            <w:r>
              <w:rPr>
                <w:color w:val="1F2937"/>
              </w:rPr>
              <w:t xml:space="preserve">ML service</w:t>
            </w:r>
          </w:p>
        </w:tc>
        <w:tc>
          <w:tcPr>
            <w:tcW w:type="dxa" w:w="7560"/>
            <w:shd w:fill="F3F7F5" w:color="auto" w:val="clear"/>
            <w:tcMar>
              <w:top w:type="dxa" w:w="60"/>
              <w:left w:type="dxa" w:w="90"/>
              <w:bottom w:type="dxa" w:w="60"/>
              <w:right w:type="dxa" w:w="90"/>
            </w:tcMar>
          </w:tcPr>
          <w:p>
            <w:r>
              <w:rPr>
                <w:color w:val="1F2937"/>
              </w:rPr>
              <w:t xml:space="preserve">Python + FastAPI — CatBoost, XGBoost, scikit-learn (LogReg, CalibratedClassifierCV, IsolationForest)</w:t>
            </w:r>
          </w:p>
        </w:tc>
      </w:tr>
      <w:tr>
        <w:tc>
          <w:tcPr>
            <w:tcW w:type="dxa" w:w="1800"/>
            <w:tcMar>
              <w:top w:type="dxa" w:w="60"/>
              <w:left w:type="dxa" w:w="90"/>
              <w:bottom w:type="dxa" w:w="60"/>
              <w:right w:type="dxa" w:w="90"/>
            </w:tcMar>
          </w:tcPr>
          <w:p>
            <w:r>
              <w:rPr>
                <w:color w:val="1F2937"/>
              </w:rPr>
              <w:t xml:space="preserve">LLM service</w:t>
            </w:r>
          </w:p>
        </w:tc>
        <w:tc>
          <w:tcPr>
            <w:tcW w:type="dxa" w:w="7560"/>
            <w:tcMar>
              <w:top w:type="dxa" w:w="60"/>
              <w:left w:type="dxa" w:w="90"/>
              <w:bottom w:type="dxa" w:w="60"/>
              <w:right w:type="dxa" w:w="90"/>
            </w:tcMar>
          </w:tcPr>
          <w:p>
            <w:r>
              <w:rPr>
                <w:color w:val="1F2937"/>
              </w:rPr>
              <w:t xml:space="preserve">Provider-agnostic text-only (Groq / Gemini / Ollama / Claude)</w:t>
            </w:r>
          </w:p>
        </w:tc>
      </w:tr>
      <w:tr>
        <w:tc>
          <w:tcPr>
            <w:tcW w:type="dxa" w:w="1800"/>
            <w:shd w:fill="F3F7F5" w:color="auto" w:val="clear"/>
            <w:tcMar>
              <w:top w:type="dxa" w:w="60"/>
              <w:left w:type="dxa" w:w="90"/>
              <w:bottom w:type="dxa" w:w="60"/>
              <w:right w:type="dxa" w:w="90"/>
            </w:tcMar>
          </w:tcPr>
          <w:p>
            <w:r>
              <w:rPr>
                <w:color w:val="1F2937"/>
              </w:rPr>
              <w:t xml:space="preserve">Payments</w:t>
            </w:r>
          </w:p>
        </w:tc>
        <w:tc>
          <w:tcPr>
            <w:tcW w:type="dxa" w:w="7560"/>
            <w:shd w:fill="F3F7F5" w:color="auto" w:val="clear"/>
            <w:tcMar>
              <w:top w:type="dxa" w:w="60"/>
              <w:left w:type="dxa" w:w="90"/>
              <w:bottom w:type="dxa" w:w="60"/>
              <w:right w:type="dxa" w:w="90"/>
            </w:tcMar>
          </w:tcPr>
          <w:p>
            <w:r>
              <w:rPr>
                <w:color w:val="1F2937"/>
              </w:rPr>
              <w:t xml:space="preserve">Razorpay test-mode (Payment Links + Webhooks)</w:t>
            </w:r>
          </w:p>
        </w:tc>
      </w:tr>
    </w:tbl>
    <w:p>
      <w:pPr>
        <w:pStyle w:val="Heading1"/>
        <w:spacing w:after="140" w:before="300"/>
      </w:pPr>
      <w:r>
        <w:rPr>
          <w:b/>
          <w:bCs/>
          <w:color w:val="065F46"/>
        </w:rPr>
        <w:t xml:space="preserve">16. Safe Fallback Behavior</w:t>
      </w:r>
    </w:p>
    <w:p>
      <w:pPr>
        <w:pStyle w:val="ListParagraph"/>
        <w:numPr>
          <w:ilvl w:val="0"/>
          <w:numId w:val="1"/>
        </w:numPr>
        <w:spacing w:after="60" w:line="268"/>
      </w:pPr>
      <w:r>
        <w:rPr>
          <w:b/>
          <w:bCs/>
          <w:color w:val="1F2937"/>
        </w:rPr>
        <w:t xml:space="preserve">ML service down</w:t>
      </w:r>
      <w:r>
        <w:rPr>
          <w:color w:val="1F2937"/>
        </w:rPr>
        <w:t xml:space="preserve"> → the decision layer uses deterministic rule-based scoring; the pipeline never stalls.</w:t>
      </w:r>
    </w:p>
    <w:p>
      <w:pPr>
        <w:pStyle w:val="ListParagraph"/>
        <w:numPr>
          <w:ilvl w:val="0"/>
          <w:numId w:val="1"/>
        </w:numPr>
        <w:spacing w:after="60" w:line="268"/>
      </w:pPr>
      <w:r>
        <w:rPr>
          <w:b/>
          <w:bCs/>
          <w:color w:val="1F2937"/>
        </w:rPr>
        <w:t xml:space="preserve">LLM unavailable / rate-limited</w:t>
      </w:r>
      <w:r>
        <w:rPr>
          <w:color w:val="1F2937"/>
        </w:rPr>
        <w:t xml:space="preserve"> → deterministic message and explanation templates.</w:t>
      </w:r>
    </w:p>
    <w:p>
      <w:pPr>
        <w:pStyle w:val="ListParagraph"/>
        <w:numPr>
          <w:ilvl w:val="0"/>
          <w:numId w:val="1"/>
        </w:numPr>
        <w:spacing w:after="60" w:line="268"/>
      </w:pPr>
      <w:r>
        <w:rPr>
          <w:b/>
          <w:bCs/>
          <w:color w:val="1F2937"/>
        </w:rPr>
        <w:t xml:space="preserve">Razorpay call fails</w:t>
      </w:r>
      <w:r>
        <w:rPr>
          <w:color w:val="1F2937"/>
        </w:rPr>
        <w:t xml:space="preserve"> → degrade to a simulated payment link and log the reason; the batch continues.</w:t>
      </w:r>
    </w:p>
    <w:p>
      <w:pPr>
        <w:pStyle w:val="ListParagraph"/>
        <w:numPr>
          <w:ilvl w:val="0"/>
          <w:numId w:val="1"/>
        </w:numPr>
        <w:spacing w:after="60" w:line="268"/>
      </w:pPr>
      <w:r>
        <w:rPr>
          <w:b/>
          <w:bCs/>
          <w:color w:val="1F2937"/>
        </w:rPr>
        <w:t xml:space="preserve">Per-case isolation</w:t>
      </w:r>
      <w:r>
        <w:rPr>
          <w:color w:val="1F2937"/>
        </w:rPr>
        <w:t xml:space="preserve"> → one failing case never aborts a batch; errors are logged, not swallowed.</w:t>
      </w:r>
    </w:p>
    <w:p>
      <w:pPr>
        <w:pStyle w:val="ListParagraph"/>
        <w:numPr>
          <w:ilvl w:val="0"/>
          <w:numId w:val="1"/>
        </w:numPr>
        <w:spacing w:after="60" w:line="268"/>
      </w:pPr>
      <w:r>
        <w:rPr>
          <w:b/>
          <w:bCs/>
          <w:color w:val="1F2937"/>
        </w:rPr>
        <w:t xml:space="preserve">Idempotency</w:t>
      </w:r>
      <w:r>
        <w:rPr>
          <w:color w:val="1F2937"/>
        </w:rPr>
        <w:t xml:space="preserve"> → duplicate webhooks and replayed events are no-ops.</w:t>
      </w:r>
    </w:p>
    <w:p>
      <w:pPr>
        <w:pStyle w:val="Heading1"/>
        <w:spacing w:after="140" w:before="300"/>
      </w:pPr>
      <w:r>
        <w:rPr>
          <w:b/>
          <w:bCs/>
          <w:color w:val="065F46"/>
        </w:rPr>
        <w:t xml:space="preserve">17. Running the Project</w:t>
      </w:r>
    </w:p>
    <w:p>
      <w:pPr>
        <w:spacing w:after="120" w:line="276"/>
      </w:pPr>
      <w:r>
        <w:rPr>
          <w:color w:val="1F2937"/>
        </w:rPr>
        <w:t xml:space="preserve">Four processes — database, ML service, API, dashboard:</w:t>
      </w:r>
    </w:p>
    <w:p>
      <w:pPr>
        <w:spacing w:after="40"/>
      </w:pPr>
      <w:r>
        <w:rPr>
          <w:rFonts w:ascii="Consolas" w:cs="Consolas" w:eastAsia="Consolas" w:hAnsi="Consolas"/>
          <w:color w:val="1F2937"/>
          <w:sz w:val="19"/>
          <w:szCs w:val="19"/>
        </w:rPr>
        <w:t xml:space="preserve">server:  npm run db:local                                   # embedded PostgreSQL</w:t>
      </w:r>
    </w:p>
    <w:p>
      <w:pPr>
        <w:spacing w:after="40"/>
      </w:pPr>
      <w:r>
        <w:rPr>
          <w:rFonts w:ascii="Consolas" w:cs="Consolas" w:eastAsia="Consolas" w:hAnsi="Consolas"/>
          <w:color w:val="1F2937"/>
          <w:sz w:val="19"/>
          <w:szCs w:val="19"/>
        </w:rPr>
        <w:t xml:space="preserve">ml:      ml/.venv/Scripts/python -m uvicorn serve:app --app-dir ml/src --port 8899</w:t>
      </w:r>
    </w:p>
    <w:p>
      <w:pPr>
        <w:spacing w:after="40"/>
      </w:pPr>
      <w:r>
        <w:rPr>
          <w:rFonts w:ascii="Consolas" w:cs="Consolas" w:eastAsia="Consolas" w:hAnsi="Consolas"/>
          <w:color w:val="1F2937"/>
          <w:sz w:val="19"/>
          <w:szCs w:val="19"/>
        </w:rPr>
        <w:t xml:space="preserve">server:  npm run dev                                        # API on :8787</w:t>
      </w:r>
    </w:p>
    <w:p>
      <w:pPr>
        <w:spacing w:after="40"/>
      </w:pPr>
      <w:r>
        <w:rPr>
          <w:rFonts w:ascii="Consolas" w:cs="Consolas" w:eastAsia="Consolas" w:hAnsi="Consolas"/>
          <w:color w:val="1F2937"/>
          <w:sz w:val="19"/>
          <w:szCs w:val="19"/>
        </w:rPr>
        <w:t xml:space="preserve">web:     npm run dev                                        # dashboard on :5173</w:t>
      </w:r>
    </w:p>
    <w:p>
      <w:pPr>
        <w:spacing w:after="80"/>
      </w:pPr>
    </w:p>
    <w:p>
      <w:pPr>
        <w:spacing w:after="120" w:line="276"/>
      </w:pPr>
      <w:r>
        <w:rPr>
          <w:color w:val="1F2937"/>
        </w:rPr>
        <w:t xml:space="preserve">Rebuild the models with: python ml/src/worldmodel.py &amp;&amp; python ml/src/train.py. In the dashboard: Seed → Run pipeline → Advance retries.</w:t>
      </w:r>
    </w:p>
    <w:p>
      <w:pPr>
        <w:pStyle w:val="Heading1"/>
        <w:spacing w:after="140" w:before="300"/>
      </w:pPr>
      <w:r>
        <w:rPr>
          <w:b/>
          <w:bCs/>
          <w:color w:val="065F46"/>
        </w:rPr>
        <w:t xml:space="preserve">18. Limitations &amp; Future Work</w:t>
      </w:r>
    </w:p>
    <w:p>
      <w:pPr>
        <w:pStyle w:val="ListParagraph"/>
        <w:numPr>
          <w:ilvl w:val="0"/>
          <w:numId w:val="1"/>
        </w:numPr>
        <w:spacing w:after="60" w:line="268"/>
      </w:pPr>
      <w:r>
        <w:rPr>
          <w:b/>
          <w:bCs/>
          <w:color w:val="1F2937"/>
        </w:rPr>
        <w:t xml:space="preserve">Synthetic training data</w:t>
      </w:r>
      <w:r>
        <w:rPr>
          <w:color w:val="1F2937"/>
        </w:rPr>
        <w:t xml:space="preserve"> — a realistic world model; the honest path is to retrain on real merchant exports (the pipeline is real, the history is synthetic).</w:t>
      </w:r>
    </w:p>
    <w:p>
      <w:pPr>
        <w:pStyle w:val="ListParagraph"/>
        <w:numPr>
          <w:ilvl w:val="0"/>
          <w:numId w:val="1"/>
        </w:numPr>
        <w:spacing w:after="60" w:line="268"/>
      </w:pPr>
      <w:r>
        <w:rPr>
          <w:b/>
          <w:bCs/>
          <w:color w:val="1F2937"/>
        </w:rPr>
        <w:t xml:space="preserve">Capture, not settlement</w:t>
      </w:r>
      <w:r>
        <w:rPr>
          <w:color w:val="1F2937"/>
        </w:rPr>
        <w:t xml:space="preserve"> — recovery is confirmed at capture; tracking the T+2 settlement event is future work.</w:t>
      </w:r>
    </w:p>
    <w:p>
      <w:pPr>
        <w:pStyle w:val="ListParagraph"/>
        <w:numPr>
          <w:ilvl w:val="0"/>
          <w:numId w:val="1"/>
        </w:numPr>
        <w:spacing w:after="60" w:line="268"/>
      </w:pPr>
      <w:r>
        <w:rPr>
          <w:b/>
          <w:bCs/>
          <w:color w:val="1F2937"/>
        </w:rPr>
        <w:t xml:space="preserve">Retries are simulated</w:t>
      </w:r>
      <w:r>
        <w:rPr>
          <w:color w:val="1F2937"/>
        </w:rPr>
        <w:t xml:space="preserve"> — a production version issues real re-charges whose captured webhook confirms them.</w:t>
      </w:r>
    </w:p>
    <w:p>
      <w:pPr>
        <w:pStyle w:val="ListParagraph"/>
        <w:numPr>
          <w:ilvl w:val="0"/>
          <w:numId w:val="1"/>
        </w:numPr>
        <w:spacing w:after="60" w:line="268"/>
      </w:pPr>
      <w:r>
        <w:rPr>
          <w:b/>
          <w:bCs/>
          <w:color w:val="1F2937"/>
        </w:rPr>
        <w:t xml:space="preserve">In-process scheduler</w:t>
      </w:r>
      <w:r>
        <w:rPr>
          <w:color w:val="1F2937"/>
        </w:rPr>
        <w:t xml:space="preserve"> — fine for the demo; a durable queue is the production upgrade.</w:t>
      </w:r>
    </w:p>
    <w:p>
      <w:pPr>
        <w:pStyle w:val="ListParagraph"/>
        <w:numPr>
          <w:ilvl w:val="0"/>
          <w:numId w:val="1"/>
        </w:numPr>
        <w:spacing w:after="60" w:line="268"/>
      </w:pPr>
      <w:r>
        <w:rPr>
          <w:b/>
          <w:bCs/>
          <w:color w:val="1F2937"/>
        </w:rPr>
        <w:t xml:space="preserve">Online learning</w:t>
      </w:r>
      <w:r>
        <w:rPr>
          <w:color w:val="1F2937"/>
        </w:rPr>
        <w:t xml:space="preserve"> — models are batch-trained; continuously learning from live outcomes is a natural next step.</w:t>
      </w:r>
    </w:p>
    <w:p>
      <w:pPr>
        <w:pStyle w:val="Heading1"/>
        <w:spacing w:after="140" w:before="300"/>
      </w:pPr>
      <w:r>
        <w:rPr>
          <w:b/>
          <w:bCs/>
          <w:color w:val="065F46"/>
        </w:rPr>
        <w:t xml:space="preserve">19. Mapping to Buildathon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65F46" w:color="auto" w:val="clear"/>
            <w:tcMar>
              <w:top w:type="dxa" w:w="60"/>
              <w:left w:type="dxa" w:w="90"/>
              <w:bottom w:type="dxa" w:w="60"/>
              <w:right w:type="dxa" w:w="90"/>
            </w:tcMar>
          </w:tcPr>
          <w:p>
            <w:r>
              <w:rPr>
                <w:b/>
                <w:bCs/>
                <w:color w:val="FFFFFF"/>
              </w:rPr>
              <w:t xml:space="preserve">Requirement</w:t>
            </w:r>
          </w:p>
        </w:tc>
        <w:tc>
          <w:tcPr>
            <w:tcW w:type="dxa" w:w="6760"/>
            <w:shd w:fill="065F46" w:color="auto" w:val="clear"/>
            <w:tcMar>
              <w:top w:type="dxa" w:w="60"/>
              <w:left w:type="dxa" w:w="90"/>
              <w:bottom w:type="dxa" w:w="60"/>
              <w:right w:type="dxa" w:w="90"/>
            </w:tcMar>
          </w:tcPr>
          <w:p>
            <w:r>
              <w:rPr>
                <w:b/>
                <w:bCs/>
                <w:color w:val="FFFFFF"/>
              </w:rPr>
              <w:t xml:space="preserve">How Recoup meets it</w:t>
            </w:r>
          </w:p>
        </w:tc>
      </w:tr>
      <w:tr>
        <w:tc>
          <w:tcPr>
            <w:tcW w:type="dxa" w:w="2600"/>
            <w:tcMar>
              <w:top w:type="dxa" w:w="60"/>
              <w:left w:type="dxa" w:w="90"/>
              <w:bottom w:type="dxa" w:w="60"/>
              <w:right w:type="dxa" w:w="90"/>
            </w:tcMar>
          </w:tcPr>
          <w:p>
            <w:r>
              <w:rPr>
                <w:color w:val="1F2937"/>
              </w:rPr>
              <w:t xml:space="preserve">Track fit</w:t>
            </w:r>
          </w:p>
        </w:tc>
        <w:tc>
          <w:tcPr>
            <w:tcW w:type="dxa" w:w="6760"/>
            <w:tcMar>
              <w:top w:type="dxa" w:w="60"/>
              <w:left w:type="dxa" w:w="90"/>
              <w:bottom w:type="dxa" w:w="60"/>
              <w:right w:type="dxa" w:w="90"/>
            </w:tcMar>
          </w:tcPr>
          <w:p>
            <w:r>
              <w:rPr>
                <w:color w:val="1F2937"/>
              </w:rPr>
              <w:t xml:space="preserve">AI Revenue Recovery — failed payments &amp; abandoned checkout</w:t>
            </w:r>
          </w:p>
        </w:tc>
      </w:tr>
      <w:tr>
        <w:tc>
          <w:tcPr>
            <w:tcW w:type="dxa" w:w="2600"/>
            <w:shd w:fill="F3F7F5" w:color="auto" w:val="clear"/>
            <w:tcMar>
              <w:top w:type="dxa" w:w="60"/>
              <w:left w:type="dxa" w:w="90"/>
              <w:bottom w:type="dxa" w:w="60"/>
              <w:right w:type="dxa" w:w="90"/>
            </w:tcMar>
          </w:tcPr>
          <w:p>
            <w:r>
              <w:rPr>
                <w:color w:val="1F2937"/>
              </w:rPr>
              <w:t xml:space="preserve">Working demo</w:t>
            </w:r>
          </w:p>
        </w:tc>
        <w:tc>
          <w:tcPr>
            <w:tcW w:type="dxa" w:w="6760"/>
            <w:shd w:fill="F3F7F5" w:color="auto" w:val="clear"/>
            <w:tcMar>
              <w:top w:type="dxa" w:w="60"/>
              <w:left w:type="dxa" w:w="90"/>
              <w:bottom w:type="dxa" w:w="60"/>
              <w:right w:type="dxa" w:w="90"/>
            </w:tcMar>
          </w:tcPr>
          <w:p>
            <w:r>
              <w:rPr>
                <w:color w:val="1F2937"/>
              </w:rPr>
              <w:t xml:space="preserve">A live, verified ML-first recovery loop with real Razorpay links</w:t>
            </w:r>
          </w:p>
        </w:tc>
      </w:tr>
      <w:tr>
        <w:tc>
          <w:tcPr>
            <w:tcW w:type="dxa" w:w="2600"/>
            <w:tcMar>
              <w:top w:type="dxa" w:w="60"/>
              <w:left w:type="dxa" w:w="90"/>
              <w:bottom w:type="dxa" w:w="60"/>
              <w:right w:type="dxa" w:w="90"/>
            </w:tcMar>
          </w:tcPr>
          <w:p>
            <w:r>
              <w:rPr>
                <w:color w:val="1F2937"/>
              </w:rPr>
              <w:t xml:space="preserve">Architecture documentation</w:t>
            </w:r>
          </w:p>
        </w:tc>
        <w:tc>
          <w:tcPr>
            <w:tcW w:type="dxa" w:w="6760"/>
            <w:tcMar>
              <w:top w:type="dxa" w:w="60"/>
              <w:left w:type="dxa" w:w="90"/>
              <w:bottom w:type="dxa" w:w="60"/>
              <w:right w:type="dxa" w:w="90"/>
            </w:tcMar>
          </w:tcPr>
          <w:p>
            <w:r>
              <w:rPr>
                <w:color w:val="1F2937"/>
              </w:rPr>
              <w:t xml:space="preserve">This report + ARCHITECTURE.md and DECISIONS.md in the repo</w:t>
            </w:r>
          </w:p>
        </w:tc>
      </w:tr>
      <w:tr>
        <w:tc>
          <w:tcPr>
            <w:tcW w:type="dxa" w:w="2600"/>
            <w:shd w:fill="F3F7F5" w:color="auto" w:val="clear"/>
            <w:tcMar>
              <w:top w:type="dxa" w:w="60"/>
              <w:left w:type="dxa" w:w="90"/>
              <w:bottom w:type="dxa" w:w="60"/>
              <w:right w:type="dxa" w:w="90"/>
            </w:tcMar>
          </w:tcPr>
          <w:p>
            <w:r>
              <w:rPr>
                <w:color w:val="1F2937"/>
              </w:rPr>
              <w:t xml:space="preserve">Public repository</w:t>
            </w:r>
          </w:p>
        </w:tc>
        <w:tc>
          <w:tcPr>
            <w:tcW w:type="dxa" w:w="6760"/>
            <w:shd w:fill="F3F7F5" w:color="auto" w:val="clear"/>
            <w:tcMar>
              <w:top w:type="dxa" w:w="60"/>
              <w:left w:type="dxa" w:w="90"/>
              <w:bottom w:type="dxa" w:w="60"/>
              <w:right w:type="dxa" w:w="90"/>
            </w:tcMar>
          </w:tcPr>
          <w:p>
            <w:r>
              <w:rPr>
                <w:color w:val="1F2937"/>
              </w:rPr>
              <w:t xml:space="preserve">Clean, scoped commit history across modular ML upgrades</w:t>
            </w:r>
          </w:p>
        </w:tc>
      </w:tr>
      <w:tr>
        <w:tc>
          <w:tcPr>
            <w:tcW w:type="dxa" w:w="2600"/>
            <w:tcMar>
              <w:top w:type="dxa" w:w="60"/>
              <w:left w:type="dxa" w:w="90"/>
              <w:bottom w:type="dxa" w:w="60"/>
              <w:right w:type="dxa" w:w="90"/>
            </w:tcMar>
          </w:tcPr>
          <w:p>
            <w:r>
              <w:rPr>
                <w:color w:val="1F2937"/>
              </w:rPr>
              <w:t xml:space="preserve">Panel defense</w:t>
            </w:r>
          </w:p>
        </w:tc>
        <w:tc>
          <w:tcPr>
            <w:tcW w:type="dxa" w:w="6760"/>
            <w:tcMar>
              <w:top w:type="dxa" w:w="60"/>
              <w:left w:type="dxa" w:w="90"/>
              <w:bottom w:type="dxa" w:w="60"/>
              <w:right w:type="dxa" w:w="90"/>
            </w:tcMar>
          </w:tcPr>
          <w:p>
            <w:r>
              <w:rPr>
                <w:color w:val="1F2937"/>
              </w:rPr>
              <w:t xml:space="preserve">ML predicts (calibrated, benchmarked); policy disposes; the LLM only writes text; money never moves on a model’s say-so</w:t>
            </w:r>
          </w:p>
        </w:tc>
      </w:tr>
    </w:tbl>
    <w:p>
      <w:pPr>
        <w:spacing w:after="80"/>
      </w:pPr>
    </w:p>
    <w:p>
      <w:pPr>
        <w:spacing w:after="120" w:line="276"/>
      </w:pPr>
      <w:r>
        <w:rPr>
          <w:color w:val="1F2937"/>
        </w:rPr>
        <w:t xml:space="preserve">Recoup is built to feel like a product a real operations team could run: one narrow problem solved deeply, ML you can benchmark and calibrate, controlled automation, honest metrics, a visible audit trail, and a live demo that recovers money.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Recoup — ML-First Project &amp; Architecture Report</dc:title>
  <dc:creator>Recoup</dc:creator>
  <cp:lastModifiedBy>Un-named</cp:lastModifiedBy>
  <cp:revision>1</cp:revision>
  <dcterms:created xsi:type="dcterms:W3CDTF">2026-08-24T15:32:47.232Z</dcterms:created>
  <dcterms:modified xsi:type="dcterms:W3CDTF">2026-08-24T15:32:47.233Z</dcterms:modified>
</cp:coreProperties>
</file>

<file path=docProps/custom.xml><?xml version="1.0" encoding="utf-8"?>
<Properties xmlns="http://schemas.openxmlformats.org/officeDocument/2006/custom-properties" xmlns:vt="http://schemas.openxmlformats.org/officeDocument/2006/docPropsVTypes"/>
</file>