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7C66"/>
          <w:sz w:val="56"/>
          <w:szCs w:val="56"/>
          <w:rFonts w:ascii="Calibri" w:cs="Calibri" w:eastAsia="Calibri" w:hAnsi="Calibri"/>
        </w:rPr>
        <w:t xml:space="preserve">Recoup</w:t>
      </w:r>
    </w:p>
    <w:p>
      <w:pPr>
        <w:spacing w:after="60"/>
      </w:pPr>
      <w:r>
        <w:rPr>
          <w:b/>
          <w:bCs/>
          <w:color w:val="1B2A3A"/>
          <w:sz w:val="30"/>
          <w:szCs w:val="30"/>
          <w:rFonts w:ascii="Calibri" w:cs="Calibri" w:eastAsia="Calibri" w:hAnsi="Calibri"/>
        </w:rPr>
        <w:t xml:space="preserve">Bounded, ML-First Revenue Recovery for Razorpay</w:t>
      </w:r>
    </w:p>
    <w:p>
      <w:pPr>
        <w:pBdr>
          <w:bottom w:val="single" w:color="0E7C66" w:sz="12" w:space="8"/>
        </w:pBdr>
        <w:spacing w:after="40"/>
      </w:pPr>
      <w:r>
        <w:rPr>
          <w:color w:val="5B6B7B"/>
          <w:sz w:val="20"/>
          <w:szCs w:val="20"/>
          <w:rFonts w:ascii="Calibri" w:cs="Calibri" w:eastAsia="Calibri" w:hAnsi="Calibri"/>
        </w:rPr>
        <w:t xml:space="preserve">Razorpay AI Buildathon 2026  ·  Track: AI Revenue Recovery  ·  Project Report</w:t>
      </w:r>
    </w:p>
    <w:p>
      <w:pPr>
        <w:spacing w:after="120"/>
      </w:pPr>
    </w:p>
    <w:p>
      <w:pPr>
        <w:spacing w:after="160" w:before="0" w:line="264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Recoup recovers the revenue a merchant has already earned — failed payments and abandoned checkouts.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Calibrated machine-learning models decide the recovery move and how likely it is to work; a deterministic policy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engine and executor decide what is allowed to actually happen; and a signed Razorpay webhook proves how much money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came back. A language model is used only to explain decisions in words — never to make them.</w:t>
      </w:r>
    </w:p>
    <w:p>
      <w:pPr>
        <w:pStyle w:val="Heading1"/>
        <w:pBdr>
          <w:bottom w:val="single" w:color="C9D4DF" w:sz="6" w:space="6"/>
        </w:pBdr>
        <w:spacing w:before="300" w:after="120"/>
      </w:pPr>
      <w:r>
        <w:rPr>
          <w:b/>
          <w:bCs/>
          <w:color w:val="1B2A3A"/>
          <w:sz w:val="30"/>
          <w:szCs w:val="30"/>
          <w:rFonts w:ascii="Calibri" w:cs="Calibri" w:eastAsia="Calibri" w:hAnsi="Calibri"/>
        </w:rPr>
        <w:t xml:space="preserve">1  ·  Executive summary</w:t>
      </w:r>
    </w:p>
    <w:p>
      <w:pPr>
        <w:spacing w:after="120" w:before="0" w:line="264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Payment failure in India is usually mechanical and recoverable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 — a UPI collect timeout, a bank-downtime window, a momentary card decline — not a change of heart. The right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response is a decision: which recovery action, on which channel, at what time, and when to stop. That is a tabular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ranking and classification problem, so Recoup puts machine learning at the centre of the decision and keeps the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language model at the edge.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The decision layer is ML.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CatBoost (benchmarked against XGBoost and a logistic-regression baseline) scores every case over a shared 21-feature schema and produces six outputs, including a calibrated recovery probability.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Money is deterministic.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A policy engine can override or block any model proposal, and an allow-listed executor performs only a fixed set of actions. No model — tabular or language — moves money or has the final say.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The LLM only narrates.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It explains a decision, drafts the customer message, and summarizes escalations — off the money path, with template fallback.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Recovery is proven, not simulated.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A real Razorpay test-mode payment link, paid with a test card, fires a signed webhook (HMAC-SHA256) that flips the case to recovered. A one-command self-test exercises that exact path end-to-end.</w:t>
      </w:r>
    </w:p>
    <w:p>
      <w:pPr>
        <w:pStyle w:val="Heading1"/>
        <w:pBdr>
          <w:bottom w:val="single" w:color="C9D4DF" w:sz="6" w:space="6"/>
        </w:pBdr>
        <w:spacing w:before="300" w:after="120"/>
      </w:pPr>
      <w:r>
        <w:rPr>
          <w:b/>
          <w:bCs/>
          <w:color w:val="1B2A3A"/>
          <w:sz w:val="30"/>
          <w:szCs w:val="30"/>
          <w:rFonts w:ascii="Calibri" w:cs="Calibri" w:eastAsia="Calibri" w:hAnsi="Calibri"/>
        </w:rPr>
        <w:t xml:space="preserve">2  ·  The problem, and why it deserves an engine</w:t>
      </w:r>
    </w:p>
    <w:p>
      <w:pPr>
        <w:spacing w:after="120" w:before="0" w:line="264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When a payment fails or a checkout is abandoned, the merchant has already earned the intent — the customer wanted to pay. In India that failure is rarely final. Each failure reason, though, has a different correct recovery move and a different correct timing: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a UPI collect request timed out — retry shortly, don’t nag;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the issuing bank had a downtime window — wait for the window to pass, then retry;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a card was declined for insufficient funds — a later retry or a gentle nudge;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an OTP / 3-DS step was abandoned — a fresh link on a reachable channel.</w:t>
      </w:r>
    </w:p>
    <w:p>
      <w:pPr>
        <w:spacing w:after="120" w:before="0" w:line="264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Blindly retrying everything annoys customers and burns gateway cost; doing nothing leaves real money on the table. The job is decisioning under constraints — which is exactly what a calibrated model does well and a static rule table does not.</w:t>
      </w:r>
    </w:p>
    <w:p>
      <w:pPr>
        <w:pStyle w:val="Heading1"/>
        <w:pBdr>
          <w:bottom w:val="single" w:color="C9D4DF" w:sz="6" w:space="6"/>
        </w:pBdr>
        <w:spacing w:before="300" w:after="120"/>
      </w:pPr>
      <w:r>
        <w:rPr>
          <w:b/>
          <w:bCs/>
          <w:color w:val="1B2A3A"/>
          <w:sz w:val="30"/>
          <w:szCs w:val="30"/>
          <w:rFonts w:ascii="Calibri" w:cs="Calibri" w:eastAsia="Calibri" w:hAnsi="Calibri"/>
        </w:rPr>
        <w:t xml:space="preserve">3  ·  Who this is for</w:t>
      </w:r>
    </w:p>
    <w:p>
      <w:pPr>
        <w:spacing w:after="120" w:before="0" w:line="264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Recoup targets </w:t>
      </w: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mid-market Indian D2C and subscription merchants processing roughly ₹50L–₹5Cr per month on Razorpay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. That band is the sweet spot: large enough that one or two recovery points is real money (₹1–10L/month),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too small to staff a data-science team or a recovery-operations desk. These merchants already have Razorpay’s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built-in retries, Payment Links, and dunning — but those are merchant-configured, static rules. Recoup is the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learned decision layer that sits on top and decides how to use them well.</w:t>
      </w:r>
    </w:p>
    <w:p>
      <w:pPr>
        <w:pStyle w:val="Heading1"/>
        <w:pBdr>
          <w:bottom w:val="single" w:color="C9D4DF" w:sz="6" w:space="6"/>
        </w:pBdr>
        <w:spacing w:before="300" w:after="120"/>
      </w:pPr>
      <w:r>
        <w:rPr>
          <w:b/>
          <w:bCs/>
          <w:color w:val="1B2A3A"/>
          <w:sz w:val="30"/>
          <w:szCs w:val="30"/>
          <w:rFonts w:ascii="Calibri" w:cs="Calibri" w:eastAsia="Calibri" w:hAnsi="Calibri"/>
        </w:rPr>
        <w:t xml:space="preserve">4  ·  How Recoup works — the model proposes, deterministic code disposes</w:t>
      </w:r>
    </w:p>
    <w:p>
      <w:pPr>
        <w:spacing w:after="120" w:before="0" w:line="264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Every at-risk case flows through one explicit, logged pipeline. It is a bounded state machine, never an open-ended agent loop.</w:t>
      </w:r>
    </w:p>
    <w:p>
      <w:pPr>
        <w:pStyle w:val="Heading2"/>
        <w:spacing w:before="200" w:after="80"/>
      </w:pPr>
      <w:r>
        <w:rPr>
          <w:b/>
          <w:bCs/>
          <w:color w:val="1F5FA8"/>
          <w:sz w:val="24"/>
          <w:szCs w:val="24"/>
          <w:rFonts w:ascii="Calibri" w:cs="Calibri" w:eastAsia="Calibri" w:hAnsi="Calibri"/>
        </w:rPr>
        <w:t xml:space="preserve">Pipeline</w:t>
      </w:r>
    </w:p>
    <w:p>
      <w:pPr>
        <w:spacing w:after="120" w:before="0" w:line="264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Ingest &amp; normalize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  →  </w:t>
      </w: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deterministic risk scoring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  →  </w:t>
      </w: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21-feature build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  →  </w:t>
      </w: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ML service (CatBoost · XGBoost · IsolationForest · calibration)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  →  </w:t>
      </w: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decision + calibrated probabilities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  →  </w:t>
      </w: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policy engine (deterministic, can override)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  →  </w:t>
      </w: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executor (real payment link / smart retry / message / escalate)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  →  </w:t>
      </w: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outcome tracker (signed webhook)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  →  </w:t>
      </w: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metrics + audit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.</w:t>
      </w:r>
    </w:p>
    <w:p>
      <w:pPr>
        <w:spacing w:after="120" w:before="0" w:line="264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If the ML service is unreachable, the decision step falls back to a deterministic rule plan flagged </w:t>
      </w:r>
      <w:r>
        <w:rPr>
          <w:i/>
          <w:iCs/>
          <w:color w:val="1B2A3A"/>
          <w:sz w:val="21"/>
          <w:szCs w:val="21"/>
          <w:rFonts w:ascii="Calibri" w:cs="Calibri" w:eastAsia="Calibri" w:hAnsi="Calibri"/>
        </w:rPr>
        <w:t xml:space="preserve">source: "fallback"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, so the pipeline never stalls — and the policy engine and executor still run.</w:t>
      </w:r>
    </w:p>
    <w:p>
      <w:pPr>
        <w:pStyle w:val="Heading2"/>
        <w:spacing w:before="200" w:after="80"/>
      </w:pPr>
      <w:r>
        <w:rPr>
          <w:b/>
          <w:bCs/>
          <w:color w:val="1F5FA8"/>
          <w:sz w:val="24"/>
          <w:szCs w:val="24"/>
          <w:rFonts w:ascii="Calibri" w:cs="Calibri" w:eastAsia="Calibri" w:hAnsi="Calibri"/>
        </w:rPr>
        <w:t xml:space="preserve">The design invariant</w:t>
      </w:r>
    </w:p>
    <w:p>
      <w:pPr>
        <w:spacing w:after="120" w:before="0" w:line="264"/>
      </w:pPr>
      <w:r>
        <w:rPr>
          <w:b/>
          <w:bCs/>
          <w:i/>
          <w:iCs/>
          <w:color w:val="1B2A3A"/>
          <w:sz w:val="21"/>
          <w:szCs w:val="21"/>
          <w:rFonts w:ascii="Calibri" w:cs="Calibri" w:eastAsia="Calibri" w:hAnsi="Calibri"/>
        </w:rPr>
        <w:t xml:space="preserve">"The model proposes, deterministic code disposes."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  The models only ever propose. A deterministic policy engine approves, modifies, or blocks every proposal, and a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deterministic executor carries out only a fixed, allow-listed set of actions. This is the line between a product and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a model that spends money.</w:t>
      </w:r>
    </w:p>
    <w:p>
      <w:pPr>
        <w:pStyle w:val="Heading1"/>
        <w:pBdr>
          <w:bottom w:val="single" w:color="C9D4DF" w:sz="6" w:space="6"/>
        </w:pBdr>
        <w:spacing w:before="300" w:after="120"/>
      </w:pPr>
      <w:r>
        <w:rPr>
          <w:b/>
          <w:bCs/>
          <w:color w:val="1B2A3A"/>
          <w:sz w:val="30"/>
          <w:szCs w:val="30"/>
          <w:rFonts w:ascii="Calibri" w:cs="Calibri" w:eastAsia="Calibri" w:hAnsi="Calibri"/>
        </w:rPr>
        <w:t xml:space="preserve">5  ·  The machine-learning tier</w:t>
      </w:r>
    </w:p>
    <w:p>
      <w:pPr>
        <w:spacing w:after="120" w:before="0" w:line="264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A separate Python / FastAPI service trains and serves the models, so the models use the right ecosystem and the money path stays in typed TypeScript. A shared feature schema is the single source of truth for training and serving, so train/serve skew cannot creep in.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Primary — CatBoost.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Chosen for native categorical handling (failure reason, method, channel, merchant type — no leakage-prone one-hot encoding) and strong calibration.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Benchmarks — XGBoost and a Logistic-Regression baseline,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trained and reported side by side so the model choice is defended with numbers, not asserted.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Calibration — CalibratedClassifierCV (isotonic)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on a held-out split turns the recovery score into a probability whose predicted rate matches the observed rate.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Anomaly — IsolationForest,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per-case (is this case unusual?) and windowed with per-reason z-scoring (is a failure spike happening right now — e.g. a bank-downtime incident?).</w:t>
      </w:r>
    </w:p>
    <w:p>
      <w:pPr>
        <w:pStyle w:val="Heading2"/>
        <w:spacing w:before="200" w:after="80"/>
      </w:pPr>
      <w:r>
        <w:rPr>
          <w:b/>
          <w:bCs/>
          <w:color w:val="1F5FA8"/>
          <w:sz w:val="24"/>
          <w:szCs w:val="24"/>
          <w:rFonts w:ascii="Calibri" w:cs="Calibri" w:eastAsia="Calibri" w:hAnsi="Calibri"/>
        </w:rPr>
        <w:t xml:space="preserve">The six outputs the pipeline acts on</w:t>
      </w:r>
    </w:p>
    <w:tbl>
      <w:tblPr>
        <w:tblW w:type="dxa" w:w="10080"/>
        <w:tblBorders>
          <w:top w:val="single" w:color="C9D4DF" w:sz="4"/>
          <w:left w:val="single" w:color="C9D4DF" w:sz="4"/>
          <w:bottom w:val="single" w:color="C9D4DF" w:sz="4"/>
          <w:right w:val="single" w:color="C9D4DF" w:sz="4"/>
          <w:insideH w:val="single" w:color="C9D4DF" w:sz="4"/>
          <w:insideV w:val="single" w:color="C9D4DF" w:sz="4"/>
        </w:tblBorders>
      </w:tblPr>
      <w:tblGrid>
        <w:gridCol w:w="2400"/>
        <w:gridCol w:w="3000"/>
        <w:gridCol w:w="4680"/>
      </w:tblGrid>
      <w:tr>
        <w:trPr>
          <w:tblHeader/>
        </w:trPr>
        <w:tc>
          <w:tcPr>
            <w:tcW w:type="dxa" w:w="2400"/>
            <w:shd w:fill="EA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A3A"/>
                <w:sz w:val="19"/>
                <w:szCs w:val="19"/>
                <w:rFonts w:ascii="Calibri" w:cs="Calibri" w:eastAsia="Calibri" w:hAnsi="Calibri"/>
              </w:rPr>
              <w:t xml:space="preserve">Output</w:t>
            </w:r>
          </w:p>
        </w:tc>
        <w:tc>
          <w:tcPr>
            <w:tcW w:type="dxa" w:w="3000"/>
            <w:shd w:fill="EA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A3A"/>
                <w:sz w:val="19"/>
                <w:szCs w:val="19"/>
                <w:rFonts w:ascii="Calibri" w:cs="Calibri" w:eastAsia="Calibri" w:hAnsi="Calibri"/>
              </w:rPr>
              <w:t xml:space="preserve">Model</w:t>
            </w:r>
          </w:p>
        </w:tc>
        <w:tc>
          <w:tcPr>
            <w:tcW w:type="dxa" w:w="4680"/>
            <w:shd w:fill="EA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A3A"/>
                <w:sz w:val="19"/>
                <w:szCs w:val="19"/>
                <w:rFonts w:ascii="Calibri" w:cs="Calibri" w:eastAsia="Calibri" w:hAnsi="Calibri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recovery_probability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CatBoost → isotonic-calibrated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Calibrated P(recovered) — safe to threshold and to feed EV math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action_class + per-action odds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CatBoost multiclass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The next-best action, and the modelled recovery odds of each allowed action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action_confidence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CatBoost softmax (uncalibrated)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How peaked the action distribution is — a relative confidence, NOT a calibrated probability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escalation_probability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CatBoost → sigmoid-calibrated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P(this case needs a human)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anomaly_score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IsolationForest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How unusual this case is vs. the learned normal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reason_tag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CatBoost / taxonomy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The normalized failure reason</w:t>
            </w:r>
          </w:p>
        </w:tc>
      </w:tr>
    </w:tbl>
    <w:p>
      <w:pPr>
        <w:spacing w:after="60"/>
      </w:pPr>
    </w:p>
    <w:p>
      <w:pPr>
        <w:spacing w:after="120" w:before="0" w:line="264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An honesty baked into the contract: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recovery_probability is the calibrated number (safe to threshold); action_confidence is the action head’s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uncalibrated softmax. It is named action_confidence — not "calibrated confidence" — in the API, the database column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(migrated with an ALTER TABLE RENAME), and the UI, so a reviewer reading the code never finds an uncalibrated value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hiding in a "calibrated" field.</w:t>
      </w:r>
    </w:p>
    <w:p>
      <w:pPr>
        <w:pStyle w:val="Heading1"/>
        <w:pBdr>
          <w:bottom w:val="single" w:color="C9D4DF" w:sz="6" w:space="6"/>
        </w:pBdr>
        <w:spacing w:before="300" w:after="120"/>
      </w:pPr>
      <w:r>
        <w:rPr>
          <w:b/>
          <w:bCs/>
          <w:color w:val="1B2A3A"/>
          <w:sz w:val="30"/>
          <w:szCs w:val="30"/>
          <w:rFonts w:ascii="Calibri" w:cs="Calibri" w:eastAsia="Calibri" w:hAnsi="Calibri"/>
        </w:rPr>
        <w:t xml:space="preserve">6  ·  How good are the models — honestly</w:t>
      </w:r>
    </w:p>
    <w:p>
      <w:pPr>
        <w:spacing w:after="120" w:before="0" w:line="264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All figures below are on a 30,000-case synthetic dataset (see §9 on why, and the limitation). They are shown on the dashboard’s model card, including the reliability curve and the failures.</w:t>
      </w:r>
    </w:p>
    <w:tbl>
      <w:tblPr>
        <w:tblW w:type="dxa" w:w="10080"/>
        <w:tblBorders>
          <w:top w:val="single" w:color="C9D4DF" w:sz="4"/>
          <w:left w:val="single" w:color="C9D4DF" w:sz="4"/>
          <w:bottom w:val="single" w:color="C9D4DF" w:sz="4"/>
          <w:right w:val="single" w:color="C9D4DF" w:sz="4"/>
          <w:insideH w:val="single" w:color="C9D4DF" w:sz="4"/>
          <w:insideV w:val="single" w:color="C9D4DF" w:sz="4"/>
        </w:tblBorders>
      </w:tblPr>
      <w:tblGrid>
        <w:gridCol w:w="2600"/>
        <w:gridCol w:w="3600"/>
        <w:gridCol w:w="3880"/>
      </w:tblGrid>
      <w:tr>
        <w:trPr>
          <w:tblHeader/>
        </w:trPr>
        <w:tc>
          <w:tcPr>
            <w:tcW w:type="dxa" w:w="2600"/>
            <w:shd w:fill="EA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A3A"/>
                <w:sz w:val="19"/>
                <w:szCs w:val="19"/>
                <w:rFonts w:ascii="Calibri" w:cs="Calibri" w:eastAsia="Calibri" w:hAnsi="Calibri"/>
              </w:rPr>
              <w:t xml:space="preserve">Head</w:t>
            </w:r>
          </w:p>
        </w:tc>
        <w:tc>
          <w:tcPr>
            <w:tcW w:type="dxa" w:w="3600"/>
            <w:shd w:fill="EA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A3A"/>
                <w:sz w:val="19"/>
                <w:szCs w:val="19"/>
                <w:rFonts w:ascii="Calibri" w:cs="Calibri" w:eastAsia="Calibri" w:hAnsi="Calibri"/>
              </w:rPr>
              <w:t xml:space="preserve">Metric</w:t>
            </w:r>
          </w:p>
        </w:tc>
        <w:tc>
          <w:tcPr>
            <w:tcW w:type="dxa" w:w="3880"/>
            <w:shd w:fill="EA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A3A"/>
                <w:sz w:val="19"/>
                <w:szCs w:val="19"/>
                <w:rFonts w:ascii="Calibri" w:cs="Calibri" w:eastAsia="Calibri" w:hAnsi="Calibri"/>
              </w:rPr>
              <w:t xml:space="preserve">Result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Recovery (primary)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CatBoost calibrated ROC-AUC (95% CI)</w:t>
            </w:r>
          </w:p>
        </w:tc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A3A"/>
                <w:sz w:val="19"/>
                <w:szCs w:val="19"/>
                <w:rFonts w:ascii="Calibri" w:cs="Calibri" w:eastAsia="Calibri" w:hAnsi="Calibri"/>
              </w:rPr>
              <w:t xml:space="preserve">0.764  [0.752 – 0.776]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Recovery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CatBoost edge over LogReg (paired bootstrap)</w:t>
            </w:r>
          </w:p>
        </w:tc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+0.011  [0.005 – 0.018] — significant, but small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Action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Accuracy on deliberately noisy labels</w:t>
            </w:r>
          </w:p>
        </w:tc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≈70% (a real learning task, not a lookup)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Action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Agreement with the EV-optimal action</w:t>
            </w:r>
          </w:p>
        </w:tc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A3A"/>
                <w:sz w:val="19"/>
                <w:szCs w:val="19"/>
                <w:rFonts w:ascii="Calibri" w:cs="Calibri" w:eastAsia="Calibri" w:hAnsi="Calibri"/>
              </w:rPr>
              <w:t xml:space="preserve">≈84%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Escalation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Calibrated Brier score</w:t>
            </w:r>
          </w:p>
        </w:tc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≈0.08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Anomaly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Windowed failure-spike detection</w:t>
            </w:r>
          </w:p>
        </w:tc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≈87.5% of injected incidents</w:t>
            </w:r>
          </w:p>
        </w:tc>
      </w:tr>
    </w:tbl>
    <w:p>
      <w:pPr>
        <w:spacing w:after="60"/>
      </w:pPr>
    </w:p>
    <w:p>
      <w:pPr>
        <w:spacing w:after="120" w:before="0" w:line="264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Why CatBoost, said plainly: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its ROC-AUC edge over the logistic-regression baseline is real but small (the paired-bootstrap interval excludes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zero, median +0.011). So the model card states that CatBoost is primary for calibration and native categorical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handling — not a headline AUC gap. And the action head’s ~70% accuracy is on labels made deliberately noisy, so it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is a genuine learning problem rather than the 99.5% tautology that clean, formulaic labels would (and did) produce.</w:t>
      </w:r>
    </w:p>
    <w:p>
      <w:pPr>
        <w:pStyle w:val="Heading1"/>
        <w:pBdr>
          <w:bottom w:val="single" w:color="C9D4DF" w:sz="6" w:space="6"/>
        </w:pBdr>
        <w:spacing w:before="300" w:after="120"/>
      </w:pPr>
      <w:r>
        <w:rPr>
          <w:b/>
          <w:bCs/>
          <w:color w:val="1B2A3A"/>
          <w:sz w:val="30"/>
          <w:szCs w:val="30"/>
          <w:rFonts w:ascii="Calibri" w:cs="Calibri" w:eastAsia="Calibri" w:hAnsi="Calibri"/>
        </w:rPr>
        <w:t xml:space="preserve">7  ·  The money path and proof of recovery</w:t>
      </w:r>
    </w:p>
    <w:p>
      <w:pPr>
        <w:spacing w:after="120" w:before="0" w:line="264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Recoup uses real Razorpay test-mode Orders, Payment Links, and Webhooks. Two things must be real to be credible, and both are: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Creating the recovery link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— the money-movement surface — is a real Razorpay API call (the test API even rate-limits us at its 30-link cap, which the pipeline handles gracefully).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Confirming recovery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— a signed webhook. Recoup verifies HMAC-SHA256 over the raw request body with a constant-time compare; a tampered body, tampered signature, wrong secret, or missing header is rejected with HTTP 400 and never touches the database.</w:t>
      </w:r>
    </w:p>
    <w:p>
      <w:pPr>
        <w:pStyle w:val="Heading2"/>
        <w:spacing w:before="200" w:after="80"/>
      </w:pPr>
      <w:r>
        <w:rPr>
          <w:b/>
          <w:bCs/>
          <w:color w:val="1F5FA8"/>
          <w:sz w:val="24"/>
          <w:szCs w:val="24"/>
          <w:rFonts w:ascii="Calibri" w:cs="Calibri" w:eastAsia="Calibri" w:hAnsi="Calibri"/>
        </w:rPr>
        <w:t xml:space="preserve">One-command proof</w:t>
      </w:r>
    </w:p>
    <w:p>
      <w:pPr>
        <w:spacing w:after="120" w:before="0" w:line="264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The self-test (</w:t>
      </w:r>
      <w:r>
        <w:rPr>
          <w:i/>
          <w:iCs/>
          <w:color w:val="1B2A3A"/>
          <w:sz w:val="21"/>
          <w:szCs w:val="21"/>
          <w:rFonts w:ascii="Calibri" w:cs="Calibri" w:eastAsia="Calibri" w:hAnsi="Calibri"/>
        </w:rPr>
        <w:t xml:space="preserve">npm run selftest:webhook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) drives the exact production path and asserts the database actually changed: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signature verification accepts a valid signature and rejects tampered body / tampered signature / wrong secret / missing header;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a signed payment.failed ingests a new at-risk case;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the ML pipeline attaches a real prediction and the case reaches a recoverable state;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a signed payment.captured marks the case recovered with the captured amount;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a tampered signature is rejected with HTTP 400.</w:t>
      </w:r>
    </w:p>
    <w:p>
      <w:pPr>
        <w:spacing w:after="120" w:before="0" w:line="264"/>
      </w:pPr>
      <w:r>
        <w:rPr>
          <w:b/>
          <w:bCs/>
          <w:color w:val="0E7C66"/>
          <w:sz w:val="21"/>
          <w:szCs w:val="21"/>
          <w:rFonts w:ascii="Calibri" w:cs="Calibri" w:eastAsia="Calibri" w:hAnsi="Calibri"/>
        </w:rPr>
        <w:t xml:space="preserve">Every check passes.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This is the round-trip that is expensive to fake, and it runs without a tunnel or dashboard for local review.</w:t>
      </w:r>
    </w:p>
    <w:p>
      <w:pPr>
        <w:pStyle w:val="Heading1"/>
        <w:pBdr>
          <w:bottom w:val="single" w:color="C9D4DF" w:sz="6" w:space="6"/>
        </w:pBdr>
        <w:spacing w:before="300" w:after="120"/>
      </w:pPr>
      <w:r>
        <w:rPr>
          <w:b/>
          <w:bCs/>
          <w:color w:val="1B2A3A"/>
          <w:sz w:val="30"/>
          <w:szCs w:val="30"/>
          <w:rFonts w:ascii="Calibri" w:cs="Calibri" w:eastAsia="Calibri" w:hAnsi="Calibri"/>
        </w:rPr>
        <w:t xml:space="preserve">8  ·  Guardrails: the deterministic policy engine</w:t>
      </w:r>
    </w:p>
    <w:p>
      <w:pPr>
        <w:spacing w:after="120" w:before="0" w:line="264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Policies are configuration, evaluated in code, and they win over the model. Every evaluation records which rules passed or failed and a human-readable "why blocked" string shown in the UI.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max_retries = 3; stop after the cap.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max_discount_pct = 10, and only if the amount clears a threshold and the incentive is EV-positive.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quiet_hours 21:00–08:00 IST — no outreach; retries still allowed.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opt_out — no outreach at all.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human approval required if amount ≥ ₹25,000 or an incentive is proposed.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block any action not on the allow-list.</w:t>
      </w:r>
    </w:p>
    <w:p>
      <w:pPr>
        <w:pStyle w:val="Heading1"/>
        <w:pBdr>
          <w:bottom w:val="single" w:color="C9D4DF" w:sz="6" w:space="6"/>
        </w:pBdr>
        <w:spacing w:before="300" w:after="120"/>
      </w:pPr>
      <w:r>
        <w:rPr>
          <w:b/>
          <w:bCs/>
          <w:color w:val="1B2A3A"/>
          <w:sz w:val="30"/>
          <w:szCs w:val="30"/>
          <w:rFonts w:ascii="Calibri" w:cs="Calibri" w:eastAsia="Calibri" w:hAnsi="Calibri"/>
        </w:rPr>
        <w:t xml:space="preserve">9  ·  Why not just use Razorpay’s own retries and dunning?</w:t>
      </w:r>
    </w:p>
    <w:p>
      <w:pPr>
        <w:spacing w:after="120" w:before="0" w:line="264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Razorpay ships Smart Retries, Payment Links, and dunning — and Recoup uses them as execution primitives. The gap Recoup fills is the decision layer on top of them.</w:t>
      </w:r>
    </w:p>
    <w:tbl>
      <w:tblPr>
        <w:tblW w:type="dxa" w:w="10080"/>
        <w:tblBorders>
          <w:top w:val="single" w:color="C9D4DF" w:sz="4"/>
          <w:left w:val="single" w:color="C9D4DF" w:sz="4"/>
          <w:bottom w:val="single" w:color="C9D4DF" w:sz="4"/>
          <w:right w:val="single" w:color="C9D4DF" w:sz="4"/>
          <w:insideH w:val="single" w:color="C9D4DF" w:sz="4"/>
          <w:insideV w:val="single" w:color="C9D4DF" w:sz="4"/>
        </w:tblBorders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shd w:fill="EA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A3A"/>
                <w:sz w:val="19"/>
                <w:szCs w:val="19"/>
                <w:rFonts w:ascii="Calibri" w:cs="Calibri" w:eastAsia="Calibri" w:hAnsi="Calibri"/>
              </w:rPr>
            </w:r>
          </w:p>
        </w:tc>
        <w:tc>
          <w:tcPr>
            <w:tcW w:type="dxa" w:w="3740"/>
            <w:shd w:fill="EA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A3A"/>
                <w:sz w:val="19"/>
                <w:szCs w:val="19"/>
                <w:rFonts w:ascii="Calibri" w:cs="Calibri" w:eastAsia="Calibri" w:hAnsi="Calibri"/>
              </w:rPr>
              <w:t xml:space="preserve">Razorpay’s built-in tools</w:t>
            </w:r>
          </w:p>
        </w:tc>
        <w:tc>
          <w:tcPr>
            <w:tcW w:type="dxa" w:w="3740"/>
            <w:shd w:fill="EA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A3A"/>
                <w:sz w:val="19"/>
                <w:szCs w:val="19"/>
                <w:rFonts w:ascii="Calibri" w:cs="Calibri" w:eastAsia="Calibri" w:hAnsi="Calibri"/>
              </w:rPr>
              <w:t xml:space="preserve">Recoup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A3A"/>
                <w:sz w:val="19"/>
                <w:szCs w:val="19"/>
                <w:rFonts w:ascii="Calibri" w:cs="Calibri" w:eastAsia="Calibri" w:hAnsi="Calibri"/>
              </w:rPr>
              <w:t xml:space="preserve">Who decides the action</w:t>
            </w:r>
          </w:p>
        </w:tc>
        <w:tc>
          <w:tcPr>
            <w:tcW w:type="dxa" w:w="3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Merchant-configured static rules (same cadence for everyone)</w:t>
            </w:r>
          </w:p>
        </w:tc>
        <w:tc>
          <w:tcPr>
            <w:tcW w:type="dxa" w:w="3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A calibrated model per case: which action, what timing, how likely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A3A"/>
                <w:sz w:val="19"/>
                <w:szCs w:val="19"/>
                <w:rFonts w:ascii="Calibri" w:cs="Calibri" w:eastAsia="Calibri" w:hAnsi="Calibri"/>
              </w:rPr>
              <w:t xml:space="preserve">Uncertainty</w:t>
            </w:r>
          </w:p>
        </w:tc>
        <w:tc>
          <w:tcPr>
            <w:tcW w:type="dxa" w:w="3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None surfaced</w:t>
            </w:r>
          </w:p>
        </w:tc>
        <w:tc>
          <w:tcPr>
            <w:tcW w:type="dxa" w:w="3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Calibrated recovery probability + escalation risk + anomaly score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A3A"/>
                <w:sz w:val="19"/>
                <w:szCs w:val="19"/>
                <w:rFonts w:ascii="Calibri" w:cs="Calibri" w:eastAsia="Calibri" w:hAnsi="Calibri"/>
              </w:rPr>
              <w:t xml:space="preserve">When to stop / escalate</w:t>
            </w:r>
          </w:p>
        </w:tc>
        <w:tc>
          <w:tcPr>
            <w:tcW w:type="dxa" w:w="3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Fixed caps</w:t>
            </w:r>
          </w:p>
        </w:tc>
        <w:tc>
          <w:tcPr>
            <w:tcW w:type="dxa" w:w="3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EV- and confidence-aware, inside hard policy caps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A3A"/>
                <w:sz w:val="19"/>
                <w:szCs w:val="19"/>
                <w:rFonts w:ascii="Calibri" w:cs="Calibri" w:eastAsia="Calibri" w:hAnsi="Calibri"/>
              </w:rPr>
              <w:t xml:space="preserve">Incident awareness</w:t>
            </w:r>
          </w:p>
        </w:tc>
        <w:tc>
          <w:tcPr>
            <w:tcW w:type="dxa" w:w="3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3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Windowed anomaly detection flags a live bank/UPI failure spike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A3A"/>
                <w:sz w:val="19"/>
                <w:szCs w:val="19"/>
                <w:rFonts w:ascii="Calibri" w:cs="Calibri" w:eastAsia="Calibri" w:hAnsi="Calibri"/>
              </w:rPr>
              <w:t xml:space="preserve">Proof</w:t>
            </w:r>
          </w:p>
        </w:tc>
        <w:tc>
          <w:tcPr>
            <w:tcW w:type="dxa" w:w="3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Merchant reads reports</w:t>
            </w:r>
          </w:p>
        </w:tc>
        <w:tc>
          <w:tcPr>
            <w:tcW w:type="dxa" w:w="3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color w:val="1B2A3A"/>
                <w:sz w:val="19"/>
                <w:szCs w:val="19"/>
                <w:rFonts w:ascii="Calibri" w:cs="Calibri" w:eastAsia="Calibri" w:hAnsi="Calibri"/>
              </w:rPr>
              <w:t xml:space="preserve">Signed-webhook recovered-₹ with a full audit trail</w:t>
            </w:r>
          </w:p>
        </w:tc>
      </w:tr>
    </w:tbl>
    <w:p>
      <w:pPr>
        <w:spacing w:after="60"/>
      </w:pPr>
    </w:p>
    <w:p>
      <w:pPr>
        <w:spacing w:after="120" w:before="0" w:line="264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Recoup is not a payment gateway and doesn’t try to be. It is the thin, auditable brain that decides how to use the gateway’s recovery tools well — precisely what a static toggle cannot do — which also makes it adoptable in a day.</w:t>
      </w:r>
    </w:p>
    <w:p>
      <w:pPr>
        <w:pStyle w:val="Heading1"/>
        <w:pBdr>
          <w:bottom w:val="single" w:color="C9D4DF" w:sz="6" w:space="6"/>
        </w:pBdr>
        <w:spacing w:before="300" w:after="120"/>
      </w:pPr>
      <w:r>
        <w:rPr>
          <w:b/>
          <w:bCs/>
          <w:color w:val="1B2A3A"/>
          <w:sz w:val="30"/>
          <w:szCs w:val="30"/>
          <w:rFonts w:ascii="Calibri" w:cs="Calibri" w:eastAsia="Calibri" w:hAnsi="Calibri"/>
        </w:rPr>
        <w:t xml:space="preserve">10  ·  Honesty and limitations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Synthetic training data.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There is no real recovery-outcome dataset at build time, so the models train on a documented synthetic "world model" (reason×action fit matrix, EV-based labels, deliberately noisy outcomes, injected incidents). It is a bootstrap, not a claim of real data — and the pipeline is built so real merchant outcomes drop into the same feature schema and retrain the same models. That is the data moat, once live.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Capture vs. settlement.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Recovery is measured at payment.captured — the industry-standard recovery milestone. Final settlement (T+n payout) is a separate later event; the same signed-webhook plumbing extends to settlement.* for a settlement-accurate ledger with no change to the verification path.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In-process scheduler.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Smart-retry timing is driven by an in-process worker — enough to demo correct behaviour. The production upgrade is a durable queue; the limitation is owned, not hidden.</w:t>
      </w:r>
    </w:p>
    <w:p>
      <w:pPr>
        <w:pStyle w:val="Heading1"/>
        <w:pBdr>
          <w:bottom w:val="single" w:color="C9D4DF" w:sz="6" w:space="6"/>
        </w:pBdr>
        <w:spacing w:before="300" w:after="120"/>
      </w:pPr>
      <w:r>
        <w:rPr>
          <w:b/>
          <w:bCs/>
          <w:color w:val="1B2A3A"/>
          <w:sz w:val="30"/>
          <w:szCs w:val="30"/>
          <w:rFonts w:ascii="Calibri" w:cs="Calibri" w:eastAsia="Calibri" w:hAnsi="Calibri"/>
        </w:rPr>
        <w:t xml:space="preserve">11  ·  Technology and architecture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Money path — TypeScript: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Node + Express + Prisma + embedded PostgreSQL (real PG 18, no Docker needed).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ML tier — Python: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FastAPI + CatBoost + XGBoost + scikit-learn, served on its own port; degrades to a deterministic fallback if unreachable.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Dashboard: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React + Vite + Tailwind — at-risk queue, case detail, ML model card, metrics, and the full audit trail.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Integrations: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Razorpay test-mode (Orders + Payment Links + Webhooks); a provider-agnostic LLM (Anthropic or any OpenAI-compatible provider) used only for narration.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  <w:color w:val="1B2A3A"/>
          <w:sz w:val="21"/>
          <w:szCs w:val="21"/>
          <w:rFonts w:ascii="Calibri" w:cs="Calibri" w:eastAsia="Calibri" w:hAnsi="Calibri"/>
        </w:rPr>
        <w:t xml:space="preserve">Data model: </w:t>
      </w:r>
      <w:r>
        <w:rPr>
          <w:color w:val="1B2A3A"/>
          <w:sz w:val="21"/>
          <w:szCs w:val="21"/>
          <w:rFonts w:ascii="Calibri" w:cs="Calibri" w:eastAsia="Calibri" w:hAnsi="Calibri"/>
        </w:rPr>
        <w:t xml:space="preserve">Merchant · Customer · Event · Case · Prediction · Decision · Action · Outcome · AuditLog, plus ModelRun and AnomalyFlag. Money is stored as integer paise everywhere — never floats.</w:t>
      </w:r>
    </w:p>
    <w:p>
      <w:pPr>
        <w:pStyle w:val="Heading1"/>
        <w:pBdr>
          <w:bottom w:val="single" w:color="C9D4DF" w:sz="6" w:space="6"/>
        </w:pBdr>
        <w:spacing w:before="300" w:after="120"/>
      </w:pPr>
      <w:r>
        <w:rPr>
          <w:b/>
          <w:bCs/>
          <w:color w:val="1B2A3A"/>
          <w:sz w:val="30"/>
          <w:szCs w:val="30"/>
          <w:rFonts w:ascii="Calibri" w:cs="Calibri" w:eastAsia="Calibri" w:hAnsi="Calibri"/>
        </w:rPr>
        <w:t xml:space="preserve">12  ·  Roadmap — from demo to production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Replace synthetic labels with real recovery outcomes; retrain on the same feature schema (the data flywheel).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Add a durable retry queue (BullMQ/Redis) and horizontal workers.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Extend to subscription/e-mandate failures as a new event type + reason tags — a new lane, not a rewrite.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Add settlement.* reconciliation for a settlement-accurate recovered-₹ ledger.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color w:val="1B2A3A"/>
          <w:sz w:val="21"/>
          <w:szCs w:val="21"/>
          <w:rFonts w:ascii="Calibri" w:cs="Calibri" w:eastAsia="Calibri" w:hAnsi="Calibri"/>
        </w:rPr>
        <w:t xml:space="preserve">Per-merchant model personalization and A/B of action policies under the same guardrails.</w:t>
      </w:r>
    </w:p>
    <w:p>
      <w:pPr>
        <w:spacing w:after="120"/>
      </w:pPr>
    </w:p>
    <w:p>
      <w:pPr>
        <w:pBdr>
          <w:top w:val="single" w:color="C9D4DF" w:sz="6" w:space="6"/>
        </w:pBdr>
        <w:spacing w:before="60"/>
      </w:pPr>
      <w:r>
        <w:rPr>
          <w:i/>
          <w:iCs/>
          <w:color w:val="5B6B7B"/>
          <w:sz w:val="17"/>
          <w:szCs w:val="17"/>
          <w:rFonts w:ascii="Calibri" w:cs="Calibri" w:eastAsia="Calibri" w:hAnsi="Calibri"/>
        </w:rPr>
        <w:t xml:space="preserve">Repository docs: README.md · docs/ARCHITECTURE.md · docs/DECISIONS.md · docs/WEBHOOKS.md · docs/SETUP.md</w:t>
      </w:r>
    </w:p>
    <w:sectPr>
      <w:headerReference w:type="default" r:id="rId6"/>
      <w:footerReference w:type="default" r:id="rId7"/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B"/>
        <w:sz w:val="16"/>
        <w:szCs w:val="16"/>
        <w:rFonts w:ascii="Calibri" w:cs="Calibri" w:eastAsia="Calibri" w:hAnsi="Calibri"/>
      </w:rPr>
      <w:t xml:space="preserve">Page </w:t>
    </w:r>
    <w:r>
      <w:rPr>
        <w:color w:val="5B6B7B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5B6B7B"/>
        <w:sz w:val="16"/>
        <w:szCs w:val="16"/>
        <w:rFonts w:ascii="Calibri" w:cs="Calibri" w:eastAsia="Calibri" w:hAnsi="Calibri"/>
      </w:rPr>
      <w:t xml:space="preserve">Recoup · Razorpay AI Buildathon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A3A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Recoup — Project Report</dc:title>
  <dc:creator>Recoup</dc:creator>
  <dc:description>ML-first Razorpay revenue-recovery engine — Buildathon 2026 project report</dc:description>
  <cp:lastModifiedBy>Un-named</cp:lastModifiedBy>
  <cp:revision>1</cp:revision>
  <dcterms:created xsi:type="dcterms:W3CDTF">2026-08-24T17:30:20.821Z</dcterms:created>
  <dcterms:modified xsi:type="dcterms:W3CDTF">2026-08-24T17:30:20.825Z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