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 xml:space="preserve">BUSINESS REQUIREMENTS DOCUMENT</w:t>
      </w:r>
    </w:p>
    <w:p>
      <w:pPr>
        <w:spacing w:after="20"/>
        <w:jc w:val="center"/>
      </w:pPr>
      <w:r>
        <w:rPr>
          <w:b/>
          <w:bCs/>
          <w:color w:val="B08D57"/>
          <w:sz w:val="22"/>
          <w:szCs w:val="22"/>
        </w:rPr>
        <w:t xml:space="preserve">Dublin Port Freight &amp; Logistics Cost Optimization</w:t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Prepared by Adham AlHers · Business Analyst Portfolio Project · August 2026</w:t>
      </w:r>
    </w:p>
    <w:p>
      <w:pPr>
        <w:pStyle w:val="Heading1"/>
        <w:pBdr>
          <w:bottom w:val="single" w:color="1F3864" w:sz="8" w:space="4"/>
        </w:pBdr>
        <w:spacing w:after="160" w:before="300"/>
      </w:pPr>
      <w:r>
        <w:rPr>
          <w:b/>
          <w:bCs/>
          <w:color w:val="1F3864"/>
          <w:sz w:val="28"/>
          <w:szCs w:val="28"/>
        </w:rPr>
        <w:t xml:space="preserve">1. Purpose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defines the business requirements for a cost-efficiency review of the company's inbound freight operations across Dublin Port and Rosslare Europort. The review is triggered by rising freight costs since the shift to direct EU routes post-Brexit, and the absence of a data-driven basis for carrier selection.</w:t>
      </w:r>
    </w:p>
    <w:p>
      <w:pPr>
        <w:pStyle w:val="Heading1"/>
        <w:pBdr>
          <w:bottom w:val="single" w:color="1F3864" w:sz="8" w:space="4"/>
        </w:pBdr>
        <w:spacing w:after="160" w:before="300"/>
      </w:pPr>
      <w:r>
        <w:rPr>
          <w:b/>
          <w:bCs/>
          <w:color w:val="1F3864"/>
          <w:sz w:val="28"/>
          <w:szCs w:val="28"/>
        </w:rPr>
        <w:t xml:space="preserve">2. Stakeholders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Interest / Requirement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Logistics Manager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Wants lower cost per shipment without missing delivery SLAs to customers.</w:t>
            </w:r>
          </w:p>
        </w:tc>
      </w:tr>
      <w:tr>
        <w:tc>
          <w:tcPr>
            <w:tcW w:type="dxa" w:w="30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Finance</w:t>
            </w:r>
          </w:p>
        </w:tc>
        <w:tc>
          <w:tcPr>
            <w:tcW w:type="dxa" w:w="60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Wants freight cost as a predictable, falling % of landed goods cost.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Warehouse Operations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Wants transit-time consistency — late shipments disrupt inbound scheduling.</w:t>
            </w:r>
          </w:p>
        </w:tc>
      </w:tr>
      <w:tr>
        <w:tc>
          <w:tcPr>
            <w:tcW w:type="dxa" w:w="30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Procurement / Ops Coordinator</w:t>
            </w:r>
          </w:p>
        </w:tc>
        <w:tc>
          <w:tcPr>
            <w:tcW w:type="dxa" w:w="60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Currently selects carriers manually; wants clear criteria to defend carrier choices.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00"/>
      </w:pPr>
      <w:r>
        <w:rPr>
          <w:b/>
          <w:bCs/>
          <w:color w:val="1F3864"/>
          <w:sz w:val="28"/>
          <w:szCs w:val="28"/>
        </w:rPr>
        <w:t xml:space="preserve">3. Current-State Pain Points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Carrier selection is manual and habit-based — there is no routine comparison of cost-per-kg or on-time performance across carriers before booking.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Freight cost has risen since the shift toward direct EU routes (avoiding UK customs friction), but no one has quantified whether that cost is buying better reliability.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Invoices are reconciled against quotes after the fact, not used proactively to inform the next booking decision.</w:t>
      </w:r>
    </w:p>
    <w:p>
      <w:pPr>
        <w:pStyle w:val="Heading1"/>
        <w:pBdr>
          <w:bottom w:val="single" w:color="1F3864" w:sz="8" w:space="4"/>
        </w:pBdr>
        <w:spacing w:after="160" w:before="300"/>
      </w:pPr>
      <w:r>
        <w:rPr>
          <w:b/>
          <w:bCs/>
          <w:color w:val="1F3864"/>
          <w:sz w:val="28"/>
          <w:szCs w:val="28"/>
        </w:rPr>
        <w:t xml:space="preserve">4. Defining "Cost Efficiency" (the core requirements-gathering question)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Before analysis could begin, the single biggest ambiguity to resolve with stakeholders was: what does "reduce freight cost" actually mean? Two different answers lead to two different projects: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Option A — Minimize cost per kg, full stop, accepting some reliability trade-off.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Option B — Minimize cost per kg subject to a hard floor on on-time delivery %, since late shipments have a downstream cost (warehouse disruption, customer SLA breaches) that doesn't show up on a freight invoice.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Agreed definition with stakeholders: Option B. Any recommended carrier change must not reduce on-time performance versus the current baseline. This constraint directly shaped the analysis in Section 6 — the recommendation was selected specifically because it improves cost AND reliability simultaneously, removing the trade-off question entirely.</w:t>
      </w:r>
    </w:p>
    <w:p>
      <w:pPr>
        <w:pStyle w:val="Heading1"/>
        <w:pBdr>
          <w:bottom w:val="single" w:color="1F3864" w:sz="8" w:space="4"/>
        </w:pBdr>
        <w:spacing w:after="160" w:before="300"/>
      </w:pPr>
      <w:r>
        <w:rPr>
          <w:b/>
          <w:bCs/>
          <w:color w:val="1F3864"/>
          <w:sz w:val="28"/>
          <w:szCs w:val="28"/>
        </w:rPr>
        <w:t xml:space="preserve">5. Scope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In scope: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3 highest-volume inbound freight routes: UK Landbridge (Dublin-Holyhead), EU Direct (Dublin-Cherbourg), EU Direct (Rosslare-Dunkirk).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All carriers currently used on those routes.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Cost-per-kg and on-time % as the two core metrics.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Out of scope: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Outbound/export freight.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Customs brokerage fees and warehousing costs (freight cost only).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Contract renegotiation terms — this document supports a recommendation, not a signed carrier contract.</w:t>
      </w:r>
    </w:p>
    <w:p>
      <w:pPr>
        <w:pStyle w:val="Heading1"/>
        <w:pBdr>
          <w:bottom w:val="single" w:color="1F3864" w:sz="8" w:space="4"/>
        </w:pBdr>
        <w:spacing w:after="160" w:before="300"/>
      </w:pPr>
      <w:r>
        <w:rPr>
          <w:b/>
          <w:bCs/>
          <w:color w:val="1F3864"/>
          <w:sz w:val="28"/>
          <w:szCs w:val="28"/>
        </w:rPr>
        <w:t xml:space="preserve">6. Current Process Map &amp; Bottleneck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process below reflects the current manual booking workflow. The bottleneck — carrier selection happening by default/habit rather than by current cost or reliability data — is the root cause this analysis addresses.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78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1F3864" w:sz="8" w:space="4"/>
        </w:pBdr>
        <w:spacing w:after="160" w:before="300"/>
      </w:pPr>
      <w:r>
        <w:rPr>
          <w:b/>
          <w:bCs/>
          <w:color w:val="1F3864"/>
          <w:sz w:val="28"/>
          <w:szCs w:val="28"/>
        </w:rPr>
        <w:t xml:space="preserve">7. Success Metrics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Freight cost per kg (Dublin-Cherbourg route)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Reduce by 10%+ within 2 quarters of reallocation</w:t>
            </w:r>
          </w:p>
        </w:tc>
      </w:tr>
      <w:tr>
        <w:tc>
          <w:tcPr>
            <w:tcW w:type="dxa" w:w="4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On-time delivery %</w:t>
            </w:r>
          </w:p>
        </w:tc>
        <w:tc>
          <w:tcPr>
            <w:tcW w:type="dxa" w:w="4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decrease vs. current baseline (90.5% overall)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Carrier selection process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Move from ad hoc to a quarterly data review against this dashboard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00"/>
      </w:pPr>
      <w:r>
        <w:rPr>
          <w:b/>
          <w:bCs/>
          <w:color w:val="1F3864"/>
          <w:sz w:val="28"/>
          <w:szCs w:val="28"/>
        </w:rPr>
        <w:t xml:space="preserve">8. Assumptions &amp; Risks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Assumes carrier rate cards remain stable during the reallocation period — a formal rate renegotiation would need re-validation.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Assumes Celtic Sealink has spare capacity to absorb reallocated volume from Atlantic Cargo Ferries on the Dublin-Cherbourg route (to be confirmed directly with the carrier before implementation).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Risk: reliability differences between carriers may narrow or reverse over time — recommend the quarterly review cadence in Section 7 rather than a one-off switch.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537292acaf407802bb061750218fce41e5b60ba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2026-08-08T15:51:01.524Z</dcterms:created>
  <dcterms:modified xsi:type="dcterms:W3CDTF">2026-08-08T15:51:01.525Z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